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31AEDF" w14:textId="77777777" w:rsidR="003A2679" w:rsidRPr="003F6230" w:rsidRDefault="003A2679" w:rsidP="003A2679">
      <w:pPr>
        <w:pStyle w:val="NormalWeb"/>
        <w:spacing w:before="0" w:beforeAutospacing="0" w:after="0" w:afterAutospacing="0"/>
        <w:jc w:val="center"/>
        <w:rPr>
          <w:rFonts w:asciiTheme="majorBidi" w:hAnsiTheme="majorBidi" w:cstheme="majorBidi"/>
          <w:b/>
          <w:color w:val="000000" w:themeColor="text1"/>
          <w:sz w:val="28"/>
          <w:szCs w:val="28"/>
          <w:lang w:val="en-GB"/>
        </w:rPr>
      </w:pPr>
      <w:r w:rsidRPr="003F6230">
        <w:rPr>
          <w:rFonts w:asciiTheme="majorBidi" w:hAnsiTheme="majorBidi" w:cstheme="majorBidi"/>
          <w:b/>
          <w:color w:val="000000" w:themeColor="text1"/>
          <w:sz w:val="28"/>
          <w:szCs w:val="28"/>
          <w:lang w:val="en-GB"/>
        </w:rPr>
        <w:t>Call for Inputs</w:t>
      </w:r>
    </w:p>
    <w:p w14:paraId="170E6B91" w14:textId="77777777" w:rsidR="003A2679" w:rsidRPr="00EE7E7E" w:rsidRDefault="003A2679" w:rsidP="003A2679">
      <w:pPr>
        <w:pStyle w:val="NormalWeb"/>
        <w:spacing w:before="0" w:beforeAutospacing="0" w:after="0" w:afterAutospacing="0"/>
        <w:jc w:val="center"/>
        <w:rPr>
          <w:rFonts w:asciiTheme="majorBidi" w:hAnsiTheme="majorBidi" w:cstheme="majorBidi"/>
          <w:color w:val="000000" w:themeColor="text1"/>
          <w:sz w:val="22"/>
          <w:szCs w:val="22"/>
          <w:lang w:val="en-GB"/>
        </w:rPr>
      </w:pPr>
    </w:p>
    <w:p w14:paraId="1F416940" w14:textId="77777777" w:rsidR="003A2679" w:rsidRPr="00917FBF" w:rsidRDefault="003A2679" w:rsidP="003A2679">
      <w:pPr>
        <w:pStyle w:val="NormalWeb"/>
        <w:spacing w:before="0" w:beforeAutospacing="0" w:after="0" w:afterAutospacing="0"/>
        <w:jc w:val="center"/>
        <w:rPr>
          <w:rFonts w:asciiTheme="majorBidi" w:hAnsiTheme="majorBidi" w:cstheme="majorBidi"/>
          <w:b/>
          <w:color w:val="000000" w:themeColor="text1"/>
          <w:sz w:val="28"/>
          <w:szCs w:val="28"/>
          <w:lang w:val="en-GB"/>
        </w:rPr>
      </w:pPr>
      <w:r>
        <w:rPr>
          <w:b/>
          <w:sz w:val="32"/>
          <w:szCs w:val="32"/>
        </w:rPr>
        <w:t xml:space="preserve">Report of the </w:t>
      </w:r>
      <w:r w:rsidRPr="00917FBF">
        <w:rPr>
          <w:b/>
          <w:sz w:val="32"/>
          <w:szCs w:val="32"/>
        </w:rPr>
        <w:t>Independent Expert on the enjoyment of all human rights by older persons</w:t>
      </w:r>
    </w:p>
    <w:p w14:paraId="2B6F9258" w14:textId="77777777" w:rsidR="003A2679" w:rsidRDefault="003A2679" w:rsidP="003A2679">
      <w:pPr>
        <w:jc w:val="center"/>
        <w:rPr>
          <w:b/>
          <w:i/>
          <w:iCs/>
        </w:rPr>
      </w:pPr>
    </w:p>
    <w:p w14:paraId="724E087E" w14:textId="77777777" w:rsidR="003A2679" w:rsidRPr="00917FBF" w:rsidRDefault="003A2679" w:rsidP="003A2679">
      <w:pPr>
        <w:jc w:val="center"/>
        <w:rPr>
          <w:b/>
          <w:i/>
          <w:iCs/>
          <w:sz w:val="28"/>
          <w:szCs w:val="28"/>
        </w:rPr>
      </w:pPr>
      <w:r w:rsidRPr="00917FBF">
        <w:rPr>
          <w:b/>
          <w:i/>
          <w:iCs/>
          <w:sz w:val="28"/>
          <w:szCs w:val="28"/>
        </w:rPr>
        <w:t xml:space="preserve">Autonomy, </w:t>
      </w:r>
      <w:r>
        <w:rPr>
          <w:b/>
          <w:i/>
          <w:iCs/>
          <w:sz w:val="28"/>
          <w:szCs w:val="28"/>
        </w:rPr>
        <w:t xml:space="preserve">participation and human </w:t>
      </w:r>
      <w:r w:rsidRPr="00917FBF">
        <w:rPr>
          <w:b/>
          <w:i/>
          <w:iCs/>
          <w:sz w:val="28"/>
          <w:szCs w:val="28"/>
        </w:rPr>
        <w:t xml:space="preserve">dignity </w:t>
      </w:r>
      <w:r>
        <w:rPr>
          <w:b/>
          <w:i/>
          <w:iCs/>
          <w:sz w:val="28"/>
          <w:szCs w:val="28"/>
        </w:rPr>
        <w:t xml:space="preserve">of </w:t>
      </w:r>
      <w:r w:rsidRPr="00917FBF">
        <w:rPr>
          <w:b/>
          <w:i/>
          <w:iCs/>
          <w:sz w:val="28"/>
          <w:szCs w:val="28"/>
        </w:rPr>
        <w:t xml:space="preserve">older </w:t>
      </w:r>
      <w:r>
        <w:rPr>
          <w:b/>
          <w:i/>
          <w:iCs/>
          <w:sz w:val="28"/>
          <w:szCs w:val="28"/>
        </w:rPr>
        <w:t>persons with cognitive impairment</w:t>
      </w:r>
    </w:p>
    <w:p w14:paraId="36A8B166" w14:textId="77777777" w:rsidR="003A2679" w:rsidRPr="00EE7E7E" w:rsidRDefault="003A2679" w:rsidP="003A2679">
      <w:pPr>
        <w:pBdr>
          <w:top w:val="nil"/>
          <w:left w:val="nil"/>
          <w:bottom w:val="nil"/>
          <w:right w:val="nil"/>
          <w:between w:val="nil"/>
        </w:pBdr>
        <w:jc w:val="center"/>
        <w:rPr>
          <w:b/>
          <w:color w:val="000000" w:themeColor="text1"/>
          <w:sz w:val="22"/>
          <w:szCs w:val="22"/>
        </w:rPr>
      </w:pPr>
    </w:p>
    <w:p w14:paraId="00AA77FD" w14:textId="77777777" w:rsidR="003A2679" w:rsidRPr="003F6230" w:rsidRDefault="003A2679" w:rsidP="003A2679">
      <w:pPr>
        <w:pBdr>
          <w:top w:val="nil"/>
          <w:left w:val="nil"/>
          <w:bottom w:val="nil"/>
          <w:right w:val="nil"/>
          <w:between w:val="nil"/>
        </w:pBdr>
        <w:jc w:val="center"/>
        <w:rPr>
          <w:rFonts w:asciiTheme="majorBidi" w:hAnsiTheme="majorBidi" w:cstheme="majorBidi"/>
          <w:color w:val="000000" w:themeColor="text1"/>
          <w:sz w:val="24"/>
          <w:szCs w:val="24"/>
        </w:rPr>
      </w:pPr>
      <w:r w:rsidRPr="003F6230">
        <w:rPr>
          <w:rFonts w:asciiTheme="majorBidi" w:hAnsiTheme="majorBidi" w:cstheme="majorBidi"/>
          <w:b/>
          <w:color w:val="000000" w:themeColor="text1"/>
          <w:sz w:val="24"/>
          <w:szCs w:val="24"/>
        </w:rPr>
        <w:t xml:space="preserve">Deadline: </w:t>
      </w:r>
      <w:r>
        <w:rPr>
          <w:rFonts w:asciiTheme="majorBidi" w:hAnsiTheme="majorBidi" w:cstheme="majorBidi"/>
          <w:b/>
          <w:color w:val="000000" w:themeColor="text1"/>
          <w:sz w:val="24"/>
          <w:szCs w:val="24"/>
        </w:rPr>
        <w:t>6 July</w:t>
      </w:r>
      <w:r w:rsidRPr="003F6230">
        <w:rPr>
          <w:rFonts w:asciiTheme="majorBidi" w:hAnsiTheme="majorBidi" w:cstheme="majorBidi"/>
          <w:b/>
          <w:color w:val="000000" w:themeColor="text1"/>
          <w:sz w:val="24"/>
          <w:szCs w:val="24"/>
        </w:rPr>
        <w:t xml:space="preserve"> 2026</w:t>
      </w:r>
    </w:p>
    <w:p w14:paraId="3E1A356E" w14:textId="77777777" w:rsidR="003A2679" w:rsidRPr="00DA0462" w:rsidRDefault="003A2679" w:rsidP="003A2679">
      <w:pPr>
        <w:rPr>
          <w:rFonts w:asciiTheme="majorBidi" w:hAnsiTheme="majorBidi" w:cstheme="majorBidi"/>
          <w:sz w:val="24"/>
          <w:szCs w:val="24"/>
          <w:lang w:val="en-US"/>
        </w:rPr>
      </w:pPr>
    </w:p>
    <w:p w14:paraId="0E808605" w14:textId="77777777" w:rsidR="003A2679" w:rsidRPr="007B132E" w:rsidRDefault="003A2679" w:rsidP="003A2679">
      <w:pPr>
        <w:ind w:left="360"/>
        <w:rPr>
          <w:rFonts w:asciiTheme="majorBidi" w:hAnsiTheme="majorBidi" w:cstheme="majorBidi"/>
          <w:b/>
          <w:bCs/>
          <w:i/>
          <w:iCs/>
          <w:sz w:val="24"/>
          <w:szCs w:val="24"/>
          <w:lang w:val="en-US"/>
        </w:rPr>
      </w:pPr>
      <w:r w:rsidRPr="007B132E">
        <w:rPr>
          <w:rFonts w:asciiTheme="majorBidi" w:hAnsiTheme="majorBidi" w:cstheme="majorBidi"/>
          <w:b/>
          <w:bCs/>
          <w:i/>
          <w:iCs/>
          <w:sz w:val="24"/>
          <w:szCs w:val="24"/>
        </w:rPr>
        <w:t>A. Voice, recognition and lived experience</w:t>
      </w:r>
    </w:p>
    <w:p w14:paraId="73A2251C" w14:textId="77777777" w:rsidR="003A2679" w:rsidRPr="00DA0462" w:rsidRDefault="003A2679" w:rsidP="003A2679">
      <w:pPr>
        <w:ind w:left="360"/>
        <w:rPr>
          <w:rFonts w:asciiTheme="majorBidi" w:hAnsiTheme="majorBidi" w:cstheme="majorBidi"/>
          <w:b/>
          <w:bCs/>
          <w:sz w:val="24"/>
          <w:szCs w:val="24"/>
          <w:lang w:val="en-US"/>
        </w:rPr>
      </w:pPr>
    </w:p>
    <w:p w14:paraId="2E76A553" w14:textId="77777777" w:rsidR="003A2679" w:rsidRPr="00513C44" w:rsidRDefault="003A2679" w:rsidP="003A2679">
      <w:pPr>
        <w:pStyle w:val="ListParagraph"/>
        <w:numPr>
          <w:ilvl w:val="0"/>
          <w:numId w:val="1"/>
        </w:numPr>
        <w:ind w:left="720"/>
        <w:rPr>
          <w:rFonts w:asciiTheme="majorBidi" w:hAnsiTheme="majorBidi" w:cstheme="majorBidi"/>
          <w:sz w:val="24"/>
          <w:szCs w:val="24"/>
        </w:rPr>
      </w:pPr>
      <w:r w:rsidRPr="00513C44">
        <w:rPr>
          <w:rFonts w:asciiTheme="majorBidi" w:hAnsiTheme="majorBidi" w:cstheme="majorBidi"/>
          <w:sz w:val="24"/>
          <w:szCs w:val="24"/>
        </w:rPr>
        <w:t>In what ways are older persons with cognitive impairment not heard, not recognized, or excluded from meaningful participation in everyday life?</w:t>
      </w:r>
    </w:p>
    <w:p w14:paraId="18B12843" w14:textId="103BBD65" w:rsidR="003A2679" w:rsidRDefault="003A2679" w:rsidP="00D56EA5">
      <w:pPr>
        <w:pStyle w:val="ListParagraph"/>
        <w:numPr>
          <w:ilvl w:val="1"/>
          <w:numId w:val="1"/>
        </w:numPr>
        <w:ind w:left="1440"/>
        <w:rPr>
          <w:rFonts w:asciiTheme="majorBidi" w:hAnsiTheme="majorBidi" w:cstheme="majorBidi"/>
          <w:sz w:val="24"/>
          <w:szCs w:val="24"/>
        </w:rPr>
      </w:pPr>
      <w:r w:rsidRPr="00513C44">
        <w:rPr>
          <w:rFonts w:asciiTheme="majorBidi" w:hAnsiTheme="majorBidi" w:cstheme="majorBidi"/>
          <w:sz w:val="24"/>
          <w:szCs w:val="24"/>
        </w:rPr>
        <w:t>Examples: being spoken over, excluded from conversations or decisions, ignored in care se</w:t>
      </w:r>
      <w:r w:rsidRPr="00D56EA5">
        <w:rPr>
          <w:rFonts w:asciiTheme="majorBidi" w:hAnsiTheme="majorBidi" w:cstheme="majorBidi"/>
          <w:sz w:val="24"/>
          <w:szCs w:val="24"/>
        </w:rPr>
        <w:t>ttings, loss of social roles, diminished visibility in family or community life.</w:t>
      </w:r>
    </w:p>
    <w:p w14:paraId="0E3E36BA" w14:textId="77777777" w:rsidR="00406CB0" w:rsidRPr="00121028" w:rsidRDefault="00406CB0" w:rsidP="00406CB0">
      <w:pPr>
        <w:pStyle w:val="NormalWeb"/>
        <w:spacing w:line="360" w:lineRule="auto"/>
        <w:ind w:left="360"/>
        <w:jc w:val="both"/>
        <w:rPr>
          <w:rFonts w:ascii="Calibri" w:hAnsi="Calibri" w:cs="Calibri"/>
          <w:color w:val="215E99" w:themeColor="text2" w:themeTint="BF"/>
        </w:rPr>
      </w:pPr>
      <w:r w:rsidRPr="00121028">
        <w:rPr>
          <w:rFonts w:ascii="Calibri" w:hAnsi="Calibri" w:cs="Calibri"/>
          <w:color w:val="215E99" w:themeColor="text2" w:themeTint="BF"/>
        </w:rPr>
        <w:t xml:space="preserve">Older </w:t>
      </w:r>
      <w:proofErr w:type="gramStart"/>
      <w:r w:rsidRPr="00121028">
        <w:rPr>
          <w:rFonts w:ascii="Calibri" w:hAnsi="Calibri" w:cs="Calibri"/>
          <w:color w:val="215E99" w:themeColor="text2" w:themeTint="BF"/>
        </w:rPr>
        <w:t>persons</w:t>
      </w:r>
      <w:proofErr w:type="gramEnd"/>
      <w:r w:rsidRPr="00121028">
        <w:rPr>
          <w:rFonts w:ascii="Calibri" w:hAnsi="Calibri" w:cs="Calibri"/>
          <w:color w:val="215E99" w:themeColor="text2" w:themeTint="BF"/>
        </w:rPr>
        <w:t xml:space="preserve"> with cognitive impairment may experience exclusion from everyday decision-making and participation, even within supportive family networks. Decisions relating to healthcare, finances, living arrangements, or social activities are sometimes made on their behalf by family members, caregivers, or professionals, with limited opportunities for them to express their preferences and views. Discussions may occur around them rather than with them, reducing their involvement in matters that directly affect their lives.</w:t>
      </w:r>
    </w:p>
    <w:p w14:paraId="03C639BE" w14:textId="77777777" w:rsidR="00406CB0" w:rsidRPr="00121028" w:rsidRDefault="00406CB0" w:rsidP="00406CB0">
      <w:pPr>
        <w:pStyle w:val="NormalWeb"/>
        <w:spacing w:line="360" w:lineRule="auto"/>
        <w:ind w:left="360"/>
        <w:jc w:val="both"/>
        <w:rPr>
          <w:rFonts w:ascii="Calibri" w:hAnsi="Calibri" w:cs="Calibri"/>
          <w:color w:val="215E99" w:themeColor="text2" w:themeTint="BF"/>
        </w:rPr>
      </w:pPr>
      <w:r w:rsidRPr="00121028">
        <w:rPr>
          <w:rFonts w:ascii="Calibri" w:hAnsi="Calibri" w:cs="Calibri"/>
          <w:color w:val="215E99" w:themeColor="text2" w:themeTint="BF"/>
        </w:rPr>
        <w:t xml:space="preserve">Within the wider community, stigma associated with dementia and cognitive decline can contribute to social withdrawal and reduced participation in cultural, religious, and social activities. Exclusion may also arise from the gradual loss of valued social roles, as older </w:t>
      </w:r>
      <w:proofErr w:type="gramStart"/>
      <w:r w:rsidRPr="00121028">
        <w:rPr>
          <w:rFonts w:ascii="Calibri" w:hAnsi="Calibri" w:cs="Calibri"/>
          <w:color w:val="215E99" w:themeColor="text2" w:themeTint="BF"/>
        </w:rPr>
        <w:t>persons</w:t>
      </w:r>
      <w:proofErr w:type="gramEnd"/>
      <w:r w:rsidRPr="00121028">
        <w:rPr>
          <w:rFonts w:ascii="Calibri" w:hAnsi="Calibri" w:cs="Calibri"/>
          <w:color w:val="215E99" w:themeColor="text2" w:themeTint="BF"/>
        </w:rPr>
        <w:t xml:space="preserve"> </w:t>
      </w:r>
      <w:proofErr w:type="gramStart"/>
      <w:r w:rsidRPr="00121028">
        <w:rPr>
          <w:rFonts w:ascii="Calibri" w:hAnsi="Calibri" w:cs="Calibri"/>
          <w:color w:val="215E99" w:themeColor="text2" w:themeTint="BF"/>
        </w:rPr>
        <w:t>are sometimes</w:t>
      </w:r>
      <w:proofErr w:type="gramEnd"/>
      <w:r w:rsidRPr="00121028">
        <w:rPr>
          <w:rFonts w:ascii="Calibri" w:hAnsi="Calibri" w:cs="Calibri"/>
          <w:color w:val="215E99" w:themeColor="text2" w:themeTint="BF"/>
        </w:rPr>
        <w:t xml:space="preserve"> no longer </w:t>
      </w:r>
      <w:proofErr w:type="spellStart"/>
      <w:r w:rsidRPr="00121028">
        <w:rPr>
          <w:rFonts w:ascii="Calibri" w:hAnsi="Calibri" w:cs="Calibri"/>
          <w:color w:val="215E99" w:themeColor="text2" w:themeTint="BF"/>
        </w:rPr>
        <w:t>recognised</w:t>
      </w:r>
      <w:proofErr w:type="spellEnd"/>
      <w:r w:rsidRPr="00121028">
        <w:rPr>
          <w:rFonts w:ascii="Calibri" w:hAnsi="Calibri" w:cs="Calibri"/>
          <w:color w:val="215E99" w:themeColor="text2" w:themeTint="BF"/>
        </w:rPr>
        <w:t xml:space="preserve"> as active contributors despite retaining significant knowledge, experience, and capabilities. Such experiences can adversely affect their sense of belonging, identity, and self-worth. These challenges underscore the importance of </w:t>
      </w:r>
      <w:proofErr w:type="spellStart"/>
      <w:r w:rsidRPr="00121028">
        <w:rPr>
          <w:rFonts w:ascii="Calibri" w:hAnsi="Calibri" w:cs="Calibri"/>
          <w:color w:val="215E99" w:themeColor="text2" w:themeTint="BF"/>
        </w:rPr>
        <w:t>recognising</w:t>
      </w:r>
      <w:proofErr w:type="spellEnd"/>
      <w:r w:rsidRPr="00121028">
        <w:rPr>
          <w:rFonts w:ascii="Calibri" w:hAnsi="Calibri" w:cs="Calibri"/>
          <w:color w:val="215E99" w:themeColor="text2" w:themeTint="BF"/>
        </w:rPr>
        <w:t xml:space="preserve"> older </w:t>
      </w:r>
      <w:proofErr w:type="gramStart"/>
      <w:r w:rsidRPr="00121028">
        <w:rPr>
          <w:rFonts w:ascii="Calibri" w:hAnsi="Calibri" w:cs="Calibri"/>
          <w:color w:val="215E99" w:themeColor="text2" w:themeTint="BF"/>
        </w:rPr>
        <w:t>persons</w:t>
      </w:r>
      <w:proofErr w:type="gramEnd"/>
      <w:r w:rsidRPr="00121028">
        <w:rPr>
          <w:rFonts w:ascii="Calibri" w:hAnsi="Calibri" w:cs="Calibri"/>
          <w:color w:val="215E99" w:themeColor="text2" w:themeTint="BF"/>
        </w:rPr>
        <w:t xml:space="preserve"> with cognitive impairment as active participants whose views, preferences, and perspectives remain relevant and valuable.</w:t>
      </w:r>
    </w:p>
    <w:p w14:paraId="4875CC56" w14:textId="1B463152" w:rsidR="00D56EA5" w:rsidRPr="00121028" w:rsidRDefault="00406CB0" w:rsidP="00F96717">
      <w:pPr>
        <w:pStyle w:val="NormalWeb"/>
        <w:spacing w:line="360" w:lineRule="auto"/>
        <w:ind w:left="360"/>
        <w:jc w:val="both"/>
        <w:rPr>
          <w:rFonts w:ascii="Calibri" w:hAnsi="Calibri" w:cs="Calibri"/>
          <w:color w:val="215E99" w:themeColor="text2" w:themeTint="BF"/>
        </w:rPr>
      </w:pPr>
      <w:r w:rsidRPr="00121028">
        <w:rPr>
          <w:rFonts w:ascii="Calibri" w:hAnsi="Calibri" w:cs="Calibri"/>
          <w:color w:val="215E99" w:themeColor="text2" w:themeTint="BF"/>
        </w:rPr>
        <w:t xml:space="preserve">In Malta, the rights and wellbeing of older persons with cognitive impairment are supported through the National Strategic Policy for Active Ageing (2023–2030), the National Dementia Strategy (2024–2031), and the regulatory framework issued by the </w:t>
      </w:r>
      <w:r w:rsidRPr="00121028">
        <w:rPr>
          <w:rFonts w:ascii="Calibri" w:hAnsi="Calibri" w:cs="Calibri"/>
          <w:color w:val="215E99" w:themeColor="text2" w:themeTint="BF"/>
        </w:rPr>
        <w:lastRenderedPageBreak/>
        <w:t>Older Persons Standards Authority. Collectively, these measures place person-</w:t>
      </w:r>
      <w:proofErr w:type="spellStart"/>
      <w:r w:rsidRPr="00121028">
        <w:rPr>
          <w:rFonts w:ascii="Calibri" w:hAnsi="Calibri" w:cs="Calibri"/>
          <w:color w:val="215E99" w:themeColor="text2" w:themeTint="BF"/>
        </w:rPr>
        <w:t>centred</w:t>
      </w:r>
      <w:proofErr w:type="spellEnd"/>
      <w:r w:rsidRPr="00121028">
        <w:rPr>
          <w:rFonts w:ascii="Calibri" w:hAnsi="Calibri" w:cs="Calibri"/>
          <w:color w:val="215E99" w:themeColor="text2" w:themeTint="BF"/>
        </w:rPr>
        <w:t xml:space="preserve"> care planning at the core of both community and residential care services. Mandatory care plans provide a structured means of identifying individual preferences, needs, and goals, helping to ensure that older persons remain involved in decisions affecting their lives and that their voices continue to inform the care and support they receive.</w:t>
      </w:r>
    </w:p>
    <w:p w14:paraId="17862882" w14:textId="77777777" w:rsidR="00D56EA5" w:rsidRPr="00D56EA5" w:rsidRDefault="00D56EA5" w:rsidP="00D56EA5">
      <w:pPr>
        <w:rPr>
          <w:rFonts w:asciiTheme="majorBidi" w:hAnsiTheme="majorBidi" w:cstheme="majorBidi"/>
          <w:sz w:val="24"/>
          <w:szCs w:val="24"/>
        </w:rPr>
      </w:pPr>
    </w:p>
    <w:p w14:paraId="5F625446" w14:textId="77777777" w:rsidR="003A2679" w:rsidRPr="00513C44" w:rsidRDefault="003A2679" w:rsidP="003A2679">
      <w:pPr>
        <w:pStyle w:val="ListParagraph"/>
        <w:numPr>
          <w:ilvl w:val="0"/>
          <w:numId w:val="1"/>
        </w:numPr>
        <w:ind w:left="720"/>
        <w:rPr>
          <w:rFonts w:asciiTheme="majorBidi" w:hAnsiTheme="majorBidi" w:cstheme="majorBidi"/>
          <w:sz w:val="24"/>
          <w:szCs w:val="24"/>
        </w:rPr>
      </w:pPr>
      <w:r w:rsidRPr="00513C44">
        <w:rPr>
          <w:rFonts w:asciiTheme="majorBidi" w:hAnsiTheme="majorBidi" w:cstheme="majorBidi"/>
          <w:sz w:val="24"/>
          <w:szCs w:val="24"/>
        </w:rPr>
        <w:t>How are the wishes, emotions, preferences and values of older persons with cognitive impairment identified, interpreted and respected when communication is difficult, altered or fluctuating?</w:t>
      </w:r>
    </w:p>
    <w:p w14:paraId="6BB5AEAC" w14:textId="12966242" w:rsidR="005115D8" w:rsidRPr="005115D8" w:rsidRDefault="003A2679" w:rsidP="005115D8">
      <w:pPr>
        <w:pStyle w:val="ListParagraph"/>
        <w:numPr>
          <w:ilvl w:val="1"/>
          <w:numId w:val="1"/>
        </w:numPr>
        <w:rPr>
          <w:rStyle w:val="Strong"/>
          <w:rFonts w:asciiTheme="majorBidi" w:hAnsiTheme="majorBidi" w:cstheme="majorBidi"/>
          <w:b w:val="0"/>
          <w:bCs w:val="0"/>
          <w:sz w:val="24"/>
          <w:szCs w:val="24"/>
        </w:rPr>
      </w:pPr>
      <w:r w:rsidRPr="00513C44">
        <w:rPr>
          <w:rFonts w:asciiTheme="majorBidi" w:hAnsiTheme="majorBidi" w:cstheme="majorBidi"/>
          <w:sz w:val="24"/>
          <w:szCs w:val="24"/>
        </w:rPr>
        <w:t>Examples: communication support, non-verbal expression, involvement of trusted persons, advance expressions of wishes, relational understanding of preferences.</w:t>
      </w:r>
    </w:p>
    <w:p w14:paraId="56B337CB" w14:textId="1338237A" w:rsidR="005115D8" w:rsidRPr="00121028" w:rsidRDefault="005115D8" w:rsidP="005115D8">
      <w:pPr>
        <w:pStyle w:val="NormalWeb"/>
        <w:spacing w:line="360" w:lineRule="auto"/>
        <w:ind w:left="360"/>
        <w:jc w:val="both"/>
        <w:rPr>
          <w:rFonts w:ascii="Calibri" w:hAnsi="Calibri" w:cs="Calibri"/>
          <w:color w:val="215E99" w:themeColor="text2" w:themeTint="BF"/>
        </w:rPr>
      </w:pPr>
      <w:r w:rsidRPr="00121028">
        <w:rPr>
          <w:rFonts w:ascii="Calibri" w:hAnsi="Calibri" w:cs="Calibri"/>
          <w:color w:val="215E99" w:themeColor="text2" w:themeTint="BF"/>
        </w:rPr>
        <w:t xml:space="preserve">Identifying and respecting the wishes and preferences of older </w:t>
      </w:r>
      <w:proofErr w:type="gramStart"/>
      <w:r w:rsidRPr="00121028">
        <w:rPr>
          <w:rFonts w:ascii="Calibri" w:hAnsi="Calibri" w:cs="Calibri"/>
          <w:color w:val="215E99" w:themeColor="text2" w:themeTint="BF"/>
        </w:rPr>
        <w:t>persons</w:t>
      </w:r>
      <w:proofErr w:type="gramEnd"/>
      <w:r w:rsidRPr="00121028">
        <w:rPr>
          <w:rFonts w:ascii="Calibri" w:hAnsi="Calibri" w:cs="Calibri"/>
          <w:color w:val="215E99" w:themeColor="text2" w:themeTint="BF"/>
        </w:rPr>
        <w:t xml:space="preserve"> with cognitive impairment requires a person-</w:t>
      </w:r>
      <w:proofErr w:type="spellStart"/>
      <w:r w:rsidRPr="00121028">
        <w:rPr>
          <w:rFonts w:ascii="Calibri" w:hAnsi="Calibri" w:cs="Calibri"/>
          <w:color w:val="215E99" w:themeColor="text2" w:themeTint="BF"/>
        </w:rPr>
        <w:t>centred</w:t>
      </w:r>
      <w:proofErr w:type="spellEnd"/>
      <w:r w:rsidRPr="00121028">
        <w:rPr>
          <w:rFonts w:ascii="Calibri" w:hAnsi="Calibri" w:cs="Calibri"/>
          <w:color w:val="215E99" w:themeColor="text2" w:themeTint="BF"/>
        </w:rPr>
        <w:t xml:space="preserve"> and relationship-based approach. When verbal communication becomes difficult or inconsistent, family members, caregivers, and professionals may draw on both verbal and non-verbal forms of communication, including facial expressions, body language, </w:t>
      </w:r>
      <w:proofErr w:type="spellStart"/>
      <w:r w:rsidRPr="00121028">
        <w:rPr>
          <w:rFonts w:ascii="Calibri" w:hAnsi="Calibri" w:cs="Calibri"/>
          <w:color w:val="215E99" w:themeColor="text2" w:themeTint="BF"/>
        </w:rPr>
        <w:t>behaviour</w:t>
      </w:r>
      <w:proofErr w:type="spellEnd"/>
      <w:r w:rsidRPr="00121028">
        <w:rPr>
          <w:rFonts w:ascii="Calibri" w:hAnsi="Calibri" w:cs="Calibri"/>
          <w:color w:val="215E99" w:themeColor="text2" w:themeTint="BF"/>
        </w:rPr>
        <w:t>, and emotional responses. These cues can provide valuable insight into an individual’s preferences, comfort, and overall wellbeing.</w:t>
      </w:r>
    </w:p>
    <w:p w14:paraId="34703E90" w14:textId="77777777" w:rsidR="005115D8" w:rsidRPr="00121028" w:rsidRDefault="005115D8" w:rsidP="005115D8">
      <w:pPr>
        <w:pStyle w:val="NormalWeb"/>
        <w:spacing w:line="360" w:lineRule="auto"/>
        <w:ind w:left="360"/>
        <w:jc w:val="both"/>
        <w:rPr>
          <w:rFonts w:ascii="Calibri" w:hAnsi="Calibri" w:cs="Calibri"/>
          <w:color w:val="215E99" w:themeColor="text2" w:themeTint="BF"/>
        </w:rPr>
      </w:pPr>
      <w:r w:rsidRPr="00121028">
        <w:rPr>
          <w:rFonts w:ascii="Calibri" w:hAnsi="Calibri" w:cs="Calibri"/>
          <w:color w:val="215E99" w:themeColor="text2" w:themeTint="BF"/>
        </w:rPr>
        <w:t xml:space="preserve">Family members often play an important role in interpreting preferences and values, particularly when they have a deep understanding of the person’s life history, routines, beliefs, and relationships. However, their involvement should support, rather than replace, direct engagement with the older person. Communication can be enhanced </w:t>
      </w:r>
      <w:proofErr w:type="gramStart"/>
      <w:r w:rsidRPr="00121028">
        <w:rPr>
          <w:rFonts w:ascii="Calibri" w:hAnsi="Calibri" w:cs="Calibri"/>
          <w:color w:val="215E99" w:themeColor="text2" w:themeTint="BF"/>
        </w:rPr>
        <w:t>through the use of</w:t>
      </w:r>
      <w:proofErr w:type="gramEnd"/>
      <w:r w:rsidRPr="00121028">
        <w:rPr>
          <w:rFonts w:ascii="Calibri" w:hAnsi="Calibri" w:cs="Calibri"/>
          <w:color w:val="215E99" w:themeColor="text2" w:themeTint="BF"/>
        </w:rPr>
        <w:t xml:space="preserve"> clear and simple language, visual prompts, repetition, patience, and environments that </w:t>
      </w:r>
      <w:proofErr w:type="spellStart"/>
      <w:r w:rsidRPr="00121028">
        <w:rPr>
          <w:rFonts w:ascii="Calibri" w:hAnsi="Calibri" w:cs="Calibri"/>
          <w:color w:val="215E99" w:themeColor="text2" w:themeTint="BF"/>
        </w:rPr>
        <w:t>minimise</w:t>
      </w:r>
      <w:proofErr w:type="spellEnd"/>
      <w:r w:rsidRPr="00121028">
        <w:rPr>
          <w:rFonts w:ascii="Calibri" w:hAnsi="Calibri" w:cs="Calibri"/>
          <w:color w:val="215E99" w:themeColor="text2" w:themeTint="BF"/>
        </w:rPr>
        <w:t xml:space="preserve"> stress and confusion.</w:t>
      </w:r>
    </w:p>
    <w:p w14:paraId="511CEFA8" w14:textId="77777777" w:rsidR="005115D8" w:rsidRPr="00121028" w:rsidRDefault="005115D8" w:rsidP="005115D8">
      <w:pPr>
        <w:pStyle w:val="NormalWeb"/>
        <w:spacing w:line="360" w:lineRule="auto"/>
        <w:ind w:left="360"/>
        <w:jc w:val="both"/>
        <w:rPr>
          <w:rFonts w:ascii="Calibri" w:hAnsi="Calibri" w:cs="Calibri"/>
          <w:color w:val="215E99" w:themeColor="text2" w:themeTint="BF"/>
        </w:rPr>
      </w:pPr>
      <w:r w:rsidRPr="00121028">
        <w:rPr>
          <w:rFonts w:ascii="Calibri" w:hAnsi="Calibri" w:cs="Calibri"/>
          <w:color w:val="215E99" w:themeColor="text2" w:themeTint="BF"/>
        </w:rPr>
        <w:t>Respecting preferences also requires recognition that decision-making capacity may fluctuate over time and across different situations. A relational understanding of autonomy acknowledges that an individual’s wishes and preferences are often best understood through ongoing relationships and shared experiences. By combining direct engagement with supportive communication strategies and knowledge of the person’s life story, care practices can better uphold dignity, identity, and self-determination.</w:t>
      </w:r>
    </w:p>
    <w:p w14:paraId="5E22D599" w14:textId="77777777" w:rsidR="005115D8" w:rsidRPr="00121028" w:rsidRDefault="005115D8" w:rsidP="005115D8">
      <w:pPr>
        <w:pStyle w:val="NormalWeb"/>
        <w:spacing w:line="360" w:lineRule="auto"/>
        <w:ind w:left="360"/>
        <w:jc w:val="both"/>
        <w:rPr>
          <w:rFonts w:ascii="Calibri" w:hAnsi="Calibri" w:cs="Calibri"/>
          <w:color w:val="215E99" w:themeColor="text2" w:themeTint="BF"/>
        </w:rPr>
      </w:pPr>
      <w:r w:rsidRPr="00121028">
        <w:rPr>
          <w:rFonts w:ascii="Calibri" w:hAnsi="Calibri" w:cs="Calibri"/>
          <w:color w:val="215E99" w:themeColor="text2" w:themeTint="BF"/>
        </w:rPr>
        <w:t xml:space="preserve">In Malta, the wishes, values, emotions, and preferences of older persons with cognitive impairment are supported through a range of </w:t>
      </w:r>
      <w:proofErr w:type="spellStart"/>
      <w:r w:rsidRPr="00121028">
        <w:rPr>
          <w:rFonts w:ascii="Calibri" w:hAnsi="Calibri" w:cs="Calibri"/>
          <w:color w:val="215E99" w:themeColor="text2" w:themeTint="BF"/>
        </w:rPr>
        <w:t>specialised</w:t>
      </w:r>
      <w:proofErr w:type="spellEnd"/>
      <w:r w:rsidRPr="00121028">
        <w:rPr>
          <w:rFonts w:ascii="Calibri" w:hAnsi="Calibri" w:cs="Calibri"/>
          <w:color w:val="215E99" w:themeColor="text2" w:themeTint="BF"/>
        </w:rPr>
        <w:t xml:space="preserve"> services, including the Dementia </w:t>
      </w:r>
      <w:r w:rsidRPr="00121028">
        <w:rPr>
          <w:rFonts w:ascii="Calibri" w:hAnsi="Calibri" w:cs="Calibri"/>
          <w:color w:val="215E99" w:themeColor="text2" w:themeTint="BF"/>
        </w:rPr>
        <w:lastRenderedPageBreak/>
        <w:t xml:space="preserve">Intervention Team (DIT). Operating under Active Ageing and Community Care, the DIT provides multidisciplinary, home-based support to individuals with dementia and their families across Malta and Gozo. Through comprehensive assessments, the team develops </w:t>
      </w:r>
      <w:proofErr w:type="spellStart"/>
      <w:r w:rsidRPr="00121028">
        <w:rPr>
          <w:rFonts w:ascii="Calibri" w:hAnsi="Calibri" w:cs="Calibri"/>
          <w:color w:val="215E99" w:themeColor="text2" w:themeTint="BF"/>
        </w:rPr>
        <w:t>personalised</w:t>
      </w:r>
      <w:proofErr w:type="spellEnd"/>
      <w:r w:rsidRPr="00121028">
        <w:rPr>
          <w:rFonts w:ascii="Calibri" w:hAnsi="Calibri" w:cs="Calibri"/>
          <w:color w:val="215E99" w:themeColor="text2" w:themeTint="BF"/>
        </w:rPr>
        <w:t xml:space="preserve"> care plans that promote safe and independent living within the community. The service also focuses on identifying and addressing the causes of </w:t>
      </w:r>
      <w:proofErr w:type="spellStart"/>
      <w:r w:rsidRPr="00121028">
        <w:rPr>
          <w:rFonts w:ascii="Calibri" w:hAnsi="Calibri" w:cs="Calibri"/>
          <w:color w:val="215E99" w:themeColor="text2" w:themeTint="BF"/>
        </w:rPr>
        <w:t>behavioural</w:t>
      </w:r>
      <w:proofErr w:type="spellEnd"/>
      <w:r w:rsidRPr="00121028">
        <w:rPr>
          <w:rFonts w:ascii="Calibri" w:hAnsi="Calibri" w:cs="Calibri"/>
          <w:color w:val="215E99" w:themeColor="text2" w:themeTint="BF"/>
        </w:rPr>
        <w:t xml:space="preserve"> and psychological changes associated with dementia, thereby reducing crises and avoiding unnecessary hospital admissions. In addition, the team provides caregivers with practical coping strategies, dementia education, and emotional support, while facilitating access to other services, including Dementia Activity </w:t>
      </w:r>
      <w:proofErr w:type="spellStart"/>
      <w:r w:rsidRPr="00121028">
        <w:rPr>
          <w:rFonts w:ascii="Calibri" w:hAnsi="Calibri" w:cs="Calibri"/>
          <w:color w:val="215E99" w:themeColor="text2" w:themeTint="BF"/>
        </w:rPr>
        <w:t>Centres</w:t>
      </w:r>
      <w:proofErr w:type="spellEnd"/>
      <w:r w:rsidRPr="00121028">
        <w:rPr>
          <w:rFonts w:ascii="Calibri" w:hAnsi="Calibri" w:cs="Calibri"/>
          <w:color w:val="215E99" w:themeColor="text2" w:themeTint="BF"/>
        </w:rPr>
        <w:t xml:space="preserve"> and healthcare professionals. Collectively, these interventions help ensure that care and support remain responsive to the individual’s preferences, needs, and circumstances.</w:t>
      </w:r>
    </w:p>
    <w:p w14:paraId="168D7FDF" w14:textId="77777777" w:rsidR="003A2679" w:rsidRPr="00513C44" w:rsidRDefault="003A2679" w:rsidP="003A2679">
      <w:pPr>
        <w:ind w:left="360"/>
        <w:rPr>
          <w:rFonts w:asciiTheme="majorBidi" w:hAnsiTheme="majorBidi" w:cstheme="majorBidi"/>
          <w:b/>
          <w:bCs/>
          <w:sz w:val="24"/>
          <w:szCs w:val="24"/>
          <w:lang w:val="en-US"/>
        </w:rPr>
      </w:pPr>
    </w:p>
    <w:p w14:paraId="4D6F57D1" w14:textId="77777777" w:rsidR="003A2679" w:rsidRPr="007B132E" w:rsidRDefault="003A2679" w:rsidP="003A2679">
      <w:pPr>
        <w:ind w:left="360"/>
        <w:rPr>
          <w:rFonts w:asciiTheme="majorBidi" w:hAnsiTheme="majorBidi" w:cstheme="majorBidi"/>
          <w:b/>
          <w:bCs/>
          <w:i/>
          <w:iCs/>
          <w:sz w:val="24"/>
          <w:szCs w:val="24"/>
          <w:lang w:val="en-US"/>
        </w:rPr>
      </w:pPr>
      <w:r w:rsidRPr="007B132E">
        <w:rPr>
          <w:rFonts w:asciiTheme="majorBidi" w:hAnsiTheme="majorBidi" w:cstheme="majorBidi"/>
          <w:b/>
          <w:bCs/>
          <w:i/>
          <w:iCs/>
          <w:sz w:val="24"/>
          <w:szCs w:val="24"/>
        </w:rPr>
        <w:t>B. Autonomy and participation</w:t>
      </w:r>
    </w:p>
    <w:p w14:paraId="4388C38B" w14:textId="77777777" w:rsidR="003A2679" w:rsidRPr="00513C44" w:rsidRDefault="003A2679" w:rsidP="003A2679">
      <w:pPr>
        <w:rPr>
          <w:rFonts w:asciiTheme="majorBidi" w:hAnsiTheme="majorBidi" w:cstheme="majorBidi"/>
          <w:b/>
          <w:bCs/>
          <w:sz w:val="24"/>
          <w:szCs w:val="24"/>
          <w:lang w:val="en-US"/>
        </w:rPr>
      </w:pPr>
    </w:p>
    <w:p w14:paraId="70C2846F" w14:textId="77777777" w:rsidR="003A2679" w:rsidRPr="00513C44" w:rsidRDefault="003A2679" w:rsidP="003A2679">
      <w:pPr>
        <w:pStyle w:val="ListParagraph"/>
        <w:numPr>
          <w:ilvl w:val="0"/>
          <w:numId w:val="1"/>
        </w:numPr>
        <w:ind w:left="720"/>
        <w:rPr>
          <w:rFonts w:asciiTheme="majorBidi" w:hAnsiTheme="majorBidi" w:cstheme="majorBidi"/>
          <w:sz w:val="24"/>
          <w:szCs w:val="24"/>
        </w:rPr>
      </w:pPr>
      <w:r w:rsidRPr="00513C44">
        <w:rPr>
          <w:rFonts w:asciiTheme="majorBidi" w:hAnsiTheme="majorBidi" w:cstheme="majorBidi"/>
          <w:sz w:val="24"/>
          <w:szCs w:val="24"/>
        </w:rPr>
        <w:t>In what situations do care, protection or professional practices unintentionally take over decisions or silence the participation of older persons with cognitive impairment?</w:t>
      </w:r>
    </w:p>
    <w:p w14:paraId="715F8777" w14:textId="77777777" w:rsidR="003A2679" w:rsidRDefault="003A2679" w:rsidP="003A2679">
      <w:pPr>
        <w:pStyle w:val="ListParagraph"/>
        <w:numPr>
          <w:ilvl w:val="1"/>
          <w:numId w:val="1"/>
        </w:numPr>
        <w:rPr>
          <w:rFonts w:asciiTheme="majorBidi" w:hAnsiTheme="majorBidi" w:cstheme="majorBidi"/>
          <w:sz w:val="24"/>
          <w:szCs w:val="24"/>
        </w:rPr>
      </w:pPr>
      <w:r w:rsidRPr="00513C44">
        <w:rPr>
          <w:rFonts w:asciiTheme="majorBidi" w:hAnsiTheme="majorBidi" w:cstheme="majorBidi"/>
          <w:sz w:val="24"/>
          <w:szCs w:val="24"/>
        </w:rPr>
        <w:t>Examples: overprotection, automatic substitute decision-making, restrictive routines, exclusion from everyday choices or conversations.</w:t>
      </w:r>
    </w:p>
    <w:p w14:paraId="5F1F1CB8" w14:textId="77777777" w:rsidR="008F735E" w:rsidRPr="008F735E" w:rsidRDefault="008F735E" w:rsidP="008F735E">
      <w:pPr>
        <w:pStyle w:val="NormalWeb"/>
        <w:spacing w:line="360" w:lineRule="auto"/>
        <w:ind w:left="360"/>
        <w:jc w:val="both"/>
        <w:rPr>
          <w:rFonts w:ascii="Calibri" w:hAnsi="Calibri" w:cs="Calibri"/>
          <w:color w:val="215E99" w:themeColor="text2" w:themeTint="BF"/>
        </w:rPr>
      </w:pPr>
      <w:r w:rsidRPr="008F735E">
        <w:rPr>
          <w:rFonts w:ascii="Calibri" w:hAnsi="Calibri" w:cs="Calibri"/>
          <w:color w:val="215E99" w:themeColor="text2" w:themeTint="BF"/>
        </w:rPr>
        <w:t xml:space="preserve">Care and protection measures can sometimes unintentionally restrict the participation of older </w:t>
      </w:r>
      <w:proofErr w:type="gramStart"/>
      <w:r w:rsidRPr="008F735E">
        <w:rPr>
          <w:rFonts w:ascii="Calibri" w:hAnsi="Calibri" w:cs="Calibri"/>
          <w:color w:val="215E99" w:themeColor="text2" w:themeTint="BF"/>
        </w:rPr>
        <w:t>persons</w:t>
      </w:r>
      <w:proofErr w:type="gramEnd"/>
      <w:r w:rsidRPr="008F735E">
        <w:rPr>
          <w:rFonts w:ascii="Calibri" w:hAnsi="Calibri" w:cs="Calibri"/>
          <w:color w:val="215E99" w:themeColor="text2" w:themeTint="BF"/>
        </w:rPr>
        <w:t xml:space="preserve"> with cognitive impairment when others assume they are unable to contribute to decisions. Family members, caregivers, or professionals may make decisions about healthcare, finances, daily routines, or living arrangements on their behalf without adequately seeking their views. Although such actions are often motivated by concerns for safety and wellbeing, they can reduce opportunities for self-expression, autonomy, and meaningful participation.</w:t>
      </w:r>
    </w:p>
    <w:p w14:paraId="479DA891" w14:textId="77777777" w:rsidR="008F735E" w:rsidRPr="008F735E" w:rsidRDefault="008F735E" w:rsidP="008F735E">
      <w:pPr>
        <w:pStyle w:val="NormalWeb"/>
        <w:spacing w:line="360" w:lineRule="auto"/>
        <w:ind w:left="360"/>
        <w:jc w:val="both"/>
        <w:rPr>
          <w:rFonts w:ascii="Calibri" w:hAnsi="Calibri" w:cs="Calibri"/>
          <w:color w:val="215E99" w:themeColor="text2" w:themeTint="BF"/>
        </w:rPr>
      </w:pPr>
      <w:r w:rsidRPr="008F735E">
        <w:rPr>
          <w:rFonts w:ascii="Calibri" w:hAnsi="Calibri" w:cs="Calibri"/>
          <w:color w:val="215E99" w:themeColor="text2" w:themeTint="BF"/>
        </w:rPr>
        <w:t xml:space="preserve">Older </w:t>
      </w:r>
      <w:proofErr w:type="gramStart"/>
      <w:r w:rsidRPr="008F735E">
        <w:rPr>
          <w:rFonts w:ascii="Calibri" w:hAnsi="Calibri" w:cs="Calibri"/>
          <w:color w:val="215E99" w:themeColor="text2" w:themeTint="BF"/>
        </w:rPr>
        <w:t>persons</w:t>
      </w:r>
      <w:proofErr w:type="gramEnd"/>
      <w:r w:rsidRPr="008F735E">
        <w:rPr>
          <w:rFonts w:ascii="Calibri" w:hAnsi="Calibri" w:cs="Calibri"/>
          <w:color w:val="215E99" w:themeColor="text2" w:themeTint="BF"/>
        </w:rPr>
        <w:t xml:space="preserve"> may also be excluded from discussions about their own care when communication difficulties are mistaken for an inability to understand information or express preferences. Promoting participation requires moving beyond purely protective approaches and </w:t>
      </w:r>
      <w:proofErr w:type="spellStart"/>
      <w:r w:rsidRPr="008F735E">
        <w:rPr>
          <w:rFonts w:ascii="Calibri" w:hAnsi="Calibri" w:cs="Calibri"/>
          <w:color w:val="215E99" w:themeColor="text2" w:themeTint="BF"/>
        </w:rPr>
        <w:t>recognising</w:t>
      </w:r>
      <w:proofErr w:type="spellEnd"/>
      <w:r w:rsidRPr="008F735E">
        <w:rPr>
          <w:rFonts w:ascii="Calibri" w:hAnsi="Calibri" w:cs="Calibri"/>
          <w:color w:val="215E99" w:themeColor="text2" w:themeTint="BF"/>
        </w:rPr>
        <w:t xml:space="preserve"> the individual’s remaining abilities, preferences, and right to be involved in decisions affecting their lives to the greatest extent possible.</w:t>
      </w:r>
    </w:p>
    <w:p w14:paraId="7C1A5D8F" w14:textId="01DB0037" w:rsidR="00465B05" w:rsidRPr="00416ABC" w:rsidRDefault="008F735E" w:rsidP="00416ABC">
      <w:pPr>
        <w:pStyle w:val="NormalWeb"/>
        <w:spacing w:line="360" w:lineRule="auto"/>
        <w:ind w:left="360"/>
        <w:jc w:val="both"/>
        <w:rPr>
          <w:rFonts w:ascii="Calibri" w:hAnsi="Calibri" w:cs="Calibri"/>
          <w:color w:val="215E99" w:themeColor="text2" w:themeTint="BF"/>
        </w:rPr>
      </w:pPr>
      <w:r w:rsidRPr="008F735E">
        <w:rPr>
          <w:rFonts w:ascii="Calibri" w:hAnsi="Calibri" w:cs="Calibri"/>
          <w:color w:val="215E99" w:themeColor="text2" w:themeTint="BF"/>
        </w:rPr>
        <w:lastRenderedPageBreak/>
        <w:t xml:space="preserve">In Malta, this approach is reflected in both legislation and policy. Maltese civil law, together with the National Dementia Strategy (2024–2031), places significant emphasis on the early identification and diagnosis of Mild Cognitive Impairment and dementia, helping to safeguard individuals’ rights and support timely participation in future planning and decision-making. Furthermore, a range of government initiatives aim to make essential services, including banking, public transport, and local government services, more accessible and </w:t>
      </w:r>
      <w:r w:rsidR="00416ABC" w:rsidRPr="008F735E">
        <w:rPr>
          <w:rFonts w:ascii="Calibri" w:hAnsi="Calibri" w:cs="Calibri"/>
          <w:color w:val="215E99" w:themeColor="text2" w:themeTint="BF"/>
        </w:rPr>
        <w:t>dementia friendly</w:t>
      </w:r>
      <w:r w:rsidRPr="008F735E">
        <w:rPr>
          <w:rFonts w:ascii="Calibri" w:hAnsi="Calibri" w:cs="Calibri"/>
          <w:color w:val="215E99" w:themeColor="text2" w:themeTint="BF"/>
        </w:rPr>
        <w:t>. These measures support continued independence, social inclusion, and participation in community life, while helping to reduce the risk of discrimination, isolation, and unnecessary dependency.</w:t>
      </w:r>
    </w:p>
    <w:p w14:paraId="78DCC4DB" w14:textId="77777777" w:rsidR="003A2679" w:rsidRPr="00513C44" w:rsidRDefault="003A2679" w:rsidP="003A2679">
      <w:pPr>
        <w:pStyle w:val="ListParagraph"/>
        <w:numPr>
          <w:ilvl w:val="0"/>
          <w:numId w:val="1"/>
        </w:numPr>
        <w:ind w:left="720"/>
        <w:rPr>
          <w:rFonts w:asciiTheme="majorBidi" w:hAnsiTheme="majorBidi" w:cstheme="majorBidi"/>
          <w:sz w:val="24"/>
          <w:szCs w:val="24"/>
        </w:rPr>
      </w:pPr>
      <w:r w:rsidRPr="00513C44">
        <w:rPr>
          <w:rFonts w:asciiTheme="majorBidi" w:hAnsiTheme="majorBidi" w:cstheme="majorBidi"/>
          <w:sz w:val="24"/>
          <w:szCs w:val="24"/>
        </w:rPr>
        <w:t>How can autonomy be supported in practice when cognition fluctuates, is partial, or changes over time?</w:t>
      </w:r>
    </w:p>
    <w:p w14:paraId="487903AA" w14:textId="77777777" w:rsidR="003A2679" w:rsidRPr="00513C44" w:rsidRDefault="003A2679" w:rsidP="003A2679">
      <w:pPr>
        <w:pStyle w:val="ListParagraph"/>
        <w:numPr>
          <w:ilvl w:val="1"/>
          <w:numId w:val="1"/>
        </w:numPr>
        <w:rPr>
          <w:rFonts w:asciiTheme="majorBidi" w:hAnsiTheme="majorBidi" w:cstheme="majorBidi"/>
          <w:sz w:val="24"/>
          <w:szCs w:val="24"/>
        </w:rPr>
      </w:pPr>
      <w:r w:rsidRPr="00513C44">
        <w:rPr>
          <w:rFonts w:asciiTheme="majorBidi" w:hAnsiTheme="majorBidi" w:cstheme="majorBidi"/>
          <w:sz w:val="24"/>
          <w:szCs w:val="24"/>
        </w:rPr>
        <w:t>Examples: supported decision-making, context-sensitive approaches, fluctuating capacity, shared or relational forms of autonomy.</w:t>
      </w:r>
    </w:p>
    <w:p w14:paraId="658E5F35" w14:textId="77777777" w:rsidR="003A2679" w:rsidRDefault="003A2679" w:rsidP="003A2679">
      <w:pPr>
        <w:ind w:left="360"/>
        <w:rPr>
          <w:rFonts w:asciiTheme="majorBidi" w:hAnsiTheme="majorBidi" w:cstheme="majorBidi"/>
          <w:sz w:val="24"/>
          <w:szCs w:val="24"/>
          <w:lang w:val="en-US"/>
        </w:rPr>
      </w:pPr>
    </w:p>
    <w:p w14:paraId="6C798C61" w14:textId="77777777" w:rsidR="00106319" w:rsidRPr="00106319" w:rsidRDefault="00106319" w:rsidP="00106319">
      <w:pPr>
        <w:spacing w:line="360" w:lineRule="auto"/>
        <w:ind w:left="360"/>
        <w:jc w:val="both"/>
        <w:rPr>
          <w:rFonts w:ascii="Calibri" w:hAnsi="Calibri" w:cs="Calibri"/>
          <w:color w:val="215E99" w:themeColor="text2" w:themeTint="BF"/>
          <w:sz w:val="24"/>
          <w:szCs w:val="24"/>
        </w:rPr>
      </w:pPr>
      <w:r w:rsidRPr="00106319">
        <w:rPr>
          <w:rFonts w:ascii="Calibri" w:hAnsi="Calibri" w:cs="Calibri"/>
          <w:color w:val="215E99" w:themeColor="text2" w:themeTint="BF"/>
          <w:sz w:val="24"/>
          <w:szCs w:val="24"/>
        </w:rPr>
        <w:t>Rather than focusing solely on limitations, a supported decision-making approach seeks to enable older persons with cognitive impairment to participate as fully as possible in decisions affecting their lives. This approach recognises and builds upon an individual’s remaining abilities, strengths, and preferences, while providing the support necessary for meaningful involvement in decision-making.</w:t>
      </w:r>
    </w:p>
    <w:p w14:paraId="0E0B4467" w14:textId="6280724C" w:rsidR="00106319" w:rsidRPr="00106319" w:rsidRDefault="00106319" w:rsidP="00106319">
      <w:pPr>
        <w:spacing w:line="360" w:lineRule="auto"/>
        <w:ind w:left="360"/>
        <w:jc w:val="both"/>
        <w:rPr>
          <w:rFonts w:ascii="Calibri" w:hAnsi="Calibri" w:cs="Calibri"/>
          <w:color w:val="215E99" w:themeColor="text2" w:themeTint="BF"/>
          <w:sz w:val="24"/>
          <w:szCs w:val="24"/>
        </w:rPr>
      </w:pPr>
      <w:r w:rsidRPr="00106319">
        <w:rPr>
          <w:rFonts w:ascii="Calibri" w:hAnsi="Calibri" w:cs="Calibri"/>
          <w:color w:val="215E99" w:themeColor="text2" w:themeTint="BF"/>
          <w:sz w:val="24"/>
          <w:szCs w:val="24"/>
        </w:rPr>
        <w:t xml:space="preserve">In practice, this may involve presenting information in accessible formats, allowing additional time for discussion, using visual aids or other communication supports, and identifying the circumstances in which the person communicates most effectively. Family members and caregivers can play an important role in assisting with communication and interpreting preferences, provided that the individual’s own views and wishes </w:t>
      </w:r>
      <w:r w:rsidR="00F82F01" w:rsidRPr="00106319">
        <w:rPr>
          <w:rFonts w:ascii="Calibri" w:hAnsi="Calibri" w:cs="Calibri"/>
          <w:color w:val="215E99" w:themeColor="text2" w:themeTint="BF"/>
          <w:sz w:val="24"/>
          <w:szCs w:val="24"/>
        </w:rPr>
        <w:t>would remain</w:t>
      </w:r>
      <w:r w:rsidRPr="00106319">
        <w:rPr>
          <w:rFonts w:ascii="Calibri" w:hAnsi="Calibri" w:cs="Calibri"/>
          <w:color w:val="215E99" w:themeColor="text2" w:themeTint="BF"/>
          <w:sz w:val="24"/>
          <w:szCs w:val="24"/>
        </w:rPr>
        <w:t xml:space="preserve"> central to the decision-making process.</w:t>
      </w:r>
    </w:p>
    <w:p w14:paraId="2C3FD47A" w14:textId="67E11A2B" w:rsidR="00465B05" w:rsidRPr="00494D6E" w:rsidRDefault="00106319" w:rsidP="00494D6E">
      <w:pPr>
        <w:spacing w:line="360" w:lineRule="auto"/>
        <w:ind w:left="360"/>
        <w:jc w:val="both"/>
        <w:rPr>
          <w:rFonts w:ascii="Calibri" w:hAnsi="Calibri" w:cs="Calibri"/>
          <w:color w:val="215E99" w:themeColor="text2" w:themeTint="BF"/>
          <w:sz w:val="24"/>
          <w:szCs w:val="24"/>
        </w:rPr>
      </w:pPr>
      <w:r w:rsidRPr="00106319">
        <w:rPr>
          <w:rFonts w:ascii="Calibri" w:hAnsi="Calibri" w:cs="Calibri"/>
          <w:color w:val="215E99" w:themeColor="text2" w:themeTint="BF"/>
          <w:sz w:val="24"/>
          <w:szCs w:val="24"/>
        </w:rPr>
        <w:t>Within the Maltese context, advance care planning is increasingly recognised as an important mechanism for preserving autonomy. By encouraging individuals to express their wishes, values, and preferences at an early stage, advance care planning helps ensure that future care and support remain aligned with what matters most to them, even if cognitive abilities decline over time. This approach is consistent with the principles underpinning both the National Strategic Policy for Active Ageing (2023–2030) and the National Dementia Strategy (2024–2031), which promote person-centred care, respect for dignity, and the active participation of older persons in decisions affecting their lives</w:t>
      </w:r>
      <w:r w:rsidR="00494D6E">
        <w:rPr>
          <w:rFonts w:ascii="Calibri" w:hAnsi="Calibri" w:cs="Calibri"/>
          <w:color w:val="215E99" w:themeColor="text2" w:themeTint="BF"/>
          <w:sz w:val="24"/>
          <w:szCs w:val="24"/>
        </w:rPr>
        <w:t>.</w:t>
      </w:r>
    </w:p>
    <w:p w14:paraId="1C8E95E6" w14:textId="77777777" w:rsidR="00465B05" w:rsidRPr="00513C44" w:rsidRDefault="00465B05" w:rsidP="003A2679">
      <w:pPr>
        <w:ind w:left="360"/>
        <w:rPr>
          <w:rFonts w:asciiTheme="majorBidi" w:hAnsiTheme="majorBidi" w:cstheme="majorBidi"/>
          <w:sz w:val="24"/>
          <w:szCs w:val="24"/>
          <w:lang w:val="en-US"/>
        </w:rPr>
      </w:pPr>
    </w:p>
    <w:p w14:paraId="21E754EA" w14:textId="77777777" w:rsidR="003A2679" w:rsidRPr="007B132E" w:rsidRDefault="003A2679" w:rsidP="003A2679">
      <w:pPr>
        <w:ind w:left="360"/>
        <w:rPr>
          <w:rFonts w:asciiTheme="majorBidi" w:hAnsiTheme="majorBidi" w:cstheme="majorBidi"/>
          <w:b/>
          <w:bCs/>
          <w:i/>
          <w:iCs/>
          <w:sz w:val="24"/>
          <w:szCs w:val="24"/>
        </w:rPr>
      </w:pPr>
      <w:r w:rsidRPr="007B132E">
        <w:rPr>
          <w:rFonts w:asciiTheme="majorBidi" w:hAnsiTheme="majorBidi" w:cstheme="majorBidi"/>
          <w:b/>
          <w:bCs/>
          <w:i/>
          <w:iCs/>
          <w:sz w:val="24"/>
          <w:szCs w:val="24"/>
        </w:rPr>
        <w:t>C. Personhood, relationships and belonging</w:t>
      </w:r>
    </w:p>
    <w:p w14:paraId="42B1549F" w14:textId="77777777" w:rsidR="003A2679" w:rsidRPr="00513C44" w:rsidRDefault="003A2679" w:rsidP="003A2679">
      <w:pPr>
        <w:ind w:left="360"/>
        <w:rPr>
          <w:rFonts w:asciiTheme="majorBidi" w:hAnsiTheme="majorBidi" w:cstheme="majorBidi"/>
          <w:b/>
          <w:bCs/>
          <w:sz w:val="24"/>
          <w:szCs w:val="24"/>
          <w:lang w:val="en-US"/>
        </w:rPr>
      </w:pPr>
    </w:p>
    <w:p w14:paraId="280839C5" w14:textId="77777777" w:rsidR="003A2679" w:rsidRPr="00513C44" w:rsidRDefault="003A2679" w:rsidP="003A2679">
      <w:pPr>
        <w:pStyle w:val="ListParagraph"/>
        <w:numPr>
          <w:ilvl w:val="0"/>
          <w:numId w:val="1"/>
        </w:numPr>
        <w:ind w:left="720"/>
        <w:rPr>
          <w:rFonts w:asciiTheme="majorBidi" w:hAnsiTheme="majorBidi" w:cstheme="majorBidi"/>
          <w:sz w:val="24"/>
          <w:szCs w:val="24"/>
        </w:rPr>
      </w:pPr>
      <w:r w:rsidRPr="00513C44">
        <w:rPr>
          <w:rFonts w:asciiTheme="majorBidi" w:hAnsiTheme="majorBidi" w:cstheme="majorBidi"/>
          <w:sz w:val="24"/>
          <w:szCs w:val="24"/>
        </w:rPr>
        <w:t>How does cognitive impairment affect an older person’s role, identity, relationships and sense of belonging in family, community and social life?</w:t>
      </w:r>
    </w:p>
    <w:p w14:paraId="5E9D0485" w14:textId="77777777" w:rsidR="003A2679" w:rsidRDefault="003A2679" w:rsidP="003A2679">
      <w:pPr>
        <w:pStyle w:val="ListParagraph"/>
        <w:numPr>
          <w:ilvl w:val="1"/>
          <w:numId w:val="1"/>
        </w:numPr>
        <w:rPr>
          <w:rFonts w:asciiTheme="majorBidi" w:hAnsiTheme="majorBidi" w:cstheme="majorBidi"/>
          <w:sz w:val="24"/>
          <w:szCs w:val="24"/>
        </w:rPr>
      </w:pPr>
      <w:r w:rsidRPr="00513C44">
        <w:rPr>
          <w:rFonts w:asciiTheme="majorBidi" w:hAnsiTheme="majorBidi" w:cstheme="majorBidi"/>
          <w:sz w:val="24"/>
          <w:szCs w:val="24"/>
        </w:rPr>
        <w:t>Examples: changes in family roles, social withdrawal, loss of responsibilities, stigma, reduced expectations regarding participation.</w:t>
      </w:r>
    </w:p>
    <w:p w14:paraId="37133192" w14:textId="77777777" w:rsidR="00701C21" w:rsidRDefault="00701C21" w:rsidP="00701C21">
      <w:pPr>
        <w:rPr>
          <w:rFonts w:asciiTheme="majorBidi" w:hAnsiTheme="majorBidi" w:cstheme="majorBidi"/>
          <w:sz w:val="24"/>
          <w:szCs w:val="24"/>
        </w:rPr>
      </w:pPr>
    </w:p>
    <w:p w14:paraId="3779A783" w14:textId="77777777" w:rsidR="004C3085" w:rsidRPr="004C3085" w:rsidRDefault="004C3085" w:rsidP="004C3085">
      <w:pPr>
        <w:spacing w:line="360" w:lineRule="auto"/>
        <w:jc w:val="both"/>
        <w:rPr>
          <w:rFonts w:ascii="Calibri" w:hAnsi="Calibri" w:cs="Calibri"/>
          <w:color w:val="156082" w:themeColor="accent1"/>
          <w:sz w:val="24"/>
          <w:szCs w:val="24"/>
        </w:rPr>
      </w:pPr>
      <w:r w:rsidRPr="004C3085">
        <w:rPr>
          <w:rFonts w:ascii="Calibri" w:hAnsi="Calibri" w:cs="Calibri"/>
          <w:color w:val="156082" w:themeColor="accent1"/>
          <w:sz w:val="24"/>
          <w:szCs w:val="24"/>
        </w:rPr>
        <w:t>Cognitive impairment can affect an older person’s role within family life, community participation, and sense of identity, particularly when they become increasingly reliant on others for support and decision-making. This may result in reduced responsibilities within the household, decreased involvement in social activities, and a gradual withdrawal from roles and relationships that were previously important to them. Stigma and assumptions about diminished capacity can further undermine their sense of belonging and social inclusion. However, many older persons with cognitive impairment continue to make meaningful contributions when communication is appropriately adapted and supportive relationships are maintained.</w:t>
      </w:r>
    </w:p>
    <w:p w14:paraId="511C24A1" w14:textId="77777777" w:rsidR="004C3085" w:rsidRPr="004C3085" w:rsidRDefault="004C3085" w:rsidP="004C3085">
      <w:pPr>
        <w:spacing w:line="360" w:lineRule="auto"/>
        <w:jc w:val="both"/>
        <w:rPr>
          <w:rFonts w:ascii="Calibri" w:hAnsi="Calibri" w:cs="Calibri"/>
          <w:color w:val="156082" w:themeColor="accent1"/>
          <w:sz w:val="24"/>
          <w:szCs w:val="24"/>
        </w:rPr>
      </w:pPr>
      <w:r w:rsidRPr="004C3085">
        <w:rPr>
          <w:rFonts w:ascii="Calibri" w:hAnsi="Calibri" w:cs="Calibri"/>
          <w:color w:val="156082" w:themeColor="accent1"/>
          <w:sz w:val="24"/>
          <w:szCs w:val="24"/>
        </w:rPr>
        <w:t>Within the Maltese context, the National Dementia Strategy (2024–2031) places the concept of personhood at the centre of dementia care. This principle recognises that an individual’s identity, dignity, values, relationships, and life experiences remain important regardless of cognitive decline. Consequently, the Strategy promotes a shift away from approaches that focus solely on diagnosis or impairment, towards care that acknowledges the person as a unique individual with continuing rights, preferences, and capabilities. It also emphasises the provision of specialised training for healthcare professionals and caregivers on ethical decision-making, respect for personhood, and the promotion of wellbeing. By embedding these principles within care practice, the Strategy seeks to ensure that older persons with cognitive impairment are treated with dignity, supported to maintain their identity, and enabled to remain active participants in family and community life for as long as possible.</w:t>
      </w:r>
    </w:p>
    <w:p w14:paraId="57FC2F6B" w14:textId="1392E687" w:rsidR="00456213" w:rsidRDefault="009A5273" w:rsidP="009A5273">
      <w:pPr>
        <w:jc w:val="both"/>
        <w:rPr>
          <w:rFonts w:asciiTheme="majorBidi" w:hAnsiTheme="majorBidi" w:cstheme="majorBidi"/>
          <w:sz w:val="24"/>
          <w:szCs w:val="24"/>
        </w:rPr>
      </w:pPr>
      <w:r w:rsidRPr="00456213" w:rsidDel="009A5273">
        <w:rPr>
          <w:rFonts w:asciiTheme="majorBidi" w:hAnsiTheme="majorBidi" w:cstheme="majorBidi"/>
          <w:color w:val="156082" w:themeColor="accent1"/>
          <w:sz w:val="24"/>
          <w:szCs w:val="24"/>
        </w:rPr>
        <w:t xml:space="preserve"> </w:t>
      </w:r>
    </w:p>
    <w:p w14:paraId="14926586" w14:textId="77777777" w:rsidR="00456213" w:rsidRPr="00701C21" w:rsidRDefault="00456213" w:rsidP="00701C21">
      <w:pPr>
        <w:rPr>
          <w:rFonts w:asciiTheme="majorBidi" w:hAnsiTheme="majorBidi" w:cstheme="majorBidi"/>
          <w:sz w:val="24"/>
          <w:szCs w:val="24"/>
        </w:rPr>
      </w:pPr>
    </w:p>
    <w:p w14:paraId="48C346DF" w14:textId="77777777" w:rsidR="003A2679" w:rsidRPr="00513C44" w:rsidRDefault="003A2679" w:rsidP="003A2679">
      <w:pPr>
        <w:pStyle w:val="ListParagraph"/>
        <w:numPr>
          <w:ilvl w:val="0"/>
          <w:numId w:val="1"/>
        </w:numPr>
        <w:ind w:left="720"/>
        <w:rPr>
          <w:rFonts w:asciiTheme="majorBidi" w:hAnsiTheme="majorBidi" w:cstheme="majorBidi"/>
          <w:sz w:val="24"/>
          <w:szCs w:val="24"/>
        </w:rPr>
      </w:pPr>
      <w:r w:rsidRPr="00513C44">
        <w:rPr>
          <w:rFonts w:asciiTheme="majorBidi" w:hAnsiTheme="majorBidi" w:cstheme="majorBidi"/>
          <w:sz w:val="24"/>
          <w:szCs w:val="24"/>
        </w:rPr>
        <w:t>What stereotypes, fears or social attitudes most often lead to loss of dignity, exclusion or reduced expectations for older persons with cognitive impairment?</w:t>
      </w:r>
    </w:p>
    <w:p w14:paraId="0682A9B7" w14:textId="77777777" w:rsidR="003A2679" w:rsidRDefault="003A2679" w:rsidP="003A2679">
      <w:pPr>
        <w:pStyle w:val="ListParagraph"/>
        <w:numPr>
          <w:ilvl w:val="1"/>
          <w:numId w:val="1"/>
        </w:numPr>
        <w:rPr>
          <w:rFonts w:asciiTheme="majorBidi" w:hAnsiTheme="majorBidi" w:cstheme="majorBidi"/>
          <w:sz w:val="24"/>
          <w:szCs w:val="24"/>
        </w:rPr>
      </w:pPr>
      <w:r w:rsidRPr="00513C44">
        <w:rPr>
          <w:rFonts w:asciiTheme="majorBidi" w:hAnsiTheme="majorBidi" w:cstheme="majorBidi"/>
          <w:sz w:val="24"/>
          <w:szCs w:val="24"/>
        </w:rPr>
        <w:t>Examples: assumptions of incompetence, infantilization, fear of dementia, social avoidance, exclusion from public or cultural life.</w:t>
      </w:r>
    </w:p>
    <w:p w14:paraId="22D54AE7" w14:textId="77777777" w:rsidR="00456213" w:rsidRDefault="00456213" w:rsidP="00456213">
      <w:pPr>
        <w:rPr>
          <w:rFonts w:asciiTheme="majorBidi" w:hAnsiTheme="majorBidi" w:cstheme="majorBidi"/>
          <w:sz w:val="24"/>
          <w:szCs w:val="24"/>
        </w:rPr>
      </w:pPr>
    </w:p>
    <w:p w14:paraId="66E1561D" w14:textId="50867A78" w:rsidR="00257BAE" w:rsidRPr="00257BAE" w:rsidRDefault="00257BAE" w:rsidP="00257BAE">
      <w:pPr>
        <w:spacing w:line="360" w:lineRule="auto"/>
        <w:ind w:left="360"/>
        <w:jc w:val="both"/>
        <w:rPr>
          <w:rFonts w:ascii="Calibri" w:hAnsi="Calibri" w:cs="Calibri"/>
          <w:color w:val="156082" w:themeColor="accent1"/>
          <w:sz w:val="24"/>
          <w:szCs w:val="24"/>
        </w:rPr>
      </w:pPr>
      <w:r w:rsidRPr="00257BAE">
        <w:rPr>
          <w:rFonts w:ascii="Calibri" w:hAnsi="Calibri" w:cs="Calibri"/>
          <w:color w:val="156082" w:themeColor="accent1"/>
          <w:sz w:val="24"/>
          <w:szCs w:val="24"/>
        </w:rPr>
        <w:t xml:space="preserve">Some of the most harmful stereotypes associated with cognitive impairment are the assumptions that individuals are incompetent, childlike, or incapable of contributing to </w:t>
      </w:r>
      <w:r w:rsidRPr="00257BAE">
        <w:rPr>
          <w:rFonts w:ascii="Calibri" w:hAnsi="Calibri" w:cs="Calibri"/>
          <w:color w:val="156082" w:themeColor="accent1"/>
          <w:sz w:val="24"/>
          <w:szCs w:val="24"/>
        </w:rPr>
        <w:lastRenderedPageBreak/>
        <w:t>decisions about their own lives or participating meaningfully in their communities. A common misconception is that a diagnosis of cognitive impairment</w:t>
      </w:r>
      <w:r>
        <w:rPr>
          <w:rFonts w:ascii="Calibri" w:hAnsi="Calibri" w:cs="Calibri"/>
          <w:color w:val="156082" w:themeColor="accent1"/>
          <w:sz w:val="24"/>
          <w:szCs w:val="24"/>
        </w:rPr>
        <w:t xml:space="preserve"> </w:t>
      </w:r>
      <w:r w:rsidRPr="00257BAE">
        <w:rPr>
          <w:rFonts w:ascii="Calibri" w:hAnsi="Calibri" w:cs="Calibri"/>
          <w:color w:val="156082" w:themeColor="accent1"/>
          <w:sz w:val="24"/>
          <w:szCs w:val="24"/>
        </w:rPr>
        <w:t>whether mild, moderate, or severe</w:t>
      </w:r>
      <w:r>
        <w:rPr>
          <w:rFonts w:ascii="Calibri" w:hAnsi="Calibri" w:cs="Calibri"/>
          <w:color w:val="156082" w:themeColor="accent1"/>
          <w:sz w:val="24"/>
          <w:szCs w:val="24"/>
        </w:rPr>
        <w:t xml:space="preserve"> </w:t>
      </w:r>
      <w:r w:rsidRPr="00257BAE">
        <w:rPr>
          <w:rFonts w:ascii="Calibri" w:hAnsi="Calibri" w:cs="Calibri"/>
          <w:color w:val="156082" w:themeColor="accent1"/>
          <w:sz w:val="24"/>
          <w:szCs w:val="24"/>
        </w:rPr>
        <w:t xml:space="preserve">automatically results in a loss of decision-making capacity. </w:t>
      </w:r>
      <w:r w:rsidRPr="00257BAE">
        <w:rPr>
          <w:rFonts w:ascii="Calibri" w:hAnsi="Calibri" w:cs="Calibri"/>
          <w:color w:val="156082" w:themeColor="accent1"/>
          <w:sz w:val="24"/>
          <w:szCs w:val="24"/>
        </w:rPr>
        <w:t>Capacity</w:t>
      </w:r>
      <w:r w:rsidRPr="00257BAE">
        <w:rPr>
          <w:rFonts w:ascii="Calibri" w:hAnsi="Calibri" w:cs="Calibri"/>
          <w:color w:val="156082" w:themeColor="accent1"/>
          <w:sz w:val="24"/>
          <w:szCs w:val="24"/>
        </w:rPr>
        <w:t xml:space="preserve"> is decision-specific and may vary over time and across different situations.</w:t>
      </w:r>
    </w:p>
    <w:p w14:paraId="6DB173AB" w14:textId="77777777" w:rsidR="00257BAE" w:rsidRPr="00257BAE" w:rsidRDefault="00257BAE" w:rsidP="00257BAE">
      <w:pPr>
        <w:spacing w:line="360" w:lineRule="auto"/>
        <w:ind w:left="360"/>
        <w:jc w:val="both"/>
        <w:rPr>
          <w:rFonts w:ascii="Calibri" w:hAnsi="Calibri" w:cs="Calibri"/>
          <w:color w:val="156082" w:themeColor="accent1"/>
          <w:sz w:val="24"/>
          <w:szCs w:val="24"/>
        </w:rPr>
      </w:pPr>
      <w:r w:rsidRPr="00257BAE">
        <w:rPr>
          <w:rFonts w:ascii="Calibri" w:hAnsi="Calibri" w:cs="Calibri"/>
          <w:color w:val="156082" w:themeColor="accent1"/>
          <w:sz w:val="24"/>
          <w:szCs w:val="24"/>
        </w:rPr>
        <w:t>Fear and misunderstanding surrounding dementia can also lead to avoidance, embarrassment, or overly protective behaviours that inadvertently undermine an individual’s dignity, autonomy, and independence. Such attitudes may result in older persons being spoken for rather than spoken with, and excluded from everyday social, cultural, and community activities.</w:t>
      </w:r>
    </w:p>
    <w:p w14:paraId="4BAF5EDB" w14:textId="650B67B1" w:rsidR="00257BAE" w:rsidRPr="00257BAE" w:rsidRDefault="00257BAE" w:rsidP="00257BAE">
      <w:pPr>
        <w:spacing w:line="360" w:lineRule="auto"/>
        <w:ind w:left="360"/>
        <w:jc w:val="both"/>
        <w:rPr>
          <w:rFonts w:ascii="Calibri" w:hAnsi="Calibri" w:cs="Calibri"/>
          <w:color w:val="156082" w:themeColor="accent1"/>
          <w:sz w:val="24"/>
          <w:szCs w:val="24"/>
        </w:rPr>
      </w:pPr>
      <w:r w:rsidRPr="00257BAE">
        <w:rPr>
          <w:rFonts w:ascii="Calibri" w:hAnsi="Calibri" w:cs="Calibri"/>
          <w:color w:val="156082" w:themeColor="accent1"/>
          <w:sz w:val="24"/>
          <w:szCs w:val="24"/>
        </w:rPr>
        <w:t xml:space="preserve">In Malta, these assumptions are challenged through a rights-based approach embedded within the legal and policy framework. The Mental Health Act upholds the principle that individuals are presumed to have capacity unless assessed otherwise through appropriate professional evaluation. This safeguard helps to prevent blanket assumptions about incapacity and supports the continued involvement of older persons with cognitive impairment in decisions affecting their lives. </w:t>
      </w:r>
    </w:p>
    <w:p w14:paraId="5DB576A5" w14:textId="77777777" w:rsidR="003A2679" w:rsidRPr="00257BAE" w:rsidRDefault="003A2679" w:rsidP="003A2679">
      <w:pPr>
        <w:ind w:left="360"/>
        <w:rPr>
          <w:rFonts w:asciiTheme="majorBidi" w:hAnsiTheme="majorBidi" w:cstheme="majorBidi"/>
          <w:sz w:val="24"/>
          <w:szCs w:val="24"/>
        </w:rPr>
      </w:pPr>
    </w:p>
    <w:p w14:paraId="15957561" w14:textId="77777777" w:rsidR="003A2679" w:rsidRPr="007B132E" w:rsidRDefault="003A2679" w:rsidP="003A2679">
      <w:pPr>
        <w:ind w:left="360"/>
        <w:rPr>
          <w:rFonts w:asciiTheme="majorBidi" w:hAnsiTheme="majorBidi" w:cstheme="majorBidi"/>
          <w:b/>
          <w:bCs/>
          <w:i/>
          <w:iCs/>
          <w:sz w:val="24"/>
          <w:szCs w:val="24"/>
        </w:rPr>
      </w:pPr>
      <w:r w:rsidRPr="007B132E">
        <w:rPr>
          <w:rFonts w:asciiTheme="majorBidi" w:hAnsiTheme="majorBidi" w:cstheme="majorBidi"/>
          <w:b/>
          <w:bCs/>
          <w:i/>
          <w:iCs/>
          <w:sz w:val="24"/>
          <w:szCs w:val="24"/>
        </w:rPr>
        <w:t>D. Good practices and recommendations</w:t>
      </w:r>
    </w:p>
    <w:p w14:paraId="21C4D11F" w14:textId="77777777" w:rsidR="003A2679" w:rsidRPr="00513C44" w:rsidRDefault="003A2679" w:rsidP="003A2679">
      <w:pPr>
        <w:ind w:left="360"/>
        <w:rPr>
          <w:rFonts w:asciiTheme="majorBidi" w:hAnsiTheme="majorBidi" w:cstheme="majorBidi"/>
          <w:b/>
          <w:bCs/>
          <w:sz w:val="24"/>
          <w:szCs w:val="24"/>
          <w:lang w:val="en-US"/>
        </w:rPr>
      </w:pPr>
    </w:p>
    <w:p w14:paraId="169765A9" w14:textId="77777777" w:rsidR="003A2679" w:rsidRPr="00513C44" w:rsidRDefault="003A2679" w:rsidP="003A2679">
      <w:pPr>
        <w:pStyle w:val="ListParagraph"/>
        <w:numPr>
          <w:ilvl w:val="0"/>
          <w:numId w:val="1"/>
        </w:numPr>
        <w:ind w:left="720"/>
        <w:rPr>
          <w:rFonts w:asciiTheme="majorBidi" w:hAnsiTheme="majorBidi" w:cstheme="majorBidi"/>
          <w:sz w:val="24"/>
          <w:szCs w:val="24"/>
        </w:rPr>
      </w:pPr>
      <w:r w:rsidRPr="00513C44">
        <w:rPr>
          <w:rFonts w:asciiTheme="majorBidi" w:hAnsiTheme="majorBidi" w:cstheme="majorBidi"/>
          <w:sz w:val="24"/>
          <w:szCs w:val="24"/>
        </w:rPr>
        <w:t xml:space="preserve">What </w:t>
      </w:r>
      <w:r>
        <w:rPr>
          <w:rFonts w:asciiTheme="majorBidi" w:hAnsiTheme="majorBidi" w:cstheme="majorBidi"/>
          <w:sz w:val="24"/>
          <w:szCs w:val="24"/>
          <w:lang w:val="en-US"/>
        </w:rPr>
        <w:t xml:space="preserve">laws, policies, institutions, </w:t>
      </w:r>
      <w:r w:rsidRPr="00513C44">
        <w:rPr>
          <w:rFonts w:asciiTheme="majorBidi" w:hAnsiTheme="majorBidi" w:cstheme="majorBidi"/>
          <w:sz w:val="24"/>
          <w:szCs w:val="24"/>
        </w:rPr>
        <w:t xml:space="preserve">approaches, practices or </w:t>
      </w:r>
      <w:r>
        <w:rPr>
          <w:rFonts w:asciiTheme="majorBidi" w:hAnsiTheme="majorBidi" w:cstheme="majorBidi"/>
          <w:sz w:val="24"/>
          <w:szCs w:val="24"/>
          <w:lang w:val="en-US"/>
        </w:rPr>
        <w:t xml:space="preserve">enabling </w:t>
      </w:r>
      <w:r w:rsidRPr="00513C44">
        <w:rPr>
          <w:rFonts w:asciiTheme="majorBidi" w:hAnsiTheme="majorBidi" w:cstheme="majorBidi"/>
          <w:sz w:val="24"/>
          <w:szCs w:val="24"/>
        </w:rPr>
        <w:t xml:space="preserve">environments </w:t>
      </w:r>
      <w:r>
        <w:rPr>
          <w:rFonts w:asciiTheme="majorBidi" w:hAnsiTheme="majorBidi" w:cstheme="majorBidi"/>
          <w:sz w:val="24"/>
          <w:szCs w:val="24"/>
          <w:lang w:val="en-US"/>
        </w:rPr>
        <w:t xml:space="preserve">have </w:t>
      </w:r>
      <w:r w:rsidRPr="00513C44">
        <w:rPr>
          <w:rFonts w:asciiTheme="majorBidi" w:hAnsiTheme="majorBidi" w:cstheme="majorBidi"/>
          <w:sz w:val="24"/>
          <w:szCs w:val="24"/>
        </w:rPr>
        <w:t>help</w:t>
      </w:r>
      <w:r>
        <w:rPr>
          <w:rFonts w:asciiTheme="majorBidi" w:hAnsiTheme="majorBidi" w:cstheme="majorBidi"/>
          <w:sz w:val="24"/>
          <w:szCs w:val="24"/>
          <w:lang w:val="en-US"/>
        </w:rPr>
        <w:t>ed</w:t>
      </w:r>
      <w:r w:rsidRPr="00513C44">
        <w:rPr>
          <w:rFonts w:asciiTheme="majorBidi" w:hAnsiTheme="majorBidi" w:cstheme="majorBidi"/>
          <w:sz w:val="24"/>
          <w:szCs w:val="24"/>
        </w:rPr>
        <w:t xml:space="preserve"> older persons with cognitive impairment </w:t>
      </w:r>
      <w:r>
        <w:rPr>
          <w:rFonts w:asciiTheme="majorBidi" w:hAnsiTheme="majorBidi" w:cstheme="majorBidi"/>
          <w:sz w:val="24"/>
          <w:szCs w:val="24"/>
          <w:lang w:val="en-US"/>
        </w:rPr>
        <w:t xml:space="preserve">to </w:t>
      </w:r>
      <w:r w:rsidRPr="00513C44">
        <w:rPr>
          <w:rFonts w:asciiTheme="majorBidi" w:hAnsiTheme="majorBidi" w:cstheme="majorBidi"/>
          <w:sz w:val="24"/>
          <w:szCs w:val="24"/>
        </w:rPr>
        <w:t>remain heard, involved, respected and socially connected?</w:t>
      </w:r>
    </w:p>
    <w:p w14:paraId="4923BE3D" w14:textId="77777777" w:rsidR="003A2679" w:rsidRDefault="003A2679" w:rsidP="003A2679">
      <w:pPr>
        <w:pStyle w:val="ListParagraph"/>
        <w:numPr>
          <w:ilvl w:val="1"/>
          <w:numId w:val="1"/>
        </w:numPr>
        <w:rPr>
          <w:rFonts w:asciiTheme="majorBidi" w:hAnsiTheme="majorBidi" w:cstheme="majorBidi"/>
          <w:sz w:val="24"/>
          <w:szCs w:val="24"/>
        </w:rPr>
      </w:pPr>
      <w:r w:rsidRPr="00513C44">
        <w:rPr>
          <w:rFonts w:asciiTheme="majorBidi" w:hAnsiTheme="majorBidi" w:cstheme="majorBidi"/>
          <w:sz w:val="24"/>
          <w:szCs w:val="24"/>
        </w:rPr>
        <w:t>Examples:</w:t>
      </w:r>
      <w:r>
        <w:rPr>
          <w:rFonts w:asciiTheme="majorBidi" w:hAnsiTheme="majorBidi" w:cstheme="majorBidi"/>
          <w:sz w:val="24"/>
          <w:szCs w:val="24"/>
          <w:lang w:val="en-US"/>
        </w:rPr>
        <w:t xml:space="preserve"> </w:t>
      </w:r>
      <w:r w:rsidRPr="00513C44">
        <w:rPr>
          <w:rFonts w:asciiTheme="majorBidi" w:hAnsiTheme="majorBidi" w:cstheme="majorBidi"/>
          <w:sz w:val="24"/>
          <w:szCs w:val="24"/>
        </w:rPr>
        <w:t>dementia-inclusive communities, supported communication, person-centred practices, inclusive social environments, participation in ordinary daily life.</w:t>
      </w:r>
    </w:p>
    <w:p w14:paraId="72356ED1" w14:textId="77777777" w:rsidR="00456213" w:rsidRPr="009B6ABE" w:rsidRDefault="00456213" w:rsidP="00456213">
      <w:pPr>
        <w:rPr>
          <w:rFonts w:asciiTheme="majorBidi" w:hAnsiTheme="majorBidi" w:cstheme="majorBidi"/>
          <w:sz w:val="24"/>
          <w:szCs w:val="24"/>
        </w:rPr>
      </w:pPr>
    </w:p>
    <w:p w14:paraId="07A63902" w14:textId="77777777" w:rsidR="00044544" w:rsidRPr="00044544" w:rsidRDefault="00044544" w:rsidP="00044544">
      <w:pPr>
        <w:pStyle w:val="NormalWeb"/>
        <w:spacing w:line="360" w:lineRule="auto"/>
        <w:ind w:left="360"/>
        <w:jc w:val="both"/>
        <w:rPr>
          <w:rFonts w:ascii="Calibri" w:hAnsi="Calibri" w:cs="Calibri"/>
          <w:color w:val="215E99" w:themeColor="text2" w:themeTint="BF"/>
        </w:rPr>
      </w:pPr>
      <w:r w:rsidRPr="00044544">
        <w:rPr>
          <w:rFonts w:ascii="Calibri" w:hAnsi="Calibri" w:cs="Calibri"/>
          <w:color w:val="215E99" w:themeColor="text2" w:themeTint="BF"/>
        </w:rPr>
        <w:t>In Malta, several initiatives support the inclusion, dignity, and participation of older persons with cognitive impairment. These include person-</w:t>
      </w:r>
      <w:proofErr w:type="spellStart"/>
      <w:r w:rsidRPr="00044544">
        <w:rPr>
          <w:rFonts w:ascii="Calibri" w:hAnsi="Calibri" w:cs="Calibri"/>
          <w:color w:val="215E99" w:themeColor="text2" w:themeTint="BF"/>
        </w:rPr>
        <w:t>centred</w:t>
      </w:r>
      <w:proofErr w:type="spellEnd"/>
      <w:r w:rsidRPr="00044544">
        <w:rPr>
          <w:rFonts w:ascii="Calibri" w:hAnsi="Calibri" w:cs="Calibri"/>
          <w:color w:val="215E99" w:themeColor="text2" w:themeTint="BF"/>
        </w:rPr>
        <w:t xml:space="preserve"> dementia care, supported communication approaches, and community environments designed to remain accessible, familiar, and inclusive. The Dementia Care Directorate and the Malta Dementia Society play important roles in promoting public awareness, early diagnosis, accessibility, integrated care, workforce development, and the active involvement of individuals with dementia and their families in service planning and implementation. Collectively, these efforts help ensure that older </w:t>
      </w:r>
      <w:proofErr w:type="gramStart"/>
      <w:r w:rsidRPr="00044544">
        <w:rPr>
          <w:rFonts w:ascii="Calibri" w:hAnsi="Calibri" w:cs="Calibri"/>
          <w:color w:val="215E99" w:themeColor="text2" w:themeTint="BF"/>
        </w:rPr>
        <w:t>persons</w:t>
      </w:r>
      <w:proofErr w:type="gramEnd"/>
      <w:r w:rsidRPr="00044544">
        <w:rPr>
          <w:rFonts w:ascii="Calibri" w:hAnsi="Calibri" w:cs="Calibri"/>
          <w:color w:val="215E99" w:themeColor="text2" w:themeTint="BF"/>
        </w:rPr>
        <w:t xml:space="preserve"> remain </w:t>
      </w:r>
      <w:proofErr w:type="gramStart"/>
      <w:r w:rsidRPr="00044544">
        <w:rPr>
          <w:rFonts w:ascii="Calibri" w:hAnsi="Calibri" w:cs="Calibri"/>
          <w:color w:val="215E99" w:themeColor="text2" w:themeTint="BF"/>
        </w:rPr>
        <w:t>heard</w:t>
      </w:r>
      <w:proofErr w:type="gramEnd"/>
      <w:r w:rsidRPr="00044544">
        <w:rPr>
          <w:rFonts w:ascii="Calibri" w:hAnsi="Calibri" w:cs="Calibri"/>
          <w:color w:val="215E99" w:themeColor="text2" w:themeTint="BF"/>
        </w:rPr>
        <w:t>, respected, and socially connected.</w:t>
      </w:r>
    </w:p>
    <w:p w14:paraId="0EE5C384" w14:textId="77777777" w:rsidR="00044544" w:rsidRPr="00044544" w:rsidRDefault="00044544" w:rsidP="00044544">
      <w:pPr>
        <w:pStyle w:val="NormalWeb"/>
        <w:spacing w:line="360" w:lineRule="auto"/>
        <w:ind w:left="360"/>
        <w:jc w:val="both"/>
        <w:rPr>
          <w:rFonts w:ascii="Calibri" w:hAnsi="Calibri" w:cs="Calibri"/>
          <w:color w:val="215E99" w:themeColor="text2" w:themeTint="BF"/>
        </w:rPr>
      </w:pPr>
      <w:r w:rsidRPr="00044544">
        <w:rPr>
          <w:rFonts w:ascii="Calibri" w:hAnsi="Calibri" w:cs="Calibri"/>
          <w:color w:val="215E99" w:themeColor="text2" w:themeTint="BF"/>
        </w:rPr>
        <w:lastRenderedPageBreak/>
        <w:t>Community-based services are particularly important in supporting independence and enabling continued participation in everyday life. Malta’s legislative and policy framework, including the Mental Health Act, the National Dementia Strategy (2024–2031), the National Strategic Policy for Active Ageing (2023–2030), and the standards issued by the Older Persons Standards Authority, reinforces the rights of older persons to remain involved in decisions affecting their lives and to participate fully in society.</w:t>
      </w:r>
    </w:p>
    <w:p w14:paraId="1F8A64DD" w14:textId="77777777" w:rsidR="00044544" w:rsidRPr="00044544" w:rsidRDefault="00044544" w:rsidP="00044544">
      <w:pPr>
        <w:pStyle w:val="NormalWeb"/>
        <w:spacing w:line="360" w:lineRule="auto"/>
        <w:ind w:left="360"/>
        <w:jc w:val="both"/>
        <w:rPr>
          <w:rFonts w:ascii="Calibri" w:hAnsi="Calibri" w:cs="Calibri"/>
          <w:color w:val="215E99" w:themeColor="text2" w:themeTint="BF"/>
        </w:rPr>
      </w:pPr>
      <w:r w:rsidRPr="00044544">
        <w:rPr>
          <w:rFonts w:ascii="Calibri" w:hAnsi="Calibri" w:cs="Calibri"/>
          <w:color w:val="215E99" w:themeColor="text2" w:themeTint="BF"/>
        </w:rPr>
        <w:t xml:space="preserve">A notable example of this commitment is the development of Dementia-Friendly Communities in </w:t>
      </w:r>
      <w:proofErr w:type="gramStart"/>
      <w:r w:rsidRPr="00044544">
        <w:rPr>
          <w:rFonts w:ascii="Calibri" w:hAnsi="Calibri" w:cs="Calibri"/>
          <w:color w:val="215E99" w:themeColor="text2" w:themeTint="BF"/>
        </w:rPr>
        <w:t>a number of</w:t>
      </w:r>
      <w:proofErr w:type="gramEnd"/>
      <w:r w:rsidRPr="00044544">
        <w:rPr>
          <w:rFonts w:ascii="Calibri" w:hAnsi="Calibri" w:cs="Calibri"/>
          <w:color w:val="215E99" w:themeColor="text2" w:themeTint="BF"/>
        </w:rPr>
        <w:t xml:space="preserve"> Maltese localities, including </w:t>
      </w:r>
      <w:proofErr w:type="spellStart"/>
      <w:r w:rsidRPr="00044544">
        <w:rPr>
          <w:rFonts w:ascii="Calibri" w:hAnsi="Calibri" w:cs="Calibri"/>
          <w:color w:val="215E99" w:themeColor="text2" w:themeTint="BF"/>
        </w:rPr>
        <w:t>Mtarfa</w:t>
      </w:r>
      <w:proofErr w:type="spellEnd"/>
      <w:r w:rsidRPr="00044544">
        <w:rPr>
          <w:rFonts w:ascii="Calibri" w:hAnsi="Calibri" w:cs="Calibri"/>
          <w:color w:val="215E99" w:themeColor="text2" w:themeTint="BF"/>
        </w:rPr>
        <w:t xml:space="preserve"> and Safi. These initiatives are implemented through local steering committees that involve people living with dementia, family caregivers, community representatives, and service providers in identifying ways to make public spaces and services more accessible and supportive.</w:t>
      </w:r>
    </w:p>
    <w:p w14:paraId="1B4C37D2" w14:textId="61A51C5D" w:rsidR="00044544" w:rsidRPr="00044544" w:rsidRDefault="00044544" w:rsidP="00044544">
      <w:pPr>
        <w:pStyle w:val="NormalWeb"/>
        <w:spacing w:line="360" w:lineRule="auto"/>
        <w:ind w:left="360"/>
        <w:jc w:val="both"/>
        <w:rPr>
          <w:rFonts w:ascii="Calibri" w:hAnsi="Calibri" w:cs="Calibri"/>
          <w:color w:val="215E99" w:themeColor="text2" w:themeTint="BF"/>
        </w:rPr>
      </w:pPr>
      <w:r w:rsidRPr="00044544">
        <w:rPr>
          <w:rFonts w:ascii="Calibri" w:hAnsi="Calibri" w:cs="Calibri"/>
          <w:color w:val="215E99" w:themeColor="text2" w:themeTint="BF"/>
        </w:rPr>
        <w:t xml:space="preserve">In addition, public awareness and education initiatives extend beyond the health and social care sectors. Dementia-awareness training is increasingly provided to professionals and staff working in banking, retail, local councils, public transport, and other community services. By improving </w:t>
      </w:r>
      <w:r w:rsidR="00EF2852" w:rsidRPr="00044544">
        <w:rPr>
          <w:rFonts w:ascii="Calibri" w:hAnsi="Calibri" w:cs="Calibri"/>
          <w:color w:val="215E99" w:themeColor="text2" w:themeTint="BF"/>
        </w:rPr>
        <w:t>understanding</w:t>
      </w:r>
      <w:r w:rsidRPr="00044544">
        <w:rPr>
          <w:rFonts w:ascii="Calibri" w:hAnsi="Calibri" w:cs="Calibri"/>
          <w:color w:val="215E99" w:themeColor="text2" w:themeTint="BF"/>
        </w:rPr>
        <w:t xml:space="preserve"> dementia and equipping frontline workers with practical skills to support individuals who may experience confusion or disorientation, these initiatives contribute to a more inclusive and dementia-friendly society, where older </w:t>
      </w:r>
      <w:proofErr w:type="gramStart"/>
      <w:r w:rsidRPr="00044544">
        <w:rPr>
          <w:rFonts w:ascii="Calibri" w:hAnsi="Calibri" w:cs="Calibri"/>
          <w:color w:val="215E99" w:themeColor="text2" w:themeTint="BF"/>
        </w:rPr>
        <w:t>persons</w:t>
      </w:r>
      <w:proofErr w:type="gramEnd"/>
      <w:r w:rsidRPr="00044544">
        <w:rPr>
          <w:rFonts w:ascii="Calibri" w:hAnsi="Calibri" w:cs="Calibri"/>
          <w:color w:val="215E99" w:themeColor="text2" w:themeTint="BF"/>
        </w:rPr>
        <w:t xml:space="preserve"> can continue to participate in community life with dignity and confidence.</w:t>
      </w:r>
    </w:p>
    <w:p w14:paraId="7B460CB0" w14:textId="77777777" w:rsidR="003A2679" w:rsidRPr="00513C44" w:rsidRDefault="003A2679" w:rsidP="003A2679">
      <w:pPr>
        <w:pStyle w:val="ListParagraph"/>
        <w:numPr>
          <w:ilvl w:val="0"/>
          <w:numId w:val="1"/>
        </w:numPr>
        <w:ind w:left="720"/>
        <w:rPr>
          <w:rFonts w:asciiTheme="majorBidi" w:hAnsiTheme="majorBidi" w:cstheme="majorBidi"/>
          <w:sz w:val="24"/>
          <w:szCs w:val="24"/>
        </w:rPr>
      </w:pPr>
      <w:r w:rsidRPr="00513C44">
        <w:rPr>
          <w:rFonts w:asciiTheme="majorBidi" w:hAnsiTheme="majorBidi" w:cstheme="majorBidi"/>
          <w:sz w:val="24"/>
          <w:szCs w:val="24"/>
        </w:rPr>
        <w:t>What legal, policy, professional or community changes are needed to better protect the autonomy, participation and dignity of older persons with cognitive impairment?</w:t>
      </w:r>
    </w:p>
    <w:p w14:paraId="4961B6AB" w14:textId="77777777" w:rsidR="003A2679" w:rsidRPr="00513C44" w:rsidRDefault="003A2679" w:rsidP="003A2679">
      <w:pPr>
        <w:pStyle w:val="ListParagraph"/>
        <w:numPr>
          <w:ilvl w:val="1"/>
          <w:numId w:val="1"/>
        </w:numPr>
        <w:rPr>
          <w:rFonts w:asciiTheme="majorBidi" w:hAnsiTheme="majorBidi" w:cstheme="majorBidi"/>
          <w:sz w:val="24"/>
          <w:szCs w:val="24"/>
        </w:rPr>
      </w:pPr>
      <w:r w:rsidRPr="00513C44">
        <w:rPr>
          <w:rFonts w:asciiTheme="majorBidi" w:hAnsiTheme="majorBidi" w:cstheme="majorBidi"/>
          <w:sz w:val="24"/>
          <w:szCs w:val="24"/>
        </w:rPr>
        <w:t>Examples: professional training, legal safeguards, communication practices, anti-stigma initiatives, participation-supporting environments.</w:t>
      </w:r>
    </w:p>
    <w:p w14:paraId="44A9AC57" w14:textId="77777777" w:rsidR="003A2679" w:rsidRPr="00513C44" w:rsidRDefault="003A2679" w:rsidP="003A2679">
      <w:pPr>
        <w:rPr>
          <w:rFonts w:asciiTheme="majorBidi" w:hAnsiTheme="majorBidi" w:cstheme="majorBidi"/>
          <w:sz w:val="24"/>
          <w:szCs w:val="24"/>
          <w:lang w:val="en-US"/>
        </w:rPr>
      </w:pPr>
    </w:p>
    <w:p w14:paraId="4B14D618" w14:textId="77777777" w:rsidR="006C0975" w:rsidRDefault="006C0975" w:rsidP="009A5273">
      <w:pPr>
        <w:jc w:val="both"/>
        <w:rPr>
          <w:rFonts w:asciiTheme="majorBidi" w:hAnsiTheme="majorBidi" w:cstheme="majorBidi"/>
          <w:color w:val="156082" w:themeColor="accent1"/>
          <w:sz w:val="24"/>
          <w:szCs w:val="24"/>
        </w:rPr>
      </w:pPr>
    </w:p>
    <w:p w14:paraId="4A0E388E" w14:textId="77777777" w:rsidR="00572DDE" w:rsidRPr="00572DDE" w:rsidRDefault="00572DDE" w:rsidP="00572DDE">
      <w:pPr>
        <w:spacing w:line="360" w:lineRule="auto"/>
        <w:jc w:val="both"/>
        <w:rPr>
          <w:rFonts w:ascii="Calibri" w:hAnsi="Calibri" w:cs="Calibri"/>
          <w:color w:val="215E99" w:themeColor="text2" w:themeTint="BF"/>
          <w:sz w:val="24"/>
          <w:szCs w:val="24"/>
        </w:rPr>
      </w:pPr>
      <w:r w:rsidRPr="00572DDE">
        <w:rPr>
          <w:rFonts w:ascii="Calibri" w:hAnsi="Calibri" w:cs="Calibri"/>
          <w:color w:val="215E99" w:themeColor="text2" w:themeTint="BF"/>
          <w:sz w:val="24"/>
          <w:szCs w:val="24"/>
        </w:rPr>
        <w:t>Malta has made significant progress in strengthening the rights and inclusion of older persons with dementia and cognitive impairment. Nevertheless, further investment in dementia-specific training, supported decision-making practices, and public awareness initiatives would help to enhance participation, autonomy, and social inclusion.</w:t>
      </w:r>
    </w:p>
    <w:p w14:paraId="1E9C8604" w14:textId="77777777" w:rsidR="00572DDE" w:rsidRPr="00572DDE" w:rsidRDefault="00572DDE" w:rsidP="00572DDE">
      <w:pPr>
        <w:spacing w:line="360" w:lineRule="auto"/>
        <w:jc w:val="both"/>
        <w:rPr>
          <w:rFonts w:ascii="Calibri" w:hAnsi="Calibri" w:cs="Calibri"/>
          <w:color w:val="215E99" w:themeColor="text2" w:themeTint="BF"/>
          <w:sz w:val="24"/>
          <w:szCs w:val="24"/>
        </w:rPr>
      </w:pPr>
      <w:r w:rsidRPr="00572DDE">
        <w:rPr>
          <w:rFonts w:ascii="Calibri" w:hAnsi="Calibri" w:cs="Calibri"/>
          <w:color w:val="215E99" w:themeColor="text2" w:themeTint="BF"/>
          <w:sz w:val="24"/>
          <w:szCs w:val="24"/>
        </w:rPr>
        <w:t xml:space="preserve">Healthcare professionals, social workers, and residential care staff would benefit from ongoing training focused on recognising the evolving needs of persons with dementia, communicating respectfully and effectively, and supporting autonomy in everyday decision-making. In parallel, clear practical guidance and decision-support tools could assist both </w:t>
      </w:r>
      <w:r w:rsidRPr="00572DDE">
        <w:rPr>
          <w:rFonts w:ascii="Calibri" w:hAnsi="Calibri" w:cs="Calibri"/>
          <w:color w:val="215E99" w:themeColor="text2" w:themeTint="BF"/>
          <w:sz w:val="24"/>
          <w:szCs w:val="24"/>
        </w:rPr>
        <w:lastRenderedPageBreak/>
        <w:t>professionals and families in involving individuals with dementia in decisions relating to healthcare, finances, and daily living arrangements for as long as possible.</w:t>
      </w:r>
    </w:p>
    <w:p w14:paraId="75CE068A" w14:textId="77777777" w:rsidR="00572DDE" w:rsidRPr="00572DDE" w:rsidRDefault="00572DDE" w:rsidP="00572DDE">
      <w:pPr>
        <w:spacing w:line="360" w:lineRule="auto"/>
        <w:jc w:val="both"/>
        <w:rPr>
          <w:rFonts w:ascii="Calibri" w:hAnsi="Calibri" w:cs="Calibri"/>
          <w:color w:val="215E99" w:themeColor="text2" w:themeTint="BF"/>
          <w:sz w:val="24"/>
          <w:szCs w:val="24"/>
        </w:rPr>
      </w:pPr>
      <w:r w:rsidRPr="00572DDE">
        <w:rPr>
          <w:rFonts w:ascii="Calibri" w:hAnsi="Calibri" w:cs="Calibri"/>
          <w:color w:val="215E99" w:themeColor="text2" w:themeTint="BF"/>
          <w:sz w:val="24"/>
          <w:szCs w:val="24"/>
        </w:rPr>
        <w:t>Greater public awareness is also essential in challenging stigma and misconceptions surrounding dementia. Campaigns that highlight the lived experiences of persons with dementia and their families can foster greater understanding, promote social inclusion, and reinforce the message that dementia does not diminish a person’s dignity, identity, or rights.</w:t>
      </w:r>
    </w:p>
    <w:p w14:paraId="7BDDDA15" w14:textId="77777777" w:rsidR="00572DDE" w:rsidRPr="00572DDE" w:rsidRDefault="00572DDE" w:rsidP="00572DDE">
      <w:pPr>
        <w:spacing w:line="360" w:lineRule="auto"/>
        <w:jc w:val="both"/>
        <w:rPr>
          <w:rFonts w:ascii="Calibri" w:hAnsi="Calibri" w:cs="Calibri"/>
          <w:color w:val="215E99" w:themeColor="text2" w:themeTint="BF"/>
          <w:sz w:val="24"/>
          <w:szCs w:val="24"/>
        </w:rPr>
      </w:pPr>
      <w:r w:rsidRPr="00572DDE">
        <w:rPr>
          <w:rFonts w:ascii="Calibri" w:hAnsi="Calibri" w:cs="Calibri"/>
          <w:color w:val="215E99" w:themeColor="text2" w:themeTint="BF"/>
          <w:sz w:val="24"/>
          <w:szCs w:val="24"/>
        </w:rPr>
        <w:t>Person-centred communication and community-based support should continue to be strengthened across primary healthcare, social care, and residential care settings. Examples include the use of dementia-friendly communication techniques during healthcare consultations, memory support groups, and outreach services that enable individuals to remain active and engaged within their local communities.</w:t>
      </w:r>
    </w:p>
    <w:p w14:paraId="090464DF" w14:textId="77777777" w:rsidR="00572DDE" w:rsidRPr="00572DDE" w:rsidRDefault="00572DDE" w:rsidP="00572DDE">
      <w:pPr>
        <w:spacing w:line="360" w:lineRule="auto"/>
        <w:jc w:val="both"/>
        <w:rPr>
          <w:rFonts w:ascii="Calibri" w:hAnsi="Calibri" w:cs="Calibri"/>
          <w:color w:val="215E99" w:themeColor="text2" w:themeTint="BF"/>
          <w:sz w:val="24"/>
          <w:szCs w:val="24"/>
        </w:rPr>
      </w:pPr>
      <w:r w:rsidRPr="00572DDE">
        <w:rPr>
          <w:rFonts w:ascii="Calibri" w:hAnsi="Calibri" w:cs="Calibri"/>
          <w:color w:val="215E99" w:themeColor="text2" w:themeTint="BF"/>
          <w:sz w:val="24"/>
          <w:szCs w:val="24"/>
        </w:rPr>
        <w:t>In addition, legal and policy frameworks should continue to be implemented in ways that maximise autonomy and avoid the premature substitution of decision-making. Wherever possible, supported decision-making approaches should be prioritised before more restrictive measures, ensuring that individuals remain involved in decisions affecting their lives to the greatest extent possible.</w:t>
      </w:r>
    </w:p>
    <w:p w14:paraId="089E81A0" w14:textId="77777777" w:rsidR="00572DDE" w:rsidRPr="00572DDE" w:rsidRDefault="00572DDE" w:rsidP="00572DDE">
      <w:pPr>
        <w:spacing w:line="360" w:lineRule="auto"/>
        <w:jc w:val="both"/>
        <w:rPr>
          <w:rFonts w:ascii="Calibri" w:hAnsi="Calibri" w:cs="Calibri"/>
          <w:color w:val="215E99" w:themeColor="text2" w:themeTint="BF"/>
          <w:sz w:val="24"/>
          <w:szCs w:val="24"/>
        </w:rPr>
      </w:pPr>
      <w:r w:rsidRPr="00572DDE">
        <w:rPr>
          <w:rFonts w:ascii="Calibri" w:hAnsi="Calibri" w:cs="Calibri"/>
          <w:color w:val="215E99" w:themeColor="text2" w:themeTint="BF"/>
          <w:sz w:val="24"/>
          <w:szCs w:val="24"/>
        </w:rPr>
        <w:t>Further development of dementia-inclusive environments would also promote dignity, independence, and participation. This may include the expansion of dementia-friendly public spaces, accessible recreational and cultural activities, caregiver education programmes, respite services, and community support networks for family carers. Collectively, these measures would strengthen Malta’s commitment to a rights-based, person-centred approach to dementia care, ensuring that older persons with cognitive impairment remain valued, respected, and active members of society.</w:t>
      </w:r>
    </w:p>
    <w:p w14:paraId="60956D4B" w14:textId="77777777" w:rsidR="006C0975" w:rsidRPr="00572DDE" w:rsidRDefault="006C0975" w:rsidP="00572DDE">
      <w:pPr>
        <w:spacing w:line="360" w:lineRule="auto"/>
        <w:jc w:val="both"/>
        <w:rPr>
          <w:rFonts w:ascii="Calibri" w:hAnsi="Calibri" w:cs="Calibri"/>
          <w:color w:val="215E99" w:themeColor="text2" w:themeTint="BF"/>
        </w:rPr>
      </w:pPr>
    </w:p>
    <w:sectPr w:rsidR="006C0975" w:rsidRPr="00572DD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4172A"/>
    <w:multiLevelType w:val="hybridMultilevel"/>
    <w:tmpl w:val="9506A040"/>
    <w:lvl w:ilvl="0" w:tplc="080A000F">
      <w:start w:val="1"/>
      <w:numFmt w:val="decimal"/>
      <w:lvlText w:val="%1."/>
      <w:lvlJc w:val="left"/>
      <w:pPr>
        <w:ind w:left="360" w:hanging="360"/>
      </w:pPr>
      <w:rPr>
        <w:rFonts w:hint="default"/>
      </w:rPr>
    </w:lvl>
    <w:lvl w:ilvl="1" w:tplc="080A0019">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 w15:restartNumberingAfterBreak="0">
    <w:nsid w:val="259F0EB8"/>
    <w:multiLevelType w:val="hybridMultilevel"/>
    <w:tmpl w:val="3954A5DC"/>
    <w:lvl w:ilvl="0" w:tplc="57A839C2">
      <w:start w:val="1"/>
      <w:numFmt w:val="upp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36F17298"/>
    <w:multiLevelType w:val="hybridMultilevel"/>
    <w:tmpl w:val="A45869E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463931B5"/>
    <w:multiLevelType w:val="hybridMultilevel"/>
    <w:tmpl w:val="D8A82446"/>
    <w:lvl w:ilvl="0" w:tplc="BA8400FC">
      <w:start w:val="1"/>
      <w:numFmt w:val="decimal"/>
      <w:lvlText w:val="%1."/>
      <w:lvlJc w:val="left"/>
      <w:pPr>
        <w:ind w:left="780" w:hanging="420"/>
      </w:pPr>
      <w:rPr>
        <w:rFonts w:hint="default"/>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46480118"/>
    <w:multiLevelType w:val="multilevel"/>
    <w:tmpl w:val="3C60B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708509C"/>
    <w:multiLevelType w:val="multilevel"/>
    <w:tmpl w:val="651C3E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E6C58A4"/>
    <w:multiLevelType w:val="hybridMultilevel"/>
    <w:tmpl w:val="6C7C36A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5ECB648B"/>
    <w:multiLevelType w:val="hybridMultilevel"/>
    <w:tmpl w:val="01CC562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67D06552"/>
    <w:multiLevelType w:val="hybridMultilevel"/>
    <w:tmpl w:val="6D0AB4E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7A462333"/>
    <w:multiLevelType w:val="hybridMultilevel"/>
    <w:tmpl w:val="76F064A4"/>
    <w:lvl w:ilvl="0" w:tplc="2000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7B391F5C"/>
    <w:multiLevelType w:val="hybridMultilevel"/>
    <w:tmpl w:val="7EB2EC7A"/>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37899748">
    <w:abstractNumId w:val="0"/>
  </w:num>
  <w:num w:numId="2" w16cid:durableId="1504970630">
    <w:abstractNumId w:val="1"/>
  </w:num>
  <w:num w:numId="3" w16cid:durableId="1342779810">
    <w:abstractNumId w:val="5"/>
  </w:num>
  <w:num w:numId="4" w16cid:durableId="1168062303">
    <w:abstractNumId w:val="7"/>
  </w:num>
  <w:num w:numId="5" w16cid:durableId="1138720373">
    <w:abstractNumId w:val="2"/>
  </w:num>
  <w:num w:numId="6" w16cid:durableId="2055885883">
    <w:abstractNumId w:val="9"/>
  </w:num>
  <w:num w:numId="7" w16cid:durableId="760838074">
    <w:abstractNumId w:val="10"/>
  </w:num>
  <w:num w:numId="8" w16cid:durableId="1325016199">
    <w:abstractNumId w:val="6"/>
  </w:num>
  <w:num w:numId="9" w16cid:durableId="1670908686">
    <w:abstractNumId w:val="8"/>
  </w:num>
  <w:num w:numId="10" w16cid:durableId="1577327748">
    <w:abstractNumId w:val="3"/>
  </w:num>
  <w:num w:numId="11" w16cid:durableId="114316017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2679"/>
    <w:rsid w:val="000305C7"/>
    <w:rsid w:val="00044544"/>
    <w:rsid w:val="00074C57"/>
    <w:rsid w:val="00106319"/>
    <w:rsid w:val="00121028"/>
    <w:rsid w:val="001B090E"/>
    <w:rsid w:val="00257BAE"/>
    <w:rsid w:val="00262AC4"/>
    <w:rsid w:val="00285338"/>
    <w:rsid w:val="0029532D"/>
    <w:rsid w:val="003A2679"/>
    <w:rsid w:val="00406CB0"/>
    <w:rsid w:val="00416ABC"/>
    <w:rsid w:val="00456213"/>
    <w:rsid w:val="00456827"/>
    <w:rsid w:val="00465B05"/>
    <w:rsid w:val="00494D6E"/>
    <w:rsid w:val="004C3085"/>
    <w:rsid w:val="005115D8"/>
    <w:rsid w:val="00535F12"/>
    <w:rsid w:val="00565530"/>
    <w:rsid w:val="00567D13"/>
    <w:rsid w:val="00572DDE"/>
    <w:rsid w:val="0060036F"/>
    <w:rsid w:val="00612EBD"/>
    <w:rsid w:val="00650E42"/>
    <w:rsid w:val="006C0975"/>
    <w:rsid w:val="006C1A9A"/>
    <w:rsid w:val="006F138C"/>
    <w:rsid w:val="00701C21"/>
    <w:rsid w:val="0076464D"/>
    <w:rsid w:val="007D2090"/>
    <w:rsid w:val="007E3DBD"/>
    <w:rsid w:val="00803974"/>
    <w:rsid w:val="00876B0C"/>
    <w:rsid w:val="008D296F"/>
    <w:rsid w:val="008F735E"/>
    <w:rsid w:val="008F75F5"/>
    <w:rsid w:val="0092474B"/>
    <w:rsid w:val="009A5273"/>
    <w:rsid w:val="009A74F6"/>
    <w:rsid w:val="009B6ABE"/>
    <w:rsid w:val="009D2350"/>
    <w:rsid w:val="009E5F61"/>
    <w:rsid w:val="00A642B7"/>
    <w:rsid w:val="00AA10F7"/>
    <w:rsid w:val="00AC395D"/>
    <w:rsid w:val="00AD2D92"/>
    <w:rsid w:val="00B01110"/>
    <w:rsid w:val="00B343FD"/>
    <w:rsid w:val="00B81F24"/>
    <w:rsid w:val="00B9514D"/>
    <w:rsid w:val="00BA1540"/>
    <w:rsid w:val="00BB4508"/>
    <w:rsid w:val="00BC03FD"/>
    <w:rsid w:val="00C130C2"/>
    <w:rsid w:val="00C308C1"/>
    <w:rsid w:val="00C637F7"/>
    <w:rsid w:val="00CC2DD1"/>
    <w:rsid w:val="00CE726B"/>
    <w:rsid w:val="00D045E0"/>
    <w:rsid w:val="00D37505"/>
    <w:rsid w:val="00D50979"/>
    <w:rsid w:val="00D56EA5"/>
    <w:rsid w:val="00D8172C"/>
    <w:rsid w:val="00DC27FD"/>
    <w:rsid w:val="00E34AD6"/>
    <w:rsid w:val="00E94B6B"/>
    <w:rsid w:val="00EA2C99"/>
    <w:rsid w:val="00EC2F44"/>
    <w:rsid w:val="00EF2852"/>
    <w:rsid w:val="00F82F01"/>
    <w:rsid w:val="00F96717"/>
    <w:rsid w:val="00FA5A20"/>
    <w:rsid w:val="00FD259C"/>
    <w:rsid w:val="00FF1C4B"/>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D11487"/>
  <w15:chartTrackingRefBased/>
  <w15:docId w15:val="{95BD3DEE-9A60-46E1-A954-D465AC4F0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2679"/>
    <w:pPr>
      <w:spacing w:after="0" w:line="240" w:lineRule="auto"/>
    </w:pPr>
    <w:rPr>
      <w:rFonts w:ascii="Times New Roman" w:eastAsia="Times New Roman" w:hAnsi="Times New Roman" w:cs="Times New Roman"/>
      <w:kern w:val="0"/>
      <w:sz w:val="20"/>
      <w:szCs w:val="20"/>
      <w:lang w:eastAsia="en-US"/>
      <w14:ligatures w14:val="none"/>
    </w:rPr>
  </w:style>
  <w:style w:type="paragraph" w:styleId="Heading1">
    <w:name w:val="heading 1"/>
    <w:basedOn w:val="Normal"/>
    <w:next w:val="Normal"/>
    <w:link w:val="Heading1Char"/>
    <w:uiPriority w:val="9"/>
    <w:qFormat/>
    <w:rsid w:val="003A26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A26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A26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A26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A26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A267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267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267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267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26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A26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A26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A26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A26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A26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26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26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2679"/>
    <w:rPr>
      <w:rFonts w:eastAsiaTheme="majorEastAsia" w:cstheme="majorBidi"/>
      <w:color w:val="272727" w:themeColor="text1" w:themeTint="D8"/>
    </w:rPr>
  </w:style>
  <w:style w:type="paragraph" w:styleId="Title">
    <w:name w:val="Title"/>
    <w:basedOn w:val="Normal"/>
    <w:next w:val="Normal"/>
    <w:link w:val="TitleChar"/>
    <w:uiPriority w:val="10"/>
    <w:qFormat/>
    <w:rsid w:val="003A267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26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26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A26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2679"/>
    <w:pPr>
      <w:spacing w:before="160"/>
      <w:jc w:val="center"/>
    </w:pPr>
    <w:rPr>
      <w:i/>
      <w:iCs/>
      <w:color w:val="404040" w:themeColor="text1" w:themeTint="BF"/>
    </w:rPr>
  </w:style>
  <w:style w:type="character" w:customStyle="1" w:styleId="QuoteChar">
    <w:name w:val="Quote Char"/>
    <w:basedOn w:val="DefaultParagraphFont"/>
    <w:link w:val="Quote"/>
    <w:uiPriority w:val="29"/>
    <w:rsid w:val="003A2679"/>
    <w:rPr>
      <w:i/>
      <w:iCs/>
      <w:color w:val="404040" w:themeColor="text1" w:themeTint="BF"/>
    </w:rPr>
  </w:style>
  <w:style w:type="paragraph" w:styleId="ListParagraph">
    <w:name w:val="List Paragraph"/>
    <w:basedOn w:val="Normal"/>
    <w:uiPriority w:val="34"/>
    <w:qFormat/>
    <w:rsid w:val="003A2679"/>
    <w:pPr>
      <w:ind w:left="720"/>
      <w:contextualSpacing/>
    </w:pPr>
  </w:style>
  <w:style w:type="character" w:styleId="IntenseEmphasis">
    <w:name w:val="Intense Emphasis"/>
    <w:basedOn w:val="DefaultParagraphFont"/>
    <w:uiPriority w:val="21"/>
    <w:qFormat/>
    <w:rsid w:val="003A2679"/>
    <w:rPr>
      <w:i/>
      <w:iCs/>
      <w:color w:val="0F4761" w:themeColor="accent1" w:themeShade="BF"/>
    </w:rPr>
  </w:style>
  <w:style w:type="paragraph" w:styleId="IntenseQuote">
    <w:name w:val="Intense Quote"/>
    <w:basedOn w:val="Normal"/>
    <w:next w:val="Normal"/>
    <w:link w:val="IntenseQuoteChar"/>
    <w:uiPriority w:val="30"/>
    <w:qFormat/>
    <w:rsid w:val="003A26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A2679"/>
    <w:rPr>
      <w:i/>
      <w:iCs/>
      <w:color w:val="0F4761" w:themeColor="accent1" w:themeShade="BF"/>
    </w:rPr>
  </w:style>
  <w:style w:type="character" w:styleId="IntenseReference">
    <w:name w:val="Intense Reference"/>
    <w:basedOn w:val="DefaultParagraphFont"/>
    <w:uiPriority w:val="32"/>
    <w:qFormat/>
    <w:rsid w:val="003A2679"/>
    <w:rPr>
      <w:b/>
      <w:bCs/>
      <w:smallCaps/>
      <w:color w:val="0F4761" w:themeColor="accent1" w:themeShade="BF"/>
      <w:spacing w:val="5"/>
    </w:rPr>
  </w:style>
  <w:style w:type="character" w:styleId="Hyperlink">
    <w:name w:val="Hyperlink"/>
    <w:rsid w:val="003A2679"/>
    <w:rPr>
      <w:color w:val="0000FF"/>
      <w:u w:val="single"/>
    </w:rPr>
  </w:style>
  <w:style w:type="paragraph" w:styleId="NormalWeb">
    <w:name w:val="Normal (Web)"/>
    <w:basedOn w:val="Normal"/>
    <w:uiPriority w:val="99"/>
    <w:unhideWhenUsed/>
    <w:rsid w:val="003A2679"/>
    <w:pPr>
      <w:spacing w:before="100" w:beforeAutospacing="1" w:after="100" w:afterAutospacing="1"/>
    </w:pPr>
    <w:rPr>
      <w:sz w:val="24"/>
      <w:szCs w:val="24"/>
      <w:lang w:val="en-US" w:eastAsia="en-GB"/>
    </w:rPr>
  </w:style>
  <w:style w:type="character" w:styleId="BookTitle">
    <w:name w:val="Book Title"/>
    <w:basedOn w:val="DefaultParagraphFont"/>
    <w:uiPriority w:val="33"/>
    <w:qFormat/>
    <w:rsid w:val="0092474B"/>
    <w:rPr>
      <w:b/>
      <w:bCs/>
      <w:i/>
      <w:iCs/>
      <w:spacing w:val="5"/>
    </w:rPr>
  </w:style>
  <w:style w:type="paragraph" w:styleId="Caption">
    <w:name w:val="caption"/>
    <w:basedOn w:val="Normal"/>
    <w:next w:val="Normal"/>
    <w:uiPriority w:val="35"/>
    <w:semiHidden/>
    <w:unhideWhenUsed/>
    <w:qFormat/>
    <w:rsid w:val="0092474B"/>
    <w:pPr>
      <w:spacing w:after="200"/>
    </w:pPr>
    <w:rPr>
      <w:i/>
      <w:iCs/>
      <w:color w:val="0E2841" w:themeColor="text2"/>
      <w:sz w:val="18"/>
      <w:szCs w:val="18"/>
    </w:rPr>
  </w:style>
  <w:style w:type="character" w:styleId="Emphasis">
    <w:name w:val="Emphasis"/>
    <w:basedOn w:val="DefaultParagraphFont"/>
    <w:uiPriority w:val="20"/>
    <w:qFormat/>
    <w:rsid w:val="0092474B"/>
    <w:rPr>
      <w:i/>
      <w:iCs/>
    </w:rPr>
  </w:style>
  <w:style w:type="paragraph" w:styleId="NoSpacing">
    <w:name w:val="No Spacing"/>
    <w:uiPriority w:val="1"/>
    <w:qFormat/>
    <w:rsid w:val="0092474B"/>
    <w:pPr>
      <w:spacing w:after="0" w:line="240" w:lineRule="auto"/>
    </w:pPr>
    <w:rPr>
      <w:rFonts w:ascii="Times New Roman" w:eastAsia="Times New Roman" w:hAnsi="Times New Roman" w:cs="Times New Roman"/>
      <w:kern w:val="0"/>
      <w:sz w:val="20"/>
      <w:szCs w:val="20"/>
      <w:lang w:eastAsia="en-US"/>
      <w14:ligatures w14:val="none"/>
    </w:rPr>
  </w:style>
  <w:style w:type="character" w:styleId="Strong">
    <w:name w:val="Strong"/>
    <w:basedOn w:val="DefaultParagraphFont"/>
    <w:uiPriority w:val="22"/>
    <w:qFormat/>
    <w:rsid w:val="0092474B"/>
    <w:rPr>
      <w:b/>
      <w:bCs/>
    </w:rPr>
  </w:style>
  <w:style w:type="character" w:styleId="SubtleEmphasis">
    <w:name w:val="Subtle Emphasis"/>
    <w:basedOn w:val="DefaultParagraphFont"/>
    <w:uiPriority w:val="19"/>
    <w:qFormat/>
    <w:rsid w:val="0092474B"/>
    <w:rPr>
      <w:i/>
      <w:iCs/>
      <w:color w:val="404040" w:themeColor="text1" w:themeTint="BF"/>
    </w:rPr>
  </w:style>
  <w:style w:type="character" w:styleId="SubtleReference">
    <w:name w:val="Subtle Reference"/>
    <w:basedOn w:val="DefaultParagraphFont"/>
    <w:uiPriority w:val="31"/>
    <w:qFormat/>
    <w:rsid w:val="0092474B"/>
    <w:rPr>
      <w:smallCaps/>
      <w:color w:val="5A5A5A" w:themeColor="text1" w:themeTint="A5"/>
    </w:rPr>
  </w:style>
  <w:style w:type="paragraph" w:styleId="TOCHeading">
    <w:name w:val="TOC Heading"/>
    <w:basedOn w:val="Heading1"/>
    <w:next w:val="Normal"/>
    <w:uiPriority w:val="39"/>
    <w:semiHidden/>
    <w:unhideWhenUsed/>
    <w:qFormat/>
    <w:rsid w:val="0092474B"/>
    <w:pPr>
      <w:spacing w:before="240" w:after="0"/>
      <w:outlineLvl w:val="9"/>
    </w:pPr>
    <w:rPr>
      <w:sz w:val="32"/>
      <w:szCs w:val="32"/>
    </w:rPr>
  </w:style>
  <w:style w:type="paragraph" w:styleId="BalloonText">
    <w:name w:val="Balloon Text"/>
    <w:basedOn w:val="Normal"/>
    <w:link w:val="BalloonTextChar"/>
    <w:uiPriority w:val="99"/>
    <w:semiHidden/>
    <w:unhideWhenUsed/>
    <w:rsid w:val="00CC2DD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2DD1"/>
    <w:rPr>
      <w:rFonts w:ascii="Segoe UI" w:eastAsia="Times New Roman" w:hAnsi="Segoe UI" w:cs="Segoe UI"/>
      <w:kern w:val="0"/>
      <w:sz w:val="18"/>
      <w:szCs w:val="18"/>
      <w:lang w:eastAsia="en-US"/>
      <w14:ligatures w14:val="none"/>
    </w:rPr>
  </w:style>
  <w:style w:type="character" w:customStyle="1" w:styleId="citation-66">
    <w:name w:val="citation-66"/>
    <w:basedOn w:val="DefaultParagraphFont"/>
    <w:rsid w:val="009A5273"/>
  </w:style>
  <w:style w:type="character" w:customStyle="1" w:styleId="citation-76">
    <w:name w:val="citation-76"/>
    <w:basedOn w:val="DefaultParagraphFont"/>
    <w:rsid w:val="009A5273"/>
  </w:style>
  <w:style w:type="character" w:customStyle="1" w:styleId="citation-89">
    <w:name w:val="citation-89"/>
    <w:basedOn w:val="DefaultParagraphFont"/>
    <w:rsid w:val="009A5273"/>
  </w:style>
  <w:style w:type="character" w:customStyle="1" w:styleId="citation-88">
    <w:name w:val="citation-88"/>
    <w:basedOn w:val="DefaultParagraphFont"/>
    <w:rsid w:val="009A5273"/>
  </w:style>
  <w:style w:type="character" w:customStyle="1" w:styleId="citation-87">
    <w:name w:val="citation-87"/>
    <w:basedOn w:val="DefaultParagraphFont"/>
    <w:rsid w:val="009A5273"/>
  </w:style>
  <w:style w:type="character" w:styleId="CommentReference">
    <w:name w:val="annotation reference"/>
    <w:basedOn w:val="DefaultParagraphFont"/>
    <w:uiPriority w:val="99"/>
    <w:semiHidden/>
    <w:unhideWhenUsed/>
    <w:rsid w:val="009A5273"/>
    <w:rPr>
      <w:sz w:val="16"/>
      <w:szCs w:val="16"/>
    </w:rPr>
  </w:style>
  <w:style w:type="paragraph" w:styleId="CommentText">
    <w:name w:val="annotation text"/>
    <w:basedOn w:val="Normal"/>
    <w:link w:val="CommentTextChar"/>
    <w:uiPriority w:val="99"/>
    <w:semiHidden/>
    <w:unhideWhenUsed/>
    <w:rsid w:val="009A5273"/>
  </w:style>
  <w:style w:type="character" w:customStyle="1" w:styleId="CommentTextChar">
    <w:name w:val="Comment Text Char"/>
    <w:basedOn w:val="DefaultParagraphFont"/>
    <w:link w:val="CommentText"/>
    <w:uiPriority w:val="99"/>
    <w:semiHidden/>
    <w:rsid w:val="009A5273"/>
    <w:rPr>
      <w:rFonts w:ascii="Times New Roman" w:eastAsia="Times New Roman" w:hAnsi="Times New Roman" w:cs="Times New Roman"/>
      <w:kern w:val="0"/>
      <w:sz w:val="20"/>
      <w:szCs w:val="20"/>
      <w:lang w:eastAsia="en-US"/>
      <w14:ligatures w14:val="none"/>
    </w:rPr>
  </w:style>
  <w:style w:type="paragraph" w:styleId="CommentSubject">
    <w:name w:val="annotation subject"/>
    <w:basedOn w:val="CommentText"/>
    <w:next w:val="CommentText"/>
    <w:link w:val="CommentSubjectChar"/>
    <w:uiPriority w:val="99"/>
    <w:semiHidden/>
    <w:unhideWhenUsed/>
    <w:rsid w:val="009A5273"/>
    <w:rPr>
      <w:b/>
      <w:bCs/>
    </w:rPr>
  </w:style>
  <w:style w:type="character" w:customStyle="1" w:styleId="CommentSubjectChar">
    <w:name w:val="Comment Subject Char"/>
    <w:basedOn w:val="CommentTextChar"/>
    <w:link w:val="CommentSubject"/>
    <w:uiPriority w:val="99"/>
    <w:semiHidden/>
    <w:rsid w:val="009A5273"/>
    <w:rPr>
      <w:rFonts w:ascii="Times New Roman" w:eastAsia="Times New Roman" w:hAnsi="Times New Roman" w:cs="Times New Roman"/>
      <w:b/>
      <w:bCs/>
      <w:kern w:val="0"/>
      <w:sz w:val="20"/>
      <w:szCs w:val="20"/>
      <w:lang w:eastAsia="en-US"/>
      <w14:ligatures w14:val="none"/>
    </w:rPr>
  </w:style>
  <w:style w:type="paragraph" w:styleId="Revision">
    <w:name w:val="Revision"/>
    <w:hidden/>
    <w:uiPriority w:val="99"/>
    <w:semiHidden/>
    <w:rsid w:val="00612EBD"/>
    <w:pPr>
      <w:spacing w:after="0" w:line="240" w:lineRule="auto"/>
    </w:pPr>
    <w:rPr>
      <w:rFonts w:ascii="Times New Roman" w:eastAsia="Times New Roman" w:hAnsi="Times New Roman" w:cs="Times New Roman"/>
      <w:kern w:val="0"/>
      <w:sz w:val="20"/>
      <w:szCs w:val="20"/>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8212478">
      <w:bodyDiv w:val="1"/>
      <w:marLeft w:val="0"/>
      <w:marRight w:val="0"/>
      <w:marTop w:val="0"/>
      <w:marBottom w:val="0"/>
      <w:divBdr>
        <w:top w:val="none" w:sz="0" w:space="0" w:color="auto"/>
        <w:left w:val="none" w:sz="0" w:space="0" w:color="auto"/>
        <w:bottom w:val="none" w:sz="0" w:space="0" w:color="auto"/>
        <w:right w:val="none" w:sz="0" w:space="0" w:color="auto"/>
      </w:divBdr>
    </w:div>
    <w:div w:id="2091274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42e65b2-cf21-49c1-b27d-d23f90380c0e">
      <Terms xmlns="http://schemas.microsoft.com/office/infopath/2007/PartnerControls"/>
    </lcf76f155ced4ddcb4097134ff3c332f>
    <TaxCatchAll xmlns="985ec44e-1bab-4c0b-9df0-6ba128686fc9" xsi:nil="true"/>
    <AIcounter xmlns="d42e65b2-cf21-49c1-b27d-d23f90380c0e">0</AIcounter>
    <Category xmlns="d42e65b2-cf21-49c1-b27d-d23f90380c0e">States</Category>
    <Filename xmlns="d42e65b2-cf21-49c1-b27d-d23f90380c0e" xsi:nil="true"/>
    <FilePreview xmlns="d42e65b2-cf21-49c1-b27d-d23f90380c0e" xsi:nil="true"/>
    <Doctype xmlns="d42e65b2-cf21-49c1-b27d-d23f90380c0e">input</Doctype>
    <Contributor xmlns="d42e65b2-cf21-49c1-b27d-d23f90380c0e">Malta</Contributor>
    <Status xmlns="d42e65b2-cf21-49c1-b27d-d23f90380c0e">Ready to publish</Status>
    <AItagger xmlns="d42e65b2-cf21-49c1-b27d-d23f90380c0e">false</AItagger>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36" ma:contentTypeDescription="Create a new document." ma:contentTypeScope="" ma:versionID="bbbe65f0025149aebc0f6e1d4fbbc27f">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1545ba8cf931c61df770f27d0d122335"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Doctype" minOccurs="0"/>
                <xsd:element ref="ns2:Category" minOccurs="0"/>
                <xsd:element ref="ns2:Filenam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Status" minOccurs="0"/>
                <xsd:element ref="ns2:AItagger" minOccurs="0"/>
                <xsd:element ref="ns2:AIcounter" minOccurs="0"/>
                <xsd:element ref="ns2:MediaServiceBillingMetadata" minOccurs="0"/>
                <xsd:element ref="ns2:MediaServiceLocation" minOccurs="0"/>
                <xsd:element ref="ns2:FilePre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1" nillable="true" ma:displayName="Contributor" ma:description="Who submitted this document?&#10;Click and enter the contributor's name" ma:internalName="Contributor">
      <xsd:simpleType>
        <xsd:restriction base="dms:Text">
          <xsd:maxLength value="255"/>
        </xsd:restriction>
      </xsd:simpleType>
    </xsd:element>
    <xsd:element name="Doctype" ma:index="2" nillable="true" ma:displayName="Doc type" ma:default="input" ma:format="Dropdown" ma:internalName="Doctype" ma:readOnly="fals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Category" ma:index="3" nillable="true" ma:displayName="Category" ma:format="Dropdown" ma:internalName="Category" ma:readOnly="false">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Filename" ma:index="4" nillable="true" ma:displayName="File name" ma:format="Dropdown" ma:hidden="true" ma:internalName="Filename" ma:readOnly="false">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hidden="true" ma:internalName="MediaServiceOCR" ma:readOnly="true">
      <xsd:simpleType>
        <xsd:restriction base="dms:Note"/>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Status" ma:index="26" nillable="true" ma:displayName="Status" ma:default="New" ma:format="Dropdown" ma:hidden="true" ma:internalName="Status">
      <xsd:simpleType>
        <xsd:restriction base="dms:Choice">
          <xsd:enumeration value="New"/>
          <xsd:enumeration value="AI tagging..."/>
          <xsd:enumeration value="AI tagged"/>
          <xsd:enumeration value="AI tagging failed"/>
          <xsd:enumeration value="Human tagged"/>
          <xsd:enumeration value="Already tagged"/>
          <xsd:enumeration value="Preparing for publishing..."/>
          <xsd:enumeration value="Error"/>
          <xsd:enumeration value="Ready to publish"/>
          <xsd:enumeration value="Web published"/>
        </xsd:restriction>
      </xsd:simpleType>
    </xsd:element>
    <xsd:element name="AItagger" ma:index="27" nillable="true" ma:displayName="AI tagger" ma:default="0" ma:format="Dropdown" ma:internalName="AItagger">
      <xsd:simpleType>
        <xsd:restriction base="dms:Boolean"/>
      </xsd:simpleType>
    </xsd:element>
    <xsd:element name="AIcounter" ma:index="28" nillable="true" ma:displayName="AI counter" ma:decimals="0" ma:default="0" ma:description="How many times AI tagger has been triggered" ma:format="Dropdown" ma:internalName="AIcounter" ma:percentage="FALSE">
      <xsd:simpleType>
        <xsd:restriction base="dms:Number"/>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MediaServiceLocation" ma:index="30" nillable="true" ma:displayName="Location" ma:indexed="true" ma:internalName="MediaServiceLocation" ma:readOnly="true">
      <xsd:simpleType>
        <xsd:restriction base="dms:Text"/>
      </xsd:simpleType>
    </xsd:element>
    <xsd:element name="FilePreview" ma:index="31" nillable="true" ma:displayName="Preview" ma:format="Dropdown" ma:internalName="FilePreview">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readOnly="false"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4CDD3FB-2C9C-4741-8F38-44C1961C8AAB}">
  <ds:schemaRefs>
    <ds:schemaRef ds:uri="http://schemas.microsoft.com/office/2006/metadata/properties"/>
    <ds:schemaRef ds:uri="http://schemas.microsoft.com/office/infopath/2007/PartnerControls"/>
    <ds:schemaRef ds:uri="051fb8dd-99fb-4aed-9cd6-a65d06476527"/>
    <ds:schemaRef ds:uri="f2cdd59c-67dd-4bfb-989e-5ba4fbebd234"/>
  </ds:schemaRefs>
</ds:datastoreItem>
</file>

<file path=customXml/itemProps2.xml><?xml version="1.0" encoding="utf-8"?>
<ds:datastoreItem xmlns:ds="http://schemas.openxmlformats.org/officeDocument/2006/customXml" ds:itemID="{75DC6BED-32F8-4D5A-AF3D-547DAE2A4BBB}">
  <ds:schemaRefs>
    <ds:schemaRef ds:uri="http://schemas.microsoft.com/sharepoint/v3/contenttype/forms"/>
  </ds:schemaRefs>
</ds:datastoreItem>
</file>

<file path=customXml/itemProps3.xml><?xml version="1.0" encoding="utf-8"?>
<ds:datastoreItem xmlns:ds="http://schemas.openxmlformats.org/officeDocument/2006/customXml" ds:itemID="{C54B10B4-3EEF-431D-9085-E857AD190593}"/>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Template>
  <TotalTime>49</TotalTime>
  <Pages>8</Pages>
  <Words>2488</Words>
  <Characters>15975</Characters>
  <Application>Microsoft Office Word</Application>
  <DocSecurity>0</DocSecurity>
  <Lines>290</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Juan-Jose Flores</dc:creator>
  <cp:keywords/>
  <dc:description/>
  <cp:lastModifiedBy>Aquilina Emily at ODPM</cp:lastModifiedBy>
  <cp:revision>37</cp:revision>
  <dcterms:created xsi:type="dcterms:W3CDTF">2026-06-26T07:49:00Z</dcterms:created>
  <dcterms:modified xsi:type="dcterms:W3CDTF">2026-06-30T07:59:00Z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y fmtid="{D5CDD505-2E9C-101B-9397-08002B2CF9AE}" pid="3" name="MediaServiceImageTags">
    <vt:lpwstr/>
  </property>
</Properties>
</file>