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A25BF" w14:textId="39FC2F88" w:rsidR="00630C89" w:rsidRPr="00D10728" w:rsidRDefault="00696640" w:rsidP="00630C89">
      <w:pPr>
        <w:shd w:val="clear" w:color="auto" w:fill="800000"/>
        <w:spacing w:after="0" w:line="240" w:lineRule="auto"/>
        <w:jc w:val="center"/>
        <w:rPr>
          <w:rFonts w:ascii="Noto Sans" w:hAnsi="Noto Sans" w:cs="Noto Sans"/>
          <w:b/>
          <w:bCs/>
        </w:rPr>
      </w:pPr>
      <w:r>
        <w:rPr>
          <w:rFonts w:ascii="Noto Sans" w:hAnsi="Noto Sans" w:cs="Noto Sans"/>
          <w:b/>
          <w:bCs/>
        </w:rPr>
        <w:t xml:space="preserve">Contribuciones </w:t>
      </w:r>
      <w:r w:rsidR="006F69B8" w:rsidRPr="790F1ADA">
        <w:rPr>
          <w:rFonts w:ascii="Noto Sans" w:hAnsi="Noto Sans" w:cs="Noto Sans"/>
          <w:b/>
          <w:bCs/>
        </w:rPr>
        <w:t>para el informe del Experto Independiente sobre las personas de edad, sobre el tema: “Autonomía,</w:t>
      </w:r>
      <w:r w:rsidR="6F932922" w:rsidRPr="790F1ADA">
        <w:rPr>
          <w:rFonts w:ascii="Noto Sans" w:hAnsi="Noto Sans" w:cs="Noto Sans"/>
          <w:b/>
          <w:bCs/>
        </w:rPr>
        <w:t xml:space="preserve"> participación y</w:t>
      </w:r>
      <w:r w:rsidR="006F69B8" w:rsidRPr="790F1ADA">
        <w:rPr>
          <w:rFonts w:ascii="Noto Sans" w:hAnsi="Noto Sans" w:cs="Noto Sans"/>
          <w:b/>
          <w:bCs/>
        </w:rPr>
        <w:t xml:space="preserve"> dignidad </w:t>
      </w:r>
      <w:r w:rsidR="39C683F2" w:rsidRPr="790F1ADA">
        <w:rPr>
          <w:rFonts w:ascii="Noto Sans" w:hAnsi="Noto Sans" w:cs="Noto Sans"/>
          <w:b/>
          <w:bCs/>
        </w:rPr>
        <w:t>humana de las personas mayores con deterioro cognitivo</w:t>
      </w:r>
      <w:r w:rsidR="006F69B8" w:rsidRPr="790F1ADA">
        <w:rPr>
          <w:rFonts w:ascii="Noto Sans" w:hAnsi="Noto Sans" w:cs="Noto Sans"/>
          <w:b/>
          <w:bCs/>
        </w:rPr>
        <w:t>”</w:t>
      </w:r>
    </w:p>
    <w:p w14:paraId="0BA78848" w14:textId="77777777" w:rsidR="00630C89" w:rsidRPr="00D10728" w:rsidRDefault="00630C89" w:rsidP="00630C89">
      <w:pPr>
        <w:spacing w:after="0" w:line="240" w:lineRule="auto"/>
        <w:jc w:val="both"/>
        <w:rPr>
          <w:rFonts w:ascii="Noto Sans" w:hAnsi="Noto Sans" w:cs="Noto Sans"/>
          <w:b/>
          <w:bCs/>
          <w:sz w:val="22"/>
          <w:szCs w:val="22"/>
        </w:rPr>
      </w:pPr>
    </w:p>
    <w:p w14:paraId="00A5FE4A" w14:textId="3EC6B34D" w:rsidR="00C00252" w:rsidRPr="00696640" w:rsidRDefault="00C00252" w:rsidP="00C00252">
      <w:pPr>
        <w:pStyle w:val="Prrafodelista"/>
        <w:numPr>
          <w:ilvl w:val="0"/>
          <w:numId w:val="12"/>
        </w:numPr>
        <w:spacing w:after="0" w:line="240" w:lineRule="auto"/>
        <w:jc w:val="both"/>
        <w:rPr>
          <w:rFonts w:ascii="Noto Sans" w:eastAsia="Aptos" w:hAnsi="Noto Sans" w:cs="Noto Sans"/>
          <w:b/>
          <w:bCs/>
          <w:i/>
          <w:iCs/>
          <w:color w:val="000000" w:themeColor="text1"/>
          <w:sz w:val="22"/>
          <w:szCs w:val="22"/>
        </w:rPr>
      </w:pPr>
      <w:r w:rsidRPr="00696640">
        <w:rPr>
          <w:rFonts w:ascii="Noto Sans" w:eastAsia="Aptos" w:hAnsi="Noto Sans" w:cs="Noto Sans"/>
          <w:b/>
          <w:bCs/>
          <w:i/>
          <w:iCs/>
          <w:color w:val="000000" w:themeColor="text1"/>
          <w:sz w:val="22"/>
          <w:szCs w:val="22"/>
        </w:rPr>
        <w:t>Voz, reconocimiento y experiencia de vida</w:t>
      </w:r>
    </w:p>
    <w:p w14:paraId="47E37465" w14:textId="25C4BB7C" w:rsidR="006F69B8" w:rsidRPr="00696640" w:rsidRDefault="006F69B8" w:rsidP="00C00252">
      <w:pPr>
        <w:spacing w:after="0" w:line="240" w:lineRule="auto"/>
        <w:jc w:val="both"/>
        <w:rPr>
          <w:rFonts w:ascii="Noto Sans" w:eastAsia="Aptos" w:hAnsi="Noto Sans" w:cs="Noto Sans"/>
          <w:color w:val="000000" w:themeColor="text1"/>
          <w:sz w:val="22"/>
          <w:szCs w:val="22"/>
        </w:rPr>
      </w:pPr>
    </w:p>
    <w:p w14:paraId="08ED508D" w14:textId="4563CDCE" w:rsidR="006F69B8" w:rsidRPr="00696640" w:rsidRDefault="006F69B8" w:rsidP="00C00252">
      <w:pPr>
        <w:pStyle w:val="Prrafodelista"/>
        <w:numPr>
          <w:ilvl w:val="0"/>
          <w:numId w:val="11"/>
        </w:numPr>
        <w:spacing w:after="0" w:line="240" w:lineRule="auto"/>
        <w:jc w:val="both"/>
        <w:rPr>
          <w:rFonts w:ascii="Noto Sans" w:hAnsi="Noto Sans" w:cs="Noto Sans"/>
          <w:b/>
          <w:bCs/>
          <w:sz w:val="22"/>
          <w:szCs w:val="22"/>
        </w:rPr>
      </w:pPr>
      <w:r w:rsidRPr="00696640">
        <w:rPr>
          <w:rFonts w:ascii="Noto Sans" w:hAnsi="Noto Sans" w:cs="Noto Sans"/>
          <w:b/>
          <w:bCs/>
          <w:sz w:val="22"/>
          <w:szCs w:val="22"/>
        </w:rPr>
        <w:t>¿C</w:t>
      </w:r>
      <w:r w:rsidR="1ED474E2" w:rsidRPr="00696640">
        <w:rPr>
          <w:rFonts w:ascii="Noto Sans" w:hAnsi="Noto Sans" w:cs="Noto Sans"/>
          <w:b/>
          <w:bCs/>
          <w:sz w:val="22"/>
          <w:szCs w:val="22"/>
        </w:rPr>
        <w:t>ómo se identifican, interpretan y respetan los deseos, las emociones</w:t>
      </w:r>
      <w:r w:rsidR="48FCEC61" w:rsidRPr="00696640">
        <w:rPr>
          <w:rFonts w:ascii="Noto Sans" w:hAnsi="Noto Sans" w:cs="Noto Sans"/>
          <w:b/>
          <w:bCs/>
          <w:sz w:val="22"/>
          <w:szCs w:val="22"/>
        </w:rPr>
        <w:t>, las preferencias y los valores de las personas mayores con deterioro cognitivo cuando la comunicación es difícil, está alterada o es fl</w:t>
      </w:r>
      <w:r w:rsidR="27652A7D" w:rsidRPr="00696640">
        <w:rPr>
          <w:rFonts w:ascii="Noto Sans" w:hAnsi="Noto Sans" w:cs="Noto Sans"/>
          <w:b/>
          <w:bCs/>
          <w:sz w:val="22"/>
          <w:szCs w:val="22"/>
        </w:rPr>
        <w:t>uctuante</w:t>
      </w:r>
      <w:r w:rsidRPr="00696640">
        <w:rPr>
          <w:rFonts w:ascii="Noto Sans" w:hAnsi="Noto Sans" w:cs="Noto Sans"/>
          <w:b/>
          <w:bCs/>
          <w:sz w:val="22"/>
          <w:szCs w:val="22"/>
        </w:rPr>
        <w:t>?</w:t>
      </w:r>
    </w:p>
    <w:p w14:paraId="201A2392" w14:textId="77777777" w:rsidR="00D56A43" w:rsidRPr="00696640" w:rsidRDefault="00D56A43" w:rsidP="00C00252">
      <w:pPr>
        <w:spacing w:after="0" w:line="240" w:lineRule="auto"/>
        <w:jc w:val="both"/>
        <w:rPr>
          <w:rFonts w:ascii="Noto Sans" w:hAnsi="Noto Sans" w:cs="Noto Sans"/>
          <w:sz w:val="22"/>
          <w:szCs w:val="22"/>
        </w:rPr>
      </w:pPr>
    </w:p>
    <w:p w14:paraId="59E27291" w14:textId="5BA3AD0F" w:rsidR="1C7B8D81" w:rsidRPr="00696640" w:rsidRDefault="00D56A43" w:rsidP="00C00252">
      <w:pPr>
        <w:spacing w:after="0" w:line="240" w:lineRule="auto"/>
        <w:jc w:val="both"/>
        <w:rPr>
          <w:rFonts w:ascii="Noto Sans" w:hAnsi="Noto Sans" w:cs="Noto Sans"/>
          <w:sz w:val="22"/>
          <w:szCs w:val="22"/>
        </w:rPr>
      </w:pPr>
      <w:r w:rsidRPr="00696640">
        <w:rPr>
          <w:rFonts w:ascii="Noto Sans" w:hAnsi="Noto Sans" w:cs="Noto Sans"/>
          <w:sz w:val="22"/>
          <w:szCs w:val="22"/>
        </w:rPr>
        <w:t xml:space="preserve">El Instituto Nacional de las Personas Adultas Mayores (INAPAM) realiza actividades </w:t>
      </w:r>
      <w:r w:rsidR="00F938BE">
        <w:rPr>
          <w:rFonts w:ascii="Noto Sans" w:hAnsi="Noto Sans" w:cs="Noto Sans"/>
          <w:sz w:val="22"/>
          <w:szCs w:val="22"/>
        </w:rPr>
        <w:t>que</w:t>
      </w:r>
      <w:r w:rsidRPr="00696640">
        <w:rPr>
          <w:rFonts w:ascii="Noto Sans" w:hAnsi="Noto Sans" w:cs="Noto Sans"/>
          <w:sz w:val="22"/>
          <w:szCs w:val="22"/>
        </w:rPr>
        <w:t xml:space="preserve"> contempla</w:t>
      </w:r>
      <w:r w:rsidR="00F938BE">
        <w:rPr>
          <w:rFonts w:ascii="Noto Sans" w:hAnsi="Noto Sans" w:cs="Noto Sans"/>
          <w:sz w:val="22"/>
          <w:szCs w:val="22"/>
        </w:rPr>
        <w:t>n</w:t>
      </w:r>
      <w:r w:rsidRPr="00696640">
        <w:rPr>
          <w:rFonts w:ascii="Noto Sans" w:hAnsi="Noto Sans" w:cs="Noto Sans"/>
          <w:sz w:val="22"/>
          <w:szCs w:val="22"/>
        </w:rPr>
        <w:t xml:space="preserve"> el derecho a la autonomía e inclusión de dicho grupo etario, así como a la no discriminación. E</w:t>
      </w:r>
      <w:r w:rsidR="009B052E">
        <w:rPr>
          <w:rFonts w:ascii="Noto Sans" w:hAnsi="Noto Sans" w:cs="Noto Sans"/>
          <w:sz w:val="22"/>
          <w:szCs w:val="22"/>
        </w:rPr>
        <w:t>l</w:t>
      </w:r>
      <w:r w:rsidRPr="00696640">
        <w:rPr>
          <w:rFonts w:ascii="Noto Sans" w:hAnsi="Noto Sans" w:cs="Noto Sans"/>
          <w:sz w:val="22"/>
          <w:szCs w:val="22"/>
        </w:rPr>
        <w:t xml:space="preserve"> Instituto cuenta con el Programa E048 “Servicios a grupos con necesidades especiales”, </w:t>
      </w:r>
      <w:r w:rsidR="00F938BE">
        <w:rPr>
          <w:rFonts w:ascii="Noto Sans" w:hAnsi="Noto Sans" w:cs="Noto Sans"/>
          <w:sz w:val="22"/>
          <w:szCs w:val="22"/>
        </w:rPr>
        <w:t>cuyas acciones</w:t>
      </w:r>
      <w:r w:rsidRPr="00696640">
        <w:rPr>
          <w:rFonts w:ascii="Noto Sans" w:hAnsi="Noto Sans" w:cs="Noto Sans"/>
          <w:sz w:val="22"/>
          <w:szCs w:val="22"/>
        </w:rPr>
        <w:t xml:space="preserve"> </w:t>
      </w:r>
      <w:r w:rsidR="00F938BE">
        <w:rPr>
          <w:rFonts w:ascii="Noto Sans" w:hAnsi="Noto Sans" w:cs="Noto Sans"/>
          <w:sz w:val="22"/>
          <w:szCs w:val="22"/>
        </w:rPr>
        <w:t>contribuyen</w:t>
      </w:r>
      <w:r w:rsidR="00F938BE" w:rsidRPr="00696640">
        <w:rPr>
          <w:rFonts w:ascii="Noto Sans" w:hAnsi="Noto Sans" w:cs="Noto Sans"/>
          <w:sz w:val="22"/>
          <w:szCs w:val="22"/>
        </w:rPr>
        <w:t xml:space="preserve"> </w:t>
      </w:r>
      <w:r w:rsidR="00F938BE">
        <w:rPr>
          <w:rFonts w:ascii="Noto Sans" w:hAnsi="Noto Sans" w:cs="Noto Sans"/>
          <w:sz w:val="22"/>
          <w:szCs w:val="22"/>
        </w:rPr>
        <w:t>a</w:t>
      </w:r>
      <w:r w:rsidR="00A41D27">
        <w:rPr>
          <w:rFonts w:ascii="Noto Sans" w:hAnsi="Noto Sans" w:cs="Noto Sans"/>
          <w:sz w:val="22"/>
          <w:szCs w:val="22"/>
        </w:rPr>
        <w:t>l ejercicio de</w:t>
      </w:r>
      <w:r w:rsidR="00EA2BBF">
        <w:rPr>
          <w:rFonts w:ascii="Noto Sans" w:hAnsi="Noto Sans" w:cs="Noto Sans"/>
          <w:sz w:val="22"/>
          <w:szCs w:val="22"/>
        </w:rPr>
        <w:t xml:space="preserve"> </w:t>
      </w:r>
      <w:r w:rsidRPr="00696640">
        <w:rPr>
          <w:rFonts w:ascii="Noto Sans" w:hAnsi="Noto Sans" w:cs="Noto Sans"/>
          <w:sz w:val="22"/>
          <w:szCs w:val="22"/>
        </w:rPr>
        <w:t>los derechos humanos de las personas mayores. Dentro de estos, se encuentran los servicios médicos en Albergues, Residencias de Día y en el Centro de Atención Integral. Es este último, desde el cual se brinda atención medica integral con enfoque gerontológico, tales como audiología, clínica de la memoria, dermatología, geriatría, ginecología, homeopatía, nutrición, odontología, optometría, ortopedia, psicología, psiquiatría, rehabilitación, reumatología y tanatología.</w:t>
      </w:r>
    </w:p>
    <w:p w14:paraId="4C9193A9" w14:textId="77777777" w:rsidR="00517D92" w:rsidRPr="00696640" w:rsidRDefault="00517D92" w:rsidP="00C00252">
      <w:pPr>
        <w:spacing w:after="0" w:line="240" w:lineRule="auto"/>
        <w:jc w:val="both"/>
        <w:rPr>
          <w:rFonts w:ascii="Noto Sans" w:hAnsi="Noto Sans" w:cs="Noto Sans"/>
          <w:sz w:val="22"/>
          <w:szCs w:val="22"/>
        </w:rPr>
      </w:pPr>
    </w:p>
    <w:p w14:paraId="08A67FE5" w14:textId="665BF79D" w:rsidR="00517D92" w:rsidRPr="00696640" w:rsidRDefault="00517D92" w:rsidP="00C00252">
      <w:pPr>
        <w:spacing w:after="0" w:line="240" w:lineRule="auto"/>
        <w:jc w:val="both"/>
        <w:rPr>
          <w:rFonts w:ascii="Noto Sans" w:hAnsi="Noto Sans" w:cs="Noto Sans"/>
          <w:sz w:val="22"/>
          <w:szCs w:val="22"/>
        </w:rPr>
      </w:pPr>
      <w:r w:rsidRPr="00696640">
        <w:rPr>
          <w:rFonts w:ascii="Noto Sans" w:hAnsi="Noto Sans" w:cs="Noto Sans"/>
          <w:sz w:val="22"/>
          <w:szCs w:val="22"/>
        </w:rPr>
        <w:t xml:space="preserve">La Clínica de la Memoria brinda consultas externas </w:t>
      </w:r>
      <w:r w:rsidR="007A6394">
        <w:rPr>
          <w:rFonts w:ascii="Noto Sans" w:hAnsi="Noto Sans" w:cs="Noto Sans"/>
          <w:sz w:val="22"/>
          <w:szCs w:val="22"/>
        </w:rPr>
        <w:t>que incluyen medidas</w:t>
      </w:r>
      <w:r w:rsidRPr="00696640">
        <w:rPr>
          <w:rFonts w:ascii="Noto Sans" w:hAnsi="Noto Sans" w:cs="Noto Sans"/>
          <w:sz w:val="22"/>
          <w:szCs w:val="22"/>
        </w:rPr>
        <w:t xml:space="preserve"> para detectar o confirmar los diagnósticos de deterioro cognitivo leve o trastorno neurocognitivo mayor (demencia) de manera oportuna</w:t>
      </w:r>
      <w:r w:rsidR="00E433D9">
        <w:rPr>
          <w:rFonts w:ascii="Noto Sans" w:hAnsi="Noto Sans" w:cs="Noto Sans"/>
          <w:sz w:val="22"/>
          <w:szCs w:val="22"/>
        </w:rPr>
        <w:t>,</w:t>
      </w:r>
      <w:r w:rsidRPr="00696640">
        <w:rPr>
          <w:rFonts w:ascii="Noto Sans" w:hAnsi="Noto Sans" w:cs="Noto Sans"/>
          <w:sz w:val="22"/>
          <w:szCs w:val="22"/>
        </w:rPr>
        <w:t xml:space="preserve"> realizando una historia clínica y utilizando métodos simplificados (pruebas de tamizaje). </w:t>
      </w:r>
      <w:r w:rsidR="00F938BE">
        <w:rPr>
          <w:rFonts w:ascii="Noto Sans" w:hAnsi="Noto Sans" w:cs="Noto Sans"/>
          <w:sz w:val="22"/>
          <w:szCs w:val="22"/>
        </w:rPr>
        <w:t>Se contempla la generación de</w:t>
      </w:r>
      <w:r w:rsidRPr="00696640">
        <w:rPr>
          <w:rFonts w:ascii="Noto Sans" w:hAnsi="Noto Sans" w:cs="Noto Sans"/>
          <w:sz w:val="22"/>
          <w:szCs w:val="22"/>
        </w:rPr>
        <w:t xml:space="preserve"> planes de atención individual, de acuerdo con las necesidades particulares de cada persona mayor</w:t>
      </w:r>
      <w:r w:rsidR="00E433D9">
        <w:rPr>
          <w:rFonts w:ascii="Noto Sans" w:hAnsi="Noto Sans" w:cs="Noto Sans"/>
          <w:sz w:val="22"/>
          <w:szCs w:val="22"/>
        </w:rPr>
        <w:t xml:space="preserve"> y se brinda </w:t>
      </w:r>
      <w:r w:rsidRPr="00696640">
        <w:rPr>
          <w:rFonts w:ascii="Noto Sans" w:hAnsi="Noto Sans" w:cs="Noto Sans"/>
          <w:sz w:val="22"/>
          <w:szCs w:val="22"/>
        </w:rPr>
        <w:t xml:space="preserve">orientación a las personas cuidadoras que forman parte de su red de apoyo, </w:t>
      </w:r>
      <w:r w:rsidR="00E433D9">
        <w:rPr>
          <w:rFonts w:ascii="Noto Sans" w:hAnsi="Noto Sans" w:cs="Noto Sans"/>
          <w:sz w:val="22"/>
          <w:szCs w:val="22"/>
        </w:rPr>
        <w:t xml:space="preserve">con </w:t>
      </w:r>
      <w:r w:rsidRPr="00696640">
        <w:rPr>
          <w:rFonts w:ascii="Noto Sans" w:hAnsi="Noto Sans" w:cs="Noto Sans"/>
          <w:sz w:val="22"/>
          <w:szCs w:val="22"/>
        </w:rPr>
        <w:t>respecto al diagnóstico, tratamiento y seguimiento de su proceso.</w:t>
      </w:r>
      <w:r w:rsidR="009B052E">
        <w:rPr>
          <w:rFonts w:ascii="Noto Sans" w:hAnsi="Noto Sans" w:cs="Noto Sans"/>
          <w:sz w:val="22"/>
          <w:szCs w:val="22"/>
        </w:rPr>
        <w:t xml:space="preserve"> </w:t>
      </w:r>
      <w:r w:rsidRPr="00696640">
        <w:rPr>
          <w:rFonts w:ascii="Noto Sans" w:hAnsi="Noto Sans" w:cs="Noto Sans"/>
          <w:sz w:val="22"/>
          <w:szCs w:val="22"/>
        </w:rPr>
        <w:t xml:space="preserve">Cabe resaltar que las alteraciones del comportamiento de una persona adulta mayor no son </w:t>
      </w:r>
      <w:r w:rsidR="00F938BE">
        <w:rPr>
          <w:rFonts w:ascii="Noto Sans" w:hAnsi="Noto Sans" w:cs="Noto Sans"/>
          <w:sz w:val="22"/>
          <w:szCs w:val="22"/>
        </w:rPr>
        <w:t>un factor excluyente</w:t>
      </w:r>
      <w:r w:rsidR="00F938BE" w:rsidRPr="00696640">
        <w:rPr>
          <w:rFonts w:ascii="Noto Sans" w:hAnsi="Noto Sans" w:cs="Noto Sans"/>
          <w:sz w:val="22"/>
          <w:szCs w:val="22"/>
        </w:rPr>
        <w:t xml:space="preserve"> </w:t>
      </w:r>
      <w:r w:rsidRPr="00696640">
        <w:rPr>
          <w:rFonts w:ascii="Noto Sans" w:hAnsi="Noto Sans" w:cs="Noto Sans"/>
          <w:sz w:val="22"/>
          <w:szCs w:val="22"/>
        </w:rPr>
        <w:t xml:space="preserve">para brindarle el servicio, ya que se </w:t>
      </w:r>
      <w:r w:rsidR="00F938BE">
        <w:rPr>
          <w:rFonts w:ascii="Noto Sans" w:hAnsi="Noto Sans" w:cs="Noto Sans"/>
          <w:sz w:val="22"/>
          <w:szCs w:val="22"/>
        </w:rPr>
        <w:t>existen medidas de orientación sobre</w:t>
      </w:r>
      <w:r w:rsidRPr="00696640">
        <w:rPr>
          <w:rFonts w:ascii="Noto Sans" w:hAnsi="Noto Sans" w:cs="Noto Sans"/>
          <w:sz w:val="22"/>
          <w:szCs w:val="22"/>
        </w:rPr>
        <w:t xml:space="preserve"> cómo </w:t>
      </w:r>
      <w:r w:rsidR="00F938BE">
        <w:rPr>
          <w:rFonts w:ascii="Noto Sans" w:hAnsi="Noto Sans" w:cs="Noto Sans"/>
          <w:sz w:val="22"/>
          <w:szCs w:val="22"/>
        </w:rPr>
        <w:t>abordar</w:t>
      </w:r>
      <w:r w:rsidR="00F938BE" w:rsidRPr="00696640">
        <w:rPr>
          <w:rFonts w:ascii="Noto Sans" w:hAnsi="Noto Sans" w:cs="Noto Sans"/>
          <w:sz w:val="22"/>
          <w:szCs w:val="22"/>
        </w:rPr>
        <w:t xml:space="preserve"> </w:t>
      </w:r>
      <w:r w:rsidRPr="00696640">
        <w:rPr>
          <w:rFonts w:ascii="Noto Sans" w:hAnsi="Noto Sans" w:cs="Noto Sans"/>
          <w:sz w:val="22"/>
          <w:szCs w:val="22"/>
        </w:rPr>
        <w:t>este tipo de situaciones.</w:t>
      </w:r>
    </w:p>
    <w:p w14:paraId="5409C9D0" w14:textId="77777777" w:rsidR="00517D92" w:rsidRPr="00696640" w:rsidRDefault="00517D92" w:rsidP="00C00252">
      <w:pPr>
        <w:spacing w:after="0" w:line="240" w:lineRule="auto"/>
        <w:jc w:val="both"/>
        <w:rPr>
          <w:rFonts w:ascii="Noto Sans" w:hAnsi="Noto Sans" w:cs="Noto Sans"/>
          <w:sz w:val="22"/>
          <w:szCs w:val="22"/>
        </w:rPr>
      </w:pPr>
    </w:p>
    <w:p w14:paraId="44327A7C" w14:textId="05BCE392" w:rsidR="00517D92" w:rsidRPr="00696640" w:rsidRDefault="00517D92" w:rsidP="00C00252">
      <w:pPr>
        <w:spacing w:after="0" w:line="240" w:lineRule="auto"/>
        <w:jc w:val="both"/>
        <w:rPr>
          <w:rFonts w:ascii="Noto Sans" w:hAnsi="Noto Sans" w:cs="Noto Sans"/>
          <w:sz w:val="22"/>
          <w:szCs w:val="22"/>
        </w:rPr>
      </w:pPr>
      <w:r w:rsidRPr="00696640">
        <w:rPr>
          <w:rFonts w:ascii="Noto Sans" w:hAnsi="Noto Sans" w:cs="Noto Sans"/>
          <w:sz w:val="22"/>
          <w:szCs w:val="22"/>
        </w:rPr>
        <w:t>el Instituto también ofrece servicios culturales y de esparcimiento en Clubes INAPAM</w:t>
      </w:r>
      <w:r w:rsidR="00E7752D" w:rsidRPr="00E7752D">
        <w:rPr>
          <w:rFonts w:ascii="Noto Sans" w:hAnsi="Noto Sans" w:cs="Noto Sans"/>
          <w:sz w:val="22"/>
          <w:szCs w:val="22"/>
        </w:rPr>
        <w:t xml:space="preserve"> </w:t>
      </w:r>
      <w:r w:rsidR="00E7752D">
        <w:rPr>
          <w:rFonts w:ascii="Noto Sans" w:hAnsi="Noto Sans" w:cs="Noto Sans"/>
          <w:sz w:val="22"/>
          <w:szCs w:val="22"/>
        </w:rPr>
        <w:t>que ayudan a</w:t>
      </w:r>
      <w:r w:rsidR="00E7752D" w:rsidRPr="00696640">
        <w:rPr>
          <w:rFonts w:ascii="Noto Sans" w:hAnsi="Noto Sans" w:cs="Noto Sans"/>
          <w:sz w:val="22"/>
          <w:szCs w:val="22"/>
        </w:rPr>
        <w:t xml:space="preserve"> prevenir o combatir la presencia del deterioro cognitivo</w:t>
      </w:r>
      <w:r w:rsidR="00E7752D">
        <w:rPr>
          <w:rFonts w:ascii="Noto Sans" w:hAnsi="Noto Sans" w:cs="Noto Sans"/>
          <w:sz w:val="22"/>
          <w:szCs w:val="22"/>
        </w:rPr>
        <w:t>. Son</w:t>
      </w:r>
      <w:r w:rsidRPr="00696640">
        <w:rPr>
          <w:rFonts w:ascii="Noto Sans" w:hAnsi="Noto Sans" w:cs="Noto Sans"/>
          <w:sz w:val="22"/>
          <w:szCs w:val="22"/>
        </w:rPr>
        <w:t xml:space="preserve"> espacios conformados por personas de 60 años o más, quienes comparten intereses en común, que se reúnen en espacios comunitarios </w:t>
      </w:r>
      <w:proofErr w:type="spellStart"/>
      <w:r w:rsidRPr="00696640">
        <w:rPr>
          <w:rFonts w:ascii="Noto Sans" w:hAnsi="Noto Sans" w:cs="Noto Sans"/>
          <w:sz w:val="22"/>
          <w:szCs w:val="22"/>
        </w:rPr>
        <w:t>autogestivos</w:t>
      </w:r>
      <w:proofErr w:type="spellEnd"/>
      <w:r w:rsidRPr="00696640">
        <w:rPr>
          <w:rFonts w:ascii="Noto Sans" w:hAnsi="Noto Sans" w:cs="Noto Sans"/>
          <w:sz w:val="22"/>
          <w:szCs w:val="22"/>
        </w:rPr>
        <w:t xml:space="preserve"> en donde promueven y realizan diversas actividades sociales, culturales, físicas, recreativas y de enseñanza, contribuyendo a mejorar su calidad de vida. </w:t>
      </w:r>
      <w:r w:rsidR="009B052E">
        <w:rPr>
          <w:rFonts w:ascii="Noto Sans" w:hAnsi="Noto Sans" w:cs="Noto Sans"/>
          <w:sz w:val="22"/>
          <w:szCs w:val="22"/>
        </w:rPr>
        <w:t>Además, también cuenta con</w:t>
      </w:r>
      <w:r w:rsidRPr="00696640">
        <w:rPr>
          <w:rFonts w:ascii="Noto Sans" w:hAnsi="Noto Sans" w:cs="Noto Sans"/>
          <w:sz w:val="22"/>
          <w:szCs w:val="22"/>
        </w:rPr>
        <w:t xml:space="preserve"> Centros Culturales, </w:t>
      </w:r>
      <w:r w:rsidR="00E7752D">
        <w:rPr>
          <w:rFonts w:ascii="Noto Sans" w:hAnsi="Noto Sans" w:cs="Noto Sans"/>
          <w:sz w:val="22"/>
          <w:szCs w:val="22"/>
        </w:rPr>
        <w:t xml:space="preserve">que ofrecen un espacio para dar </w:t>
      </w:r>
      <w:r w:rsidRPr="00696640">
        <w:rPr>
          <w:rFonts w:ascii="Noto Sans" w:hAnsi="Noto Sans" w:cs="Noto Sans"/>
          <w:sz w:val="22"/>
          <w:szCs w:val="22"/>
        </w:rPr>
        <w:t>respuesta a las necesidades e intereses de las personas mayores que buscan convivir con otras personas y de manera simultánea aprovechar el tiempo libre a través de la impartición de actividades físicas, culturales, recreativas, entre otras, promoviendo así el fortalecimiento de su capacidad funcional y el despliegue de sus potencialidades dentro de los ámbitos familiar y comunitario.</w:t>
      </w:r>
    </w:p>
    <w:p w14:paraId="02E06267" w14:textId="77777777" w:rsidR="00D56A43" w:rsidRPr="00696640" w:rsidRDefault="00D56A43" w:rsidP="00C00252">
      <w:pPr>
        <w:spacing w:after="0" w:line="240" w:lineRule="auto"/>
        <w:jc w:val="both"/>
        <w:rPr>
          <w:rFonts w:ascii="Noto Sans" w:hAnsi="Noto Sans" w:cs="Noto Sans"/>
          <w:b/>
          <w:bCs/>
          <w:sz w:val="22"/>
          <w:szCs w:val="22"/>
        </w:rPr>
      </w:pPr>
    </w:p>
    <w:p w14:paraId="34220580" w14:textId="77777777" w:rsidR="008B6F81" w:rsidRPr="00696640" w:rsidRDefault="008B6F81" w:rsidP="00C00252">
      <w:pPr>
        <w:spacing w:after="0" w:line="240" w:lineRule="auto"/>
        <w:jc w:val="both"/>
        <w:rPr>
          <w:rFonts w:ascii="Noto Sans" w:hAnsi="Noto Sans" w:cs="Noto Sans"/>
          <w:b/>
          <w:bCs/>
          <w:sz w:val="22"/>
          <w:szCs w:val="22"/>
        </w:rPr>
      </w:pPr>
    </w:p>
    <w:p w14:paraId="21CCA60D" w14:textId="70D6E00F" w:rsidR="00C00252" w:rsidRPr="00696640" w:rsidRDefault="00C00252" w:rsidP="00C00252">
      <w:pPr>
        <w:pStyle w:val="Prrafodelista"/>
        <w:numPr>
          <w:ilvl w:val="0"/>
          <w:numId w:val="12"/>
        </w:numPr>
        <w:spacing w:after="0" w:line="240" w:lineRule="auto"/>
        <w:jc w:val="both"/>
        <w:rPr>
          <w:rFonts w:ascii="Noto Sans" w:eastAsia="Aptos" w:hAnsi="Noto Sans" w:cs="Noto Sans"/>
          <w:b/>
          <w:bCs/>
          <w:i/>
          <w:iCs/>
          <w:color w:val="000000" w:themeColor="text1"/>
          <w:sz w:val="22"/>
          <w:szCs w:val="22"/>
        </w:rPr>
      </w:pPr>
      <w:r w:rsidRPr="00696640">
        <w:rPr>
          <w:rFonts w:ascii="Noto Sans" w:eastAsia="Aptos" w:hAnsi="Noto Sans" w:cs="Noto Sans"/>
          <w:b/>
          <w:bCs/>
          <w:i/>
          <w:iCs/>
          <w:color w:val="000000" w:themeColor="text1"/>
          <w:sz w:val="22"/>
          <w:szCs w:val="22"/>
        </w:rPr>
        <w:t>Autonomía y participación</w:t>
      </w:r>
    </w:p>
    <w:p w14:paraId="12F7F3B6" w14:textId="77777777" w:rsidR="00C00252" w:rsidRPr="00696640" w:rsidRDefault="00C00252" w:rsidP="00C00252">
      <w:pPr>
        <w:pStyle w:val="Prrafodelista"/>
        <w:spacing w:after="0" w:line="240" w:lineRule="auto"/>
        <w:ind w:left="360"/>
        <w:jc w:val="both"/>
        <w:rPr>
          <w:rFonts w:ascii="Noto Sans" w:eastAsia="Aptos" w:hAnsi="Noto Sans" w:cs="Noto Sans"/>
          <w:b/>
          <w:bCs/>
          <w:i/>
          <w:iCs/>
          <w:color w:val="000000" w:themeColor="text1"/>
          <w:sz w:val="22"/>
          <w:szCs w:val="22"/>
        </w:rPr>
      </w:pPr>
    </w:p>
    <w:p w14:paraId="229E0887" w14:textId="6D6F308E" w:rsidR="006F69B8" w:rsidRPr="00696640" w:rsidRDefault="006F69B8" w:rsidP="00C00252">
      <w:pPr>
        <w:pStyle w:val="Prrafodelista"/>
        <w:numPr>
          <w:ilvl w:val="0"/>
          <w:numId w:val="11"/>
        </w:numPr>
        <w:spacing w:after="0" w:line="240" w:lineRule="auto"/>
        <w:jc w:val="both"/>
        <w:rPr>
          <w:rFonts w:ascii="Noto Sans" w:hAnsi="Noto Sans" w:cs="Noto Sans"/>
          <w:b/>
          <w:bCs/>
          <w:sz w:val="22"/>
          <w:szCs w:val="22"/>
        </w:rPr>
      </w:pPr>
      <w:r w:rsidRPr="00696640">
        <w:rPr>
          <w:rFonts w:ascii="Noto Sans" w:hAnsi="Noto Sans" w:cs="Noto Sans"/>
          <w:b/>
          <w:bCs/>
          <w:sz w:val="22"/>
          <w:szCs w:val="22"/>
        </w:rPr>
        <w:t>¿</w:t>
      </w:r>
      <w:r w:rsidR="726B779A" w:rsidRPr="00696640">
        <w:rPr>
          <w:rFonts w:ascii="Noto Sans" w:hAnsi="Noto Sans" w:cs="Noto Sans"/>
          <w:b/>
          <w:bCs/>
          <w:sz w:val="22"/>
          <w:szCs w:val="22"/>
        </w:rPr>
        <w:t>En qué situaciones los cuidados, la protección o las prácticas profesionales</w:t>
      </w:r>
      <w:r w:rsidR="6C961184" w:rsidRPr="00696640">
        <w:rPr>
          <w:rFonts w:ascii="Noto Sans" w:hAnsi="Noto Sans" w:cs="Noto Sans"/>
          <w:b/>
          <w:bCs/>
          <w:sz w:val="22"/>
          <w:szCs w:val="22"/>
        </w:rPr>
        <w:t xml:space="preserve"> asumen involuntariamente las decisiones o silencian la participación de las persona</w:t>
      </w:r>
      <w:r w:rsidR="4DF05870" w:rsidRPr="00696640">
        <w:rPr>
          <w:rFonts w:ascii="Noto Sans" w:hAnsi="Noto Sans" w:cs="Noto Sans"/>
          <w:b/>
          <w:bCs/>
          <w:sz w:val="22"/>
          <w:szCs w:val="22"/>
        </w:rPr>
        <w:t>s</w:t>
      </w:r>
      <w:r w:rsidR="6C961184" w:rsidRPr="00696640">
        <w:rPr>
          <w:rFonts w:ascii="Noto Sans" w:hAnsi="Noto Sans" w:cs="Noto Sans"/>
          <w:b/>
          <w:bCs/>
          <w:sz w:val="22"/>
          <w:szCs w:val="22"/>
        </w:rPr>
        <w:t xml:space="preserve"> mayor</w:t>
      </w:r>
      <w:r w:rsidR="4333DC8C" w:rsidRPr="00696640">
        <w:rPr>
          <w:rFonts w:ascii="Noto Sans" w:hAnsi="Noto Sans" w:cs="Noto Sans"/>
          <w:b/>
          <w:bCs/>
          <w:sz w:val="22"/>
          <w:szCs w:val="22"/>
        </w:rPr>
        <w:t>es con deterioro cognitivo</w:t>
      </w:r>
      <w:r w:rsidRPr="00696640">
        <w:rPr>
          <w:rFonts w:ascii="Noto Sans" w:hAnsi="Noto Sans" w:cs="Noto Sans"/>
          <w:b/>
          <w:bCs/>
          <w:sz w:val="22"/>
          <w:szCs w:val="22"/>
        </w:rPr>
        <w:t>?</w:t>
      </w:r>
    </w:p>
    <w:p w14:paraId="01548C09"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6E62735C" w14:textId="2ECC7E12" w:rsidR="1C7B8D81" w:rsidRPr="00696640" w:rsidRDefault="17D0CEBE"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 xml:space="preserve">En México se </w:t>
      </w:r>
      <w:r w:rsidR="003D1609">
        <w:rPr>
          <w:rFonts w:ascii="Noto Sans" w:eastAsia="Aptos" w:hAnsi="Noto Sans" w:cs="Noto Sans"/>
          <w:color w:val="000000" w:themeColor="text1"/>
          <w:sz w:val="22"/>
          <w:szCs w:val="22"/>
        </w:rPr>
        <w:t>advierte que persisten</w:t>
      </w:r>
      <w:r w:rsidR="003D1609" w:rsidRPr="00696640">
        <w:rPr>
          <w:rFonts w:ascii="Noto Sans" w:eastAsia="Aptos" w:hAnsi="Noto Sans" w:cs="Noto Sans"/>
          <w:color w:val="000000" w:themeColor="text1"/>
          <w:sz w:val="22"/>
          <w:szCs w:val="22"/>
        </w:rPr>
        <w:t xml:space="preserve"> </w:t>
      </w:r>
      <w:r w:rsidRPr="00696640">
        <w:rPr>
          <w:rFonts w:ascii="Noto Sans" w:eastAsia="Aptos" w:hAnsi="Noto Sans" w:cs="Noto Sans"/>
          <w:color w:val="000000" w:themeColor="text1"/>
          <w:sz w:val="22"/>
          <w:szCs w:val="22"/>
        </w:rPr>
        <w:t xml:space="preserve">estereotipos negativos que asocian el envejecimiento con el declive, la falta de productividad y la pérdida de capacidad física y mental. Estas percepciones pueden fomentar un trato paternalista que tiende a la infantilización de la persona mayor, </w:t>
      </w:r>
      <w:r w:rsidR="003D1609">
        <w:rPr>
          <w:rFonts w:ascii="Noto Sans" w:eastAsia="Aptos" w:hAnsi="Noto Sans" w:cs="Noto Sans"/>
          <w:color w:val="000000" w:themeColor="text1"/>
          <w:sz w:val="22"/>
          <w:szCs w:val="22"/>
        </w:rPr>
        <w:t xml:space="preserve">que puede tener como consecuencia la </w:t>
      </w:r>
      <w:proofErr w:type="spellStart"/>
      <w:r w:rsidRPr="00696640">
        <w:rPr>
          <w:rFonts w:ascii="Noto Sans" w:eastAsia="Aptos" w:hAnsi="Noto Sans" w:cs="Noto Sans"/>
          <w:color w:val="000000" w:themeColor="text1"/>
          <w:sz w:val="22"/>
          <w:szCs w:val="22"/>
        </w:rPr>
        <w:t>invisibiliza</w:t>
      </w:r>
      <w:r w:rsidR="003D1609">
        <w:rPr>
          <w:rFonts w:ascii="Noto Sans" w:eastAsia="Aptos" w:hAnsi="Noto Sans" w:cs="Noto Sans"/>
          <w:color w:val="000000" w:themeColor="text1"/>
          <w:sz w:val="22"/>
          <w:szCs w:val="22"/>
        </w:rPr>
        <w:t>ción</w:t>
      </w:r>
      <w:proofErr w:type="spellEnd"/>
      <w:r w:rsidR="00C92E3A">
        <w:rPr>
          <w:rFonts w:ascii="Noto Sans" w:eastAsia="Aptos" w:hAnsi="Noto Sans" w:cs="Noto Sans"/>
          <w:color w:val="000000" w:themeColor="text1"/>
          <w:sz w:val="22"/>
          <w:szCs w:val="22"/>
        </w:rPr>
        <w:t xml:space="preserve"> </w:t>
      </w:r>
      <w:r w:rsidR="003D1609">
        <w:rPr>
          <w:rFonts w:ascii="Noto Sans" w:eastAsia="Aptos" w:hAnsi="Noto Sans" w:cs="Noto Sans"/>
          <w:color w:val="000000" w:themeColor="text1"/>
          <w:sz w:val="22"/>
          <w:szCs w:val="22"/>
        </w:rPr>
        <w:t xml:space="preserve">de </w:t>
      </w:r>
      <w:r w:rsidRPr="00696640">
        <w:rPr>
          <w:rFonts w:ascii="Noto Sans" w:eastAsia="Aptos" w:hAnsi="Noto Sans" w:cs="Noto Sans"/>
          <w:color w:val="000000" w:themeColor="text1"/>
          <w:sz w:val="22"/>
          <w:szCs w:val="22"/>
        </w:rPr>
        <w:t xml:space="preserve">sus derechos y el ejercicio de su voluntad. Esta sobreprotección, aunque frecuentemente motivada por una intención de cuidado o protección, </w:t>
      </w:r>
      <w:r w:rsidR="003D1609">
        <w:rPr>
          <w:rFonts w:ascii="Noto Sans" w:eastAsia="Aptos" w:hAnsi="Noto Sans" w:cs="Noto Sans"/>
          <w:color w:val="000000" w:themeColor="text1"/>
          <w:sz w:val="22"/>
          <w:szCs w:val="22"/>
        </w:rPr>
        <w:t>puede conducir a la restricción,</w:t>
      </w:r>
      <w:r w:rsidRPr="00696640">
        <w:rPr>
          <w:rFonts w:ascii="Noto Sans" w:eastAsia="Aptos" w:hAnsi="Noto Sans" w:cs="Noto Sans"/>
          <w:color w:val="000000" w:themeColor="text1"/>
          <w:sz w:val="22"/>
          <w:szCs w:val="22"/>
        </w:rPr>
        <w:t xml:space="preserve"> de manera involuntaria</w:t>
      </w:r>
      <w:r w:rsidR="003D1609">
        <w:rPr>
          <w:rFonts w:ascii="Noto Sans" w:eastAsia="Aptos" w:hAnsi="Noto Sans" w:cs="Noto Sans"/>
          <w:color w:val="000000" w:themeColor="text1"/>
          <w:sz w:val="22"/>
          <w:szCs w:val="22"/>
        </w:rPr>
        <w:t>,</w:t>
      </w:r>
      <w:r w:rsidRPr="00696640">
        <w:rPr>
          <w:rFonts w:ascii="Noto Sans" w:eastAsia="Aptos" w:hAnsi="Noto Sans" w:cs="Noto Sans"/>
          <w:color w:val="000000" w:themeColor="text1"/>
          <w:sz w:val="22"/>
          <w:szCs w:val="22"/>
        </w:rPr>
        <w:t xml:space="preserve"> </w:t>
      </w:r>
      <w:r w:rsidR="003D1609">
        <w:rPr>
          <w:rFonts w:ascii="Noto Sans" w:eastAsia="Aptos" w:hAnsi="Noto Sans" w:cs="Noto Sans"/>
          <w:color w:val="000000" w:themeColor="text1"/>
          <w:sz w:val="22"/>
          <w:szCs w:val="22"/>
        </w:rPr>
        <w:t xml:space="preserve">de </w:t>
      </w:r>
      <w:r w:rsidRPr="00696640">
        <w:rPr>
          <w:rFonts w:ascii="Noto Sans" w:eastAsia="Aptos" w:hAnsi="Noto Sans" w:cs="Noto Sans"/>
          <w:color w:val="000000" w:themeColor="text1"/>
          <w:sz w:val="22"/>
          <w:szCs w:val="22"/>
        </w:rPr>
        <w:t xml:space="preserve">la autodeterminación y la </w:t>
      </w:r>
      <w:proofErr w:type="gramStart"/>
      <w:r w:rsidRPr="00696640">
        <w:rPr>
          <w:rFonts w:ascii="Noto Sans" w:eastAsia="Aptos" w:hAnsi="Noto Sans" w:cs="Noto Sans"/>
          <w:color w:val="000000" w:themeColor="text1"/>
          <w:sz w:val="22"/>
          <w:szCs w:val="22"/>
        </w:rPr>
        <w:t>participación activa</w:t>
      </w:r>
      <w:proofErr w:type="gramEnd"/>
      <w:r w:rsidRPr="00696640">
        <w:rPr>
          <w:rFonts w:ascii="Noto Sans" w:eastAsia="Aptos" w:hAnsi="Noto Sans" w:cs="Noto Sans"/>
          <w:color w:val="000000" w:themeColor="text1"/>
          <w:sz w:val="22"/>
          <w:szCs w:val="22"/>
        </w:rPr>
        <w:t xml:space="preserve"> de las personas en la toma de decisiones sobre su vida</w:t>
      </w:r>
      <w:r w:rsidR="1C7B8D81" w:rsidRPr="00696640">
        <w:rPr>
          <w:rStyle w:val="Refdenotaalpie"/>
          <w:rFonts w:ascii="Noto Sans" w:eastAsia="Aptos" w:hAnsi="Noto Sans" w:cs="Noto Sans"/>
          <w:color w:val="000000" w:themeColor="text1"/>
          <w:sz w:val="22"/>
          <w:szCs w:val="22"/>
        </w:rPr>
        <w:footnoteReference w:id="1"/>
      </w:r>
      <w:r w:rsidRPr="00696640">
        <w:rPr>
          <w:rFonts w:ascii="Noto Sans" w:eastAsia="Aptos" w:hAnsi="Noto Sans" w:cs="Noto Sans"/>
          <w:color w:val="000000" w:themeColor="text1"/>
          <w:sz w:val="22"/>
          <w:szCs w:val="22"/>
        </w:rPr>
        <w:t>.</w:t>
      </w:r>
    </w:p>
    <w:p w14:paraId="6CFA20F9"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7C2B0F34" w14:textId="1A2D379A" w:rsidR="1C7B8D81" w:rsidRPr="00696640" w:rsidRDefault="17D0CEBE"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 xml:space="preserve">Asimismo, </w:t>
      </w:r>
      <w:r w:rsidR="003D1609">
        <w:rPr>
          <w:rFonts w:ascii="Noto Sans" w:eastAsia="Aptos" w:hAnsi="Noto Sans" w:cs="Noto Sans"/>
          <w:color w:val="000000" w:themeColor="text1"/>
          <w:sz w:val="22"/>
          <w:szCs w:val="22"/>
        </w:rPr>
        <w:t xml:space="preserve">se </w:t>
      </w:r>
      <w:r w:rsidR="00A7327E">
        <w:rPr>
          <w:rFonts w:ascii="Noto Sans" w:eastAsia="Aptos" w:hAnsi="Noto Sans" w:cs="Noto Sans"/>
          <w:color w:val="000000" w:themeColor="text1"/>
          <w:sz w:val="22"/>
          <w:szCs w:val="22"/>
        </w:rPr>
        <w:t>identifica</w:t>
      </w:r>
      <w:r w:rsidR="003D1609">
        <w:rPr>
          <w:rFonts w:ascii="Noto Sans" w:eastAsia="Aptos" w:hAnsi="Noto Sans" w:cs="Noto Sans"/>
          <w:color w:val="000000" w:themeColor="text1"/>
          <w:sz w:val="22"/>
          <w:szCs w:val="22"/>
        </w:rPr>
        <w:t xml:space="preserve"> la persistencia de</w:t>
      </w:r>
      <w:r w:rsidRPr="00696640">
        <w:rPr>
          <w:rFonts w:ascii="Noto Sans" w:eastAsia="Aptos" w:hAnsi="Noto Sans" w:cs="Noto Sans"/>
          <w:color w:val="000000" w:themeColor="text1"/>
          <w:sz w:val="22"/>
          <w:szCs w:val="22"/>
        </w:rPr>
        <w:t xml:space="preserve"> prácticas de edadismo en los servicios de salud, lo que compromete la calidad de la atención</w:t>
      </w:r>
      <w:r w:rsidR="00AD5AA0">
        <w:rPr>
          <w:rFonts w:ascii="Noto Sans" w:eastAsia="Aptos" w:hAnsi="Noto Sans" w:cs="Noto Sans"/>
          <w:color w:val="000000" w:themeColor="text1"/>
          <w:sz w:val="22"/>
          <w:szCs w:val="22"/>
        </w:rPr>
        <w:t xml:space="preserve"> mediante</w:t>
      </w:r>
      <w:r w:rsidRPr="00696640">
        <w:rPr>
          <w:rFonts w:ascii="Noto Sans" w:eastAsia="Aptos" w:hAnsi="Noto Sans" w:cs="Noto Sans"/>
          <w:color w:val="000000" w:themeColor="text1"/>
          <w:sz w:val="22"/>
          <w:szCs w:val="22"/>
        </w:rPr>
        <w:t xml:space="preserve"> actitudes del personal que subestiman la capacidad de las personas mayores para tomar decisiones,</w:t>
      </w:r>
      <w:r w:rsidR="00AD5AA0">
        <w:rPr>
          <w:rFonts w:ascii="Noto Sans" w:eastAsia="Aptos" w:hAnsi="Noto Sans" w:cs="Noto Sans"/>
          <w:color w:val="000000" w:themeColor="text1"/>
          <w:sz w:val="22"/>
          <w:szCs w:val="22"/>
        </w:rPr>
        <w:t xml:space="preserve"> incluyendo</w:t>
      </w:r>
      <w:r w:rsidRPr="00696640">
        <w:rPr>
          <w:rFonts w:ascii="Noto Sans" w:eastAsia="Aptos" w:hAnsi="Noto Sans" w:cs="Noto Sans"/>
          <w:color w:val="000000" w:themeColor="text1"/>
          <w:sz w:val="22"/>
          <w:szCs w:val="22"/>
        </w:rPr>
        <w:t xml:space="preserve"> la tendencia a dirigir la comunicación al familiar o cuidador en lugar de a la persona atendida, o la normalización del deterioro funcional como algo "esperable" de la edad y, por tanto, no objeto de intervención. Este tipo de prácticas, aunque no intencionadas, pueden derivar en una atención que no reconoce la singularidad ni la </w:t>
      </w:r>
      <w:r w:rsidR="00A7327E">
        <w:rPr>
          <w:rFonts w:ascii="Noto Sans" w:eastAsia="Aptos" w:hAnsi="Noto Sans" w:cs="Noto Sans"/>
          <w:color w:val="000000" w:themeColor="text1"/>
          <w:sz w:val="22"/>
          <w:szCs w:val="22"/>
        </w:rPr>
        <w:t>autonomía</w:t>
      </w:r>
      <w:r w:rsidRPr="00696640">
        <w:rPr>
          <w:rFonts w:ascii="Noto Sans" w:eastAsia="Aptos" w:hAnsi="Noto Sans" w:cs="Noto Sans"/>
          <w:color w:val="000000" w:themeColor="text1"/>
          <w:sz w:val="22"/>
          <w:szCs w:val="22"/>
        </w:rPr>
        <w:t xml:space="preserve"> de la persona.</w:t>
      </w:r>
    </w:p>
    <w:p w14:paraId="0AF4DBBD" w14:textId="77777777" w:rsidR="00C00252" w:rsidRPr="00696640" w:rsidRDefault="00C00252" w:rsidP="00C00252">
      <w:pPr>
        <w:spacing w:after="0" w:line="240" w:lineRule="auto"/>
        <w:jc w:val="both"/>
        <w:rPr>
          <w:rFonts w:ascii="Noto Sans" w:eastAsia="Aptos" w:hAnsi="Noto Sans" w:cs="Noto Sans"/>
          <w:sz w:val="22"/>
          <w:szCs w:val="22"/>
        </w:rPr>
      </w:pPr>
    </w:p>
    <w:p w14:paraId="3C7C12F6" w14:textId="73FC6470" w:rsidR="1C7B8D81" w:rsidRPr="00696640" w:rsidRDefault="17D0CEBE" w:rsidP="00C00252">
      <w:pPr>
        <w:spacing w:after="0" w:line="240" w:lineRule="auto"/>
        <w:jc w:val="both"/>
        <w:rPr>
          <w:rFonts w:ascii="Noto Sans" w:eastAsia="Aptos" w:hAnsi="Noto Sans" w:cs="Noto Sans"/>
          <w:sz w:val="22"/>
          <w:szCs w:val="22"/>
        </w:rPr>
      </w:pPr>
      <w:r w:rsidRPr="00696640">
        <w:rPr>
          <w:rFonts w:ascii="Noto Sans" w:eastAsia="Aptos" w:hAnsi="Noto Sans" w:cs="Noto Sans"/>
          <w:color w:val="000000" w:themeColor="text1"/>
          <w:sz w:val="22"/>
          <w:szCs w:val="22"/>
        </w:rPr>
        <w:t xml:space="preserve">La sobre medicalización y la polifarmacia </w:t>
      </w:r>
      <w:r w:rsidR="00A558F3">
        <w:rPr>
          <w:rFonts w:ascii="Noto Sans" w:eastAsia="Aptos" w:hAnsi="Noto Sans" w:cs="Noto Sans"/>
          <w:color w:val="000000" w:themeColor="text1"/>
          <w:sz w:val="22"/>
          <w:szCs w:val="22"/>
        </w:rPr>
        <w:t>a menudo se presentan</w:t>
      </w:r>
      <w:r w:rsidRPr="00696640">
        <w:rPr>
          <w:rFonts w:ascii="Noto Sans" w:eastAsia="Aptos" w:hAnsi="Noto Sans" w:cs="Noto Sans"/>
          <w:color w:val="000000" w:themeColor="text1"/>
          <w:sz w:val="22"/>
          <w:szCs w:val="22"/>
        </w:rPr>
        <w:t xml:space="preserve"> como síndromes geriátricos de alta prevalencia, </w:t>
      </w:r>
      <w:r w:rsidR="00A558F3">
        <w:rPr>
          <w:rFonts w:ascii="Noto Sans" w:eastAsia="Aptos" w:hAnsi="Noto Sans" w:cs="Noto Sans"/>
          <w:color w:val="000000" w:themeColor="text1"/>
          <w:sz w:val="22"/>
          <w:szCs w:val="22"/>
        </w:rPr>
        <w:t>lo que representa</w:t>
      </w:r>
      <w:r w:rsidR="00A558F3" w:rsidRPr="00696640">
        <w:rPr>
          <w:rFonts w:ascii="Noto Sans" w:eastAsia="Aptos" w:hAnsi="Noto Sans" w:cs="Noto Sans"/>
          <w:color w:val="000000" w:themeColor="text1"/>
          <w:sz w:val="22"/>
          <w:szCs w:val="22"/>
        </w:rPr>
        <w:t xml:space="preserve"> </w:t>
      </w:r>
      <w:r w:rsidRPr="00696640">
        <w:rPr>
          <w:rFonts w:ascii="Noto Sans" w:eastAsia="Aptos" w:hAnsi="Noto Sans" w:cs="Noto Sans"/>
          <w:color w:val="000000" w:themeColor="text1"/>
          <w:sz w:val="22"/>
          <w:szCs w:val="22"/>
        </w:rPr>
        <w:t>otro riesgo</w:t>
      </w:r>
      <w:r w:rsidR="00A558F3">
        <w:rPr>
          <w:rFonts w:ascii="Noto Sans" w:eastAsia="Aptos" w:hAnsi="Noto Sans" w:cs="Noto Sans"/>
          <w:color w:val="000000" w:themeColor="text1"/>
          <w:sz w:val="22"/>
          <w:szCs w:val="22"/>
        </w:rPr>
        <w:t xml:space="preserve"> adicional</w:t>
      </w:r>
      <w:r w:rsidRPr="00696640">
        <w:rPr>
          <w:rFonts w:ascii="Noto Sans" w:eastAsia="Aptos" w:hAnsi="Noto Sans" w:cs="Noto Sans"/>
          <w:color w:val="000000" w:themeColor="text1"/>
          <w:sz w:val="22"/>
          <w:szCs w:val="22"/>
        </w:rPr>
        <w:t xml:space="preserve">. Cuando el tratamiento </w:t>
      </w:r>
      <w:r w:rsidR="00A558F3">
        <w:rPr>
          <w:rFonts w:ascii="Noto Sans" w:eastAsia="Aptos" w:hAnsi="Noto Sans" w:cs="Noto Sans"/>
          <w:color w:val="000000" w:themeColor="text1"/>
          <w:sz w:val="22"/>
          <w:szCs w:val="22"/>
        </w:rPr>
        <w:t>llega a</w:t>
      </w:r>
      <w:r w:rsidR="00A558F3" w:rsidRPr="00696640">
        <w:rPr>
          <w:rFonts w:ascii="Noto Sans" w:eastAsia="Aptos" w:hAnsi="Noto Sans" w:cs="Noto Sans"/>
          <w:color w:val="000000" w:themeColor="text1"/>
          <w:sz w:val="22"/>
          <w:szCs w:val="22"/>
        </w:rPr>
        <w:t xml:space="preserve"> </w:t>
      </w:r>
      <w:r w:rsidR="00A558F3">
        <w:rPr>
          <w:rFonts w:ascii="Noto Sans" w:eastAsia="Aptos" w:hAnsi="Noto Sans" w:cs="Noto Sans"/>
          <w:color w:val="000000" w:themeColor="text1"/>
          <w:sz w:val="22"/>
          <w:szCs w:val="22"/>
        </w:rPr>
        <w:t>enfocarse</w:t>
      </w:r>
      <w:r w:rsidRPr="00696640">
        <w:rPr>
          <w:rFonts w:ascii="Noto Sans" w:eastAsia="Aptos" w:hAnsi="Noto Sans" w:cs="Noto Sans"/>
          <w:color w:val="000000" w:themeColor="text1"/>
          <w:sz w:val="22"/>
          <w:szCs w:val="22"/>
        </w:rPr>
        <w:t xml:space="preserve"> exclusivamente en el control de enfermedades crónicas sin considerar la funcionalidad y la calidad de vida como resultados centrales, se puede generar una carga terapéutica que limita la autonomía cotidiana de la persona mayor.</w:t>
      </w:r>
    </w:p>
    <w:p w14:paraId="44EF9581" w14:textId="308F9D53" w:rsidR="1C7B8D81" w:rsidRPr="00696640" w:rsidRDefault="1C7B8D81" w:rsidP="00C00252">
      <w:pPr>
        <w:spacing w:after="0" w:line="240" w:lineRule="auto"/>
        <w:jc w:val="both"/>
        <w:rPr>
          <w:rFonts w:ascii="Noto Sans" w:hAnsi="Noto Sans" w:cs="Noto Sans"/>
          <w:sz w:val="22"/>
          <w:szCs w:val="22"/>
        </w:rPr>
      </w:pPr>
    </w:p>
    <w:p w14:paraId="2903C21D" w14:textId="77777777" w:rsidR="008B6F81" w:rsidRPr="00696640" w:rsidRDefault="008B6F81" w:rsidP="00C00252">
      <w:pPr>
        <w:spacing w:after="0" w:line="240" w:lineRule="auto"/>
        <w:jc w:val="both"/>
        <w:rPr>
          <w:rFonts w:ascii="Noto Sans" w:hAnsi="Noto Sans" w:cs="Noto Sans"/>
          <w:sz w:val="22"/>
          <w:szCs w:val="22"/>
        </w:rPr>
      </w:pPr>
    </w:p>
    <w:p w14:paraId="0B5A6A9F" w14:textId="4FF35DA8" w:rsidR="00C00252" w:rsidRPr="00696640" w:rsidRDefault="00C00252" w:rsidP="00C00252">
      <w:pPr>
        <w:pStyle w:val="Prrafodelista"/>
        <w:numPr>
          <w:ilvl w:val="0"/>
          <w:numId w:val="12"/>
        </w:numPr>
        <w:spacing w:after="0" w:line="240" w:lineRule="auto"/>
        <w:jc w:val="both"/>
        <w:rPr>
          <w:rFonts w:ascii="Noto Sans" w:eastAsia="Aptos" w:hAnsi="Noto Sans" w:cs="Noto Sans"/>
          <w:b/>
          <w:bCs/>
          <w:i/>
          <w:iCs/>
          <w:color w:val="000000" w:themeColor="text1"/>
          <w:sz w:val="22"/>
          <w:szCs w:val="22"/>
        </w:rPr>
      </w:pPr>
      <w:r w:rsidRPr="00696640">
        <w:rPr>
          <w:rFonts w:ascii="Noto Sans" w:eastAsia="Aptos" w:hAnsi="Noto Sans" w:cs="Noto Sans"/>
          <w:b/>
          <w:bCs/>
          <w:i/>
          <w:iCs/>
          <w:color w:val="000000" w:themeColor="text1"/>
          <w:sz w:val="22"/>
          <w:szCs w:val="22"/>
        </w:rPr>
        <w:t>Personalidad, relaciones y pertenencia</w:t>
      </w:r>
    </w:p>
    <w:p w14:paraId="222C3F67" w14:textId="77777777" w:rsidR="00C00252" w:rsidRPr="00696640" w:rsidRDefault="00C00252" w:rsidP="00C00252">
      <w:pPr>
        <w:pStyle w:val="Prrafodelista"/>
        <w:spacing w:after="0" w:line="240" w:lineRule="auto"/>
        <w:ind w:left="360"/>
        <w:jc w:val="both"/>
        <w:rPr>
          <w:rFonts w:ascii="Noto Sans" w:eastAsia="Aptos" w:hAnsi="Noto Sans" w:cs="Noto Sans"/>
          <w:b/>
          <w:bCs/>
          <w:i/>
          <w:iCs/>
          <w:color w:val="000000" w:themeColor="text1"/>
          <w:sz w:val="22"/>
          <w:szCs w:val="22"/>
        </w:rPr>
      </w:pPr>
    </w:p>
    <w:p w14:paraId="2592DB7D" w14:textId="29121F1B" w:rsidR="00D56A43" w:rsidRPr="00696640" w:rsidRDefault="006F69B8" w:rsidP="00D56A43">
      <w:pPr>
        <w:pStyle w:val="Prrafodelista"/>
        <w:numPr>
          <w:ilvl w:val="0"/>
          <w:numId w:val="11"/>
        </w:numPr>
        <w:spacing w:after="0" w:line="240" w:lineRule="auto"/>
        <w:jc w:val="both"/>
        <w:rPr>
          <w:rFonts w:ascii="Noto Sans" w:hAnsi="Noto Sans" w:cs="Noto Sans"/>
          <w:b/>
          <w:bCs/>
          <w:sz w:val="22"/>
          <w:szCs w:val="22"/>
        </w:rPr>
      </w:pPr>
      <w:r w:rsidRPr="00696640">
        <w:rPr>
          <w:rFonts w:ascii="Noto Sans" w:hAnsi="Noto Sans" w:cs="Noto Sans"/>
          <w:b/>
          <w:bCs/>
          <w:sz w:val="22"/>
          <w:szCs w:val="22"/>
        </w:rPr>
        <w:t>¿</w:t>
      </w:r>
      <w:r w:rsidR="6AA157C6" w:rsidRPr="00696640">
        <w:rPr>
          <w:rFonts w:ascii="Noto Sans" w:hAnsi="Noto Sans" w:cs="Noto Sans"/>
          <w:b/>
          <w:bCs/>
          <w:sz w:val="22"/>
          <w:szCs w:val="22"/>
        </w:rPr>
        <w:t>Cómo afecta el deterioro cognitivo al papel, la identidad, las relaciones y el sentido de pertenencia de una persona mayor en la fam</w:t>
      </w:r>
      <w:r w:rsidR="65747D53" w:rsidRPr="00696640">
        <w:rPr>
          <w:rFonts w:ascii="Noto Sans" w:hAnsi="Noto Sans" w:cs="Noto Sans"/>
          <w:b/>
          <w:bCs/>
          <w:sz w:val="22"/>
          <w:szCs w:val="22"/>
        </w:rPr>
        <w:t>ilia, la comunidad y la vida social</w:t>
      </w:r>
      <w:r w:rsidRPr="00696640">
        <w:rPr>
          <w:rFonts w:ascii="Noto Sans" w:hAnsi="Noto Sans" w:cs="Noto Sans"/>
          <w:b/>
          <w:bCs/>
          <w:sz w:val="22"/>
          <w:szCs w:val="22"/>
        </w:rPr>
        <w:t>?</w:t>
      </w:r>
    </w:p>
    <w:p w14:paraId="549DA72E" w14:textId="77777777" w:rsidR="00D56A43" w:rsidRPr="00696640" w:rsidRDefault="00D56A43" w:rsidP="00D56A43">
      <w:pPr>
        <w:spacing w:after="0" w:line="240" w:lineRule="auto"/>
        <w:jc w:val="both"/>
        <w:rPr>
          <w:rFonts w:ascii="Noto Sans" w:hAnsi="Noto Sans" w:cs="Noto Sans"/>
          <w:b/>
          <w:bCs/>
          <w:sz w:val="22"/>
          <w:szCs w:val="22"/>
        </w:rPr>
      </w:pPr>
    </w:p>
    <w:p w14:paraId="180729F8" w14:textId="03AE6E1D" w:rsidR="00BD33D8" w:rsidRDefault="00BD33D8" w:rsidP="00D56A43">
      <w:pPr>
        <w:spacing w:after="0" w:line="240" w:lineRule="auto"/>
        <w:jc w:val="both"/>
        <w:rPr>
          <w:rFonts w:ascii="Noto Sans" w:hAnsi="Noto Sans" w:cs="Noto Sans"/>
          <w:sz w:val="22"/>
          <w:szCs w:val="22"/>
        </w:rPr>
      </w:pPr>
      <w:r w:rsidRPr="00BD33D8">
        <w:rPr>
          <w:rFonts w:ascii="Noto Sans" w:hAnsi="Noto Sans" w:cs="Noto Sans"/>
          <w:sz w:val="22"/>
          <w:szCs w:val="22"/>
        </w:rPr>
        <w:t xml:space="preserve">En términos legales, pueden presentarse situaciones excepcionales en las que una persona adulta mayor, como consecuencia de una enfermedad o de una condición de </w:t>
      </w:r>
      <w:r w:rsidRPr="00BD33D8">
        <w:rPr>
          <w:rFonts w:ascii="Noto Sans" w:hAnsi="Noto Sans" w:cs="Noto Sans"/>
          <w:sz w:val="22"/>
          <w:szCs w:val="22"/>
        </w:rPr>
        <w:lastRenderedPageBreak/>
        <w:t xml:space="preserve">discapacidad que afecte significativamente su aptitud para expresar o formar su voluntad, </w:t>
      </w:r>
      <w:r w:rsidR="00A558F3">
        <w:rPr>
          <w:rFonts w:ascii="Noto Sans" w:hAnsi="Noto Sans" w:cs="Noto Sans"/>
          <w:sz w:val="22"/>
          <w:szCs w:val="22"/>
        </w:rPr>
        <w:t>termine por requerir</w:t>
      </w:r>
      <w:r w:rsidR="00A558F3" w:rsidRPr="00BD33D8">
        <w:rPr>
          <w:rFonts w:ascii="Noto Sans" w:hAnsi="Noto Sans" w:cs="Noto Sans"/>
          <w:sz w:val="22"/>
          <w:szCs w:val="22"/>
        </w:rPr>
        <w:t xml:space="preserve"> </w:t>
      </w:r>
      <w:r w:rsidRPr="00BD33D8">
        <w:rPr>
          <w:rFonts w:ascii="Noto Sans" w:hAnsi="Noto Sans" w:cs="Noto Sans"/>
          <w:sz w:val="22"/>
          <w:szCs w:val="22"/>
        </w:rPr>
        <w:t xml:space="preserve">medidas de apoyo o, en los supuestos previstos por la legislación aplicable, mecanismos de representación para la protección de sus derechos e intereses. En estos casos, la ley </w:t>
      </w:r>
      <w:r w:rsidR="00A558F3">
        <w:rPr>
          <w:rFonts w:ascii="Noto Sans" w:hAnsi="Noto Sans" w:cs="Noto Sans"/>
          <w:sz w:val="22"/>
          <w:szCs w:val="22"/>
        </w:rPr>
        <w:t>contempla</w:t>
      </w:r>
      <w:r w:rsidRPr="00BD33D8">
        <w:rPr>
          <w:rFonts w:ascii="Noto Sans" w:hAnsi="Noto Sans" w:cs="Noto Sans"/>
          <w:sz w:val="22"/>
          <w:szCs w:val="22"/>
        </w:rPr>
        <w:t xml:space="preserve"> figuras como la tutela u otras instituciones de protección, </w:t>
      </w:r>
      <w:r w:rsidR="00A558F3">
        <w:rPr>
          <w:rFonts w:ascii="Noto Sans" w:hAnsi="Noto Sans" w:cs="Noto Sans"/>
          <w:sz w:val="22"/>
          <w:szCs w:val="22"/>
        </w:rPr>
        <w:t>que en caso de</w:t>
      </w:r>
      <w:r w:rsidR="00A558F3" w:rsidRPr="00BD33D8">
        <w:rPr>
          <w:rFonts w:ascii="Noto Sans" w:hAnsi="Noto Sans" w:cs="Noto Sans"/>
          <w:sz w:val="22"/>
          <w:szCs w:val="22"/>
        </w:rPr>
        <w:t xml:space="preserve"> </w:t>
      </w:r>
      <w:r w:rsidRPr="00BD33D8">
        <w:rPr>
          <w:rFonts w:ascii="Noto Sans" w:hAnsi="Noto Sans" w:cs="Noto Sans"/>
          <w:sz w:val="22"/>
          <w:szCs w:val="22"/>
        </w:rPr>
        <w:t>aplica</w:t>
      </w:r>
      <w:r w:rsidR="00A558F3">
        <w:rPr>
          <w:rFonts w:ascii="Noto Sans" w:hAnsi="Noto Sans" w:cs="Noto Sans"/>
          <w:sz w:val="22"/>
          <w:szCs w:val="22"/>
        </w:rPr>
        <w:t>rse</w:t>
      </w:r>
      <w:r w:rsidRPr="00BD33D8">
        <w:rPr>
          <w:rFonts w:ascii="Noto Sans" w:hAnsi="Noto Sans" w:cs="Noto Sans"/>
          <w:sz w:val="22"/>
          <w:szCs w:val="22"/>
        </w:rPr>
        <w:t xml:space="preserve"> debe</w:t>
      </w:r>
      <w:r w:rsidR="00A558F3">
        <w:rPr>
          <w:rFonts w:ascii="Noto Sans" w:hAnsi="Noto Sans" w:cs="Noto Sans"/>
          <w:sz w:val="22"/>
          <w:szCs w:val="22"/>
        </w:rPr>
        <w:t>n</w:t>
      </w:r>
      <w:r w:rsidRPr="00BD33D8">
        <w:rPr>
          <w:rFonts w:ascii="Noto Sans" w:hAnsi="Noto Sans" w:cs="Noto Sans"/>
          <w:sz w:val="22"/>
          <w:szCs w:val="22"/>
        </w:rPr>
        <w:t xml:space="preserve"> atender</w:t>
      </w:r>
      <w:r w:rsidR="00A558F3">
        <w:rPr>
          <w:rFonts w:ascii="Noto Sans" w:hAnsi="Noto Sans" w:cs="Noto Sans"/>
          <w:sz w:val="22"/>
          <w:szCs w:val="22"/>
        </w:rPr>
        <w:t>se</w:t>
      </w:r>
      <w:r w:rsidRPr="00BD33D8">
        <w:rPr>
          <w:rFonts w:ascii="Noto Sans" w:hAnsi="Noto Sans" w:cs="Noto Sans"/>
          <w:sz w:val="22"/>
          <w:szCs w:val="22"/>
        </w:rPr>
        <w:t xml:space="preserve"> las circunstancias particulares de cada caso y observar los principios de necesidad, proporcionalidad y respeto a la dignidad, voluntad y preferencias de la persona.</w:t>
      </w:r>
    </w:p>
    <w:p w14:paraId="08E1B870" w14:textId="77777777" w:rsidR="00BD33D8" w:rsidRPr="00696640" w:rsidRDefault="00BD33D8" w:rsidP="00D56A43">
      <w:pPr>
        <w:spacing w:after="0" w:line="240" w:lineRule="auto"/>
        <w:jc w:val="both"/>
        <w:rPr>
          <w:rFonts w:ascii="Noto Sans" w:hAnsi="Noto Sans" w:cs="Noto Sans"/>
          <w:sz w:val="22"/>
          <w:szCs w:val="22"/>
        </w:rPr>
      </w:pPr>
    </w:p>
    <w:p w14:paraId="3E2DD6B2" w14:textId="7039F40A" w:rsidR="1C7B8D81" w:rsidRPr="00696640" w:rsidRDefault="1C7B8D81" w:rsidP="00C00252">
      <w:pPr>
        <w:spacing w:after="0" w:line="240" w:lineRule="auto"/>
        <w:jc w:val="both"/>
        <w:rPr>
          <w:rFonts w:ascii="Noto Sans" w:hAnsi="Noto Sans" w:cs="Noto Sans"/>
          <w:sz w:val="22"/>
          <w:szCs w:val="22"/>
        </w:rPr>
      </w:pPr>
    </w:p>
    <w:p w14:paraId="51EE3A94" w14:textId="20A969F2" w:rsidR="006F69B8" w:rsidRPr="00696640" w:rsidRDefault="006F69B8" w:rsidP="00C00252">
      <w:pPr>
        <w:pStyle w:val="Prrafodelista"/>
        <w:numPr>
          <w:ilvl w:val="0"/>
          <w:numId w:val="11"/>
        </w:numPr>
        <w:spacing w:after="0" w:line="240" w:lineRule="auto"/>
        <w:jc w:val="both"/>
        <w:rPr>
          <w:rFonts w:ascii="Noto Sans" w:hAnsi="Noto Sans" w:cs="Noto Sans"/>
          <w:b/>
          <w:bCs/>
          <w:sz w:val="22"/>
          <w:szCs w:val="22"/>
        </w:rPr>
      </w:pPr>
      <w:r w:rsidRPr="00696640">
        <w:rPr>
          <w:rFonts w:ascii="Noto Sans" w:hAnsi="Noto Sans" w:cs="Noto Sans"/>
          <w:b/>
          <w:bCs/>
          <w:sz w:val="22"/>
          <w:szCs w:val="22"/>
        </w:rPr>
        <w:t>¿Q</w:t>
      </w:r>
      <w:r w:rsidR="15C9B5B7" w:rsidRPr="00696640">
        <w:rPr>
          <w:rFonts w:ascii="Noto Sans" w:hAnsi="Noto Sans" w:cs="Noto Sans"/>
          <w:b/>
          <w:bCs/>
          <w:sz w:val="22"/>
          <w:szCs w:val="22"/>
        </w:rPr>
        <w:t>ué estereotipos, miedos o actitudes sociales</w:t>
      </w:r>
      <w:r w:rsidR="3FF440C0" w:rsidRPr="00696640">
        <w:rPr>
          <w:rFonts w:ascii="Noto Sans" w:hAnsi="Noto Sans" w:cs="Noto Sans"/>
          <w:b/>
          <w:bCs/>
          <w:sz w:val="22"/>
          <w:szCs w:val="22"/>
        </w:rPr>
        <w:t xml:space="preserve"> conducen con mayor frecuencia a la pérdida de dignidad, la exclusión o la reducción de las expectativas</w:t>
      </w:r>
      <w:r w:rsidR="6A8E13A7" w:rsidRPr="00696640">
        <w:rPr>
          <w:rFonts w:ascii="Noto Sans" w:hAnsi="Noto Sans" w:cs="Noto Sans"/>
          <w:b/>
          <w:bCs/>
          <w:sz w:val="22"/>
          <w:szCs w:val="22"/>
        </w:rPr>
        <w:t xml:space="preserve"> para las personas mayores con deterioro cognitivo</w:t>
      </w:r>
      <w:r w:rsidRPr="00696640">
        <w:rPr>
          <w:rFonts w:ascii="Noto Sans" w:hAnsi="Noto Sans" w:cs="Noto Sans"/>
          <w:b/>
          <w:bCs/>
          <w:sz w:val="22"/>
          <w:szCs w:val="22"/>
        </w:rPr>
        <w:t>?</w:t>
      </w:r>
    </w:p>
    <w:p w14:paraId="6CC47BD9"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04362412" w14:textId="55C30FCC" w:rsidR="1C7B8D81" w:rsidRPr="000C27C7" w:rsidRDefault="007A7F55" w:rsidP="00C00252">
      <w:pPr>
        <w:spacing w:after="0" w:line="240" w:lineRule="auto"/>
        <w:jc w:val="both"/>
        <w:rPr>
          <w:rFonts w:ascii="Noto Sans" w:eastAsia="Aptos" w:hAnsi="Noto Sans" w:cs="Noto Sans"/>
          <w:color w:val="000000" w:themeColor="text1"/>
          <w:sz w:val="22"/>
          <w:szCs w:val="22"/>
        </w:rPr>
      </w:pPr>
      <w:r>
        <w:rPr>
          <w:rFonts w:ascii="Noto Sans" w:eastAsia="Aptos" w:hAnsi="Noto Sans" w:cs="Noto Sans"/>
          <w:color w:val="000000" w:themeColor="text1"/>
          <w:sz w:val="22"/>
          <w:szCs w:val="22"/>
        </w:rPr>
        <w:t>Se percibe que e</w:t>
      </w:r>
      <w:r w:rsidR="5DF8C5B4" w:rsidRPr="00696640">
        <w:rPr>
          <w:rFonts w:ascii="Noto Sans" w:eastAsia="Aptos" w:hAnsi="Noto Sans" w:cs="Noto Sans"/>
          <w:color w:val="000000" w:themeColor="text1"/>
          <w:sz w:val="22"/>
          <w:szCs w:val="22"/>
        </w:rPr>
        <w:t>l edadismo, los estereotipos negativos y diversas prácticas discriminatorias continúan presentes</w:t>
      </w:r>
      <w:r>
        <w:rPr>
          <w:rFonts w:ascii="Noto Sans" w:eastAsia="Aptos" w:hAnsi="Noto Sans" w:cs="Noto Sans"/>
          <w:color w:val="000000" w:themeColor="text1"/>
          <w:sz w:val="22"/>
          <w:szCs w:val="22"/>
        </w:rPr>
        <w:t>,</w:t>
      </w:r>
      <w:r w:rsidR="5DF8C5B4" w:rsidRPr="00696640">
        <w:rPr>
          <w:rFonts w:ascii="Noto Sans" w:eastAsia="Aptos" w:hAnsi="Noto Sans" w:cs="Noto Sans"/>
          <w:color w:val="000000" w:themeColor="text1"/>
          <w:sz w:val="22"/>
          <w:szCs w:val="22"/>
        </w:rPr>
        <w:t xml:space="preserve"> tanto en el ámbito social como institucional, </w:t>
      </w:r>
      <w:r w:rsidR="00A41D27">
        <w:rPr>
          <w:rFonts w:ascii="Noto Sans" w:eastAsia="Aptos" w:hAnsi="Noto Sans" w:cs="Noto Sans"/>
          <w:color w:val="000000" w:themeColor="text1"/>
          <w:sz w:val="22"/>
          <w:szCs w:val="22"/>
        </w:rPr>
        <w:t>lo que puede limitar</w:t>
      </w:r>
      <w:r w:rsidR="00A41D27" w:rsidRPr="00696640">
        <w:rPr>
          <w:rFonts w:ascii="Noto Sans" w:eastAsia="Aptos" w:hAnsi="Noto Sans" w:cs="Noto Sans"/>
          <w:color w:val="000000" w:themeColor="text1"/>
          <w:sz w:val="22"/>
          <w:szCs w:val="22"/>
        </w:rPr>
        <w:t xml:space="preserve"> </w:t>
      </w:r>
      <w:r w:rsidR="5DF8C5B4" w:rsidRPr="00696640">
        <w:rPr>
          <w:rFonts w:ascii="Noto Sans" w:eastAsia="Aptos" w:hAnsi="Noto Sans" w:cs="Noto Sans"/>
          <w:color w:val="000000" w:themeColor="text1"/>
          <w:sz w:val="22"/>
          <w:szCs w:val="22"/>
        </w:rPr>
        <w:t xml:space="preserve">el reconocimiento de sus capacidades, su autonomía y el ejercicio pleno de sus derechos. Esta situación resulta especialmente crítica para las personas mayores con discapacidad o en situación de dependencia, quienes </w:t>
      </w:r>
      <w:r w:rsidR="00A41D27">
        <w:rPr>
          <w:rFonts w:ascii="Noto Sans" w:eastAsia="Aptos" w:hAnsi="Noto Sans" w:cs="Noto Sans"/>
          <w:color w:val="000000" w:themeColor="text1"/>
          <w:sz w:val="22"/>
          <w:szCs w:val="22"/>
        </w:rPr>
        <w:t xml:space="preserve">en consecuencia llegarían a </w:t>
      </w:r>
      <w:r w:rsidR="5DF8C5B4" w:rsidRPr="00696640">
        <w:rPr>
          <w:rFonts w:ascii="Noto Sans" w:eastAsia="Aptos" w:hAnsi="Noto Sans" w:cs="Noto Sans"/>
          <w:color w:val="000000" w:themeColor="text1"/>
          <w:sz w:val="22"/>
          <w:szCs w:val="22"/>
        </w:rPr>
        <w:t xml:space="preserve">enfrentan </w:t>
      </w:r>
      <w:r w:rsidR="5DF8C5B4" w:rsidRPr="000C27C7">
        <w:rPr>
          <w:rFonts w:ascii="Noto Sans" w:eastAsia="Aptos" w:hAnsi="Noto Sans" w:cs="Noto Sans"/>
          <w:color w:val="000000" w:themeColor="text1"/>
          <w:sz w:val="22"/>
          <w:szCs w:val="22"/>
        </w:rPr>
        <w:t>barreras adicionales para acceder a apoyos, cuidados y servicios adecuados.</w:t>
      </w:r>
    </w:p>
    <w:p w14:paraId="556A4A46" w14:textId="77777777" w:rsidR="00C00252" w:rsidRPr="000C27C7" w:rsidRDefault="00C00252" w:rsidP="00C00252">
      <w:pPr>
        <w:spacing w:after="0" w:line="240" w:lineRule="auto"/>
        <w:jc w:val="both"/>
        <w:rPr>
          <w:rFonts w:ascii="Noto Sans" w:eastAsia="Aptos" w:hAnsi="Noto Sans" w:cs="Noto Sans"/>
          <w:color w:val="000000" w:themeColor="text1"/>
          <w:sz w:val="22"/>
          <w:szCs w:val="22"/>
        </w:rPr>
      </w:pPr>
    </w:p>
    <w:p w14:paraId="4AEEAB29" w14:textId="22E91C92" w:rsidR="1C7B8D81" w:rsidRPr="00696640" w:rsidRDefault="5DF8C5B4" w:rsidP="00C00252">
      <w:pPr>
        <w:spacing w:after="0" w:line="240" w:lineRule="auto"/>
        <w:jc w:val="both"/>
        <w:rPr>
          <w:rFonts w:ascii="Noto Sans" w:eastAsia="Aptos" w:hAnsi="Noto Sans" w:cs="Noto Sans"/>
          <w:color w:val="000000" w:themeColor="text1"/>
          <w:sz w:val="22"/>
          <w:szCs w:val="22"/>
        </w:rPr>
      </w:pPr>
      <w:r w:rsidRPr="000C27C7">
        <w:rPr>
          <w:rFonts w:ascii="Noto Sans" w:eastAsia="Aptos" w:hAnsi="Noto Sans" w:cs="Noto Sans"/>
          <w:color w:val="000000" w:themeColor="text1"/>
          <w:sz w:val="22"/>
          <w:szCs w:val="22"/>
        </w:rPr>
        <w:t xml:space="preserve">La discriminación por motivos de edad actúa </w:t>
      </w:r>
      <w:r w:rsidR="00A41D27">
        <w:rPr>
          <w:rFonts w:ascii="Noto Sans" w:eastAsia="Aptos" w:hAnsi="Noto Sans" w:cs="Noto Sans"/>
          <w:color w:val="000000" w:themeColor="text1"/>
          <w:sz w:val="22"/>
          <w:szCs w:val="22"/>
        </w:rPr>
        <w:t>puede derivar en barreras</w:t>
      </w:r>
      <w:r w:rsidRPr="000C27C7">
        <w:rPr>
          <w:rFonts w:ascii="Noto Sans" w:eastAsia="Aptos" w:hAnsi="Noto Sans" w:cs="Noto Sans"/>
          <w:color w:val="000000" w:themeColor="text1"/>
          <w:sz w:val="22"/>
          <w:szCs w:val="22"/>
        </w:rPr>
        <w:t xml:space="preserve"> para la participación.</w:t>
      </w:r>
      <w:r w:rsidR="627A6585" w:rsidRPr="000C27C7">
        <w:rPr>
          <w:rFonts w:ascii="Noto Sans" w:eastAsia="Aptos" w:hAnsi="Noto Sans" w:cs="Noto Sans"/>
          <w:color w:val="000000" w:themeColor="text1"/>
          <w:sz w:val="22"/>
          <w:szCs w:val="22"/>
        </w:rPr>
        <w:t xml:space="preserve"> </w:t>
      </w:r>
      <w:r w:rsidR="00A5427C">
        <w:rPr>
          <w:rFonts w:ascii="Noto Sans" w:eastAsia="Aptos" w:hAnsi="Noto Sans" w:cs="Noto Sans"/>
          <w:color w:val="000000" w:themeColor="text1"/>
          <w:sz w:val="22"/>
          <w:szCs w:val="22"/>
        </w:rPr>
        <w:t>Como consecuencia</w:t>
      </w:r>
      <w:r w:rsidR="00A41D27">
        <w:rPr>
          <w:rFonts w:ascii="Noto Sans" w:eastAsia="Aptos" w:hAnsi="Noto Sans" w:cs="Noto Sans"/>
          <w:color w:val="000000" w:themeColor="text1"/>
          <w:sz w:val="22"/>
          <w:szCs w:val="22"/>
        </w:rPr>
        <w:t xml:space="preserve">, se </w:t>
      </w:r>
      <w:r w:rsidR="00A5427C">
        <w:rPr>
          <w:rFonts w:ascii="Noto Sans" w:eastAsia="Aptos" w:hAnsi="Noto Sans" w:cs="Noto Sans"/>
          <w:color w:val="000000" w:themeColor="text1"/>
          <w:sz w:val="22"/>
          <w:szCs w:val="22"/>
        </w:rPr>
        <w:t>generan</w:t>
      </w:r>
      <w:r w:rsidR="627A6585" w:rsidRPr="000C27C7">
        <w:rPr>
          <w:rFonts w:ascii="Noto Sans" w:eastAsia="Aptos" w:hAnsi="Noto Sans" w:cs="Noto Sans"/>
          <w:color w:val="000000" w:themeColor="text1"/>
          <w:sz w:val="22"/>
          <w:szCs w:val="22"/>
        </w:rPr>
        <w:t xml:space="preserve"> barreras de acceso a los servicios de salud:</w:t>
      </w:r>
      <w:r w:rsidR="00A5427C">
        <w:rPr>
          <w:rFonts w:ascii="Noto Sans" w:eastAsia="Aptos" w:hAnsi="Noto Sans" w:cs="Noto Sans"/>
          <w:color w:val="000000" w:themeColor="text1"/>
          <w:sz w:val="22"/>
          <w:szCs w:val="22"/>
        </w:rPr>
        <w:t xml:space="preserve"> para ilustrar este factor,</w:t>
      </w:r>
      <w:r w:rsidR="627A6585" w:rsidRPr="000C27C7">
        <w:rPr>
          <w:rFonts w:ascii="Noto Sans" w:eastAsia="Aptos" w:hAnsi="Noto Sans" w:cs="Noto Sans"/>
          <w:color w:val="000000" w:themeColor="text1"/>
          <w:sz w:val="22"/>
          <w:szCs w:val="22"/>
        </w:rPr>
        <w:t xml:space="preserve"> a nivel nacional,</w:t>
      </w:r>
      <w:r w:rsidR="00A5427C">
        <w:rPr>
          <w:rFonts w:ascii="Noto Sans" w:eastAsia="Aptos" w:hAnsi="Noto Sans" w:cs="Noto Sans"/>
          <w:color w:val="000000" w:themeColor="text1"/>
          <w:sz w:val="22"/>
          <w:szCs w:val="22"/>
        </w:rPr>
        <w:t xml:space="preserve"> la Encuesta Nacional sobre Discriminación (ENADIS)</w:t>
      </w:r>
      <w:r w:rsidR="003C34AA">
        <w:rPr>
          <w:rFonts w:ascii="Noto Sans" w:eastAsia="Aptos" w:hAnsi="Noto Sans" w:cs="Noto Sans"/>
          <w:color w:val="000000" w:themeColor="text1"/>
          <w:sz w:val="22"/>
          <w:szCs w:val="22"/>
        </w:rPr>
        <w:t xml:space="preserve"> 2023</w:t>
      </w:r>
      <w:r w:rsidR="00A5427C">
        <w:rPr>
          <w:rFonts w:ascii="Noto Sans" w:eastAsia="Aptos" w:hAnsi="Noto Sans" w:cs="Noto Sans"/>
          <w:color w:val="000000" w:themeColor="text1"/>
          <w:sz w:val="22"/>
          <w:szCs w:val="22"/>
        </w:rPr>
        <w:t xml:space="preserve"> reportó que</w:t>
      </w:r>
      <w:r w:rsidR="627A6585" w:rsidRPr="000C27C7">
        <w:rPr>
          <w:rFonts w:ascii="Noto Sans" w:eastAsia="Aptos" w:hAnsi="Noto Sans" w:cs="Noto Sans"/>
          <w:color w:val="000000" w:themeColor="text1"/>
          <w:sz w:val="22"/>
          <w:szCs w:val="22"/>
        </w:rPr>
        <w:t xml:space="preserve"> el 75% de las personas mayores que no accedieron a servicios refirieron motivos relacionados con el acceso, destacando la distancia al lugar de atención (24%), la asignación de cita diferida (20%) y la falta del servicio que necesitaban (8%). Cuando la dependencia se combina con problemas de movilidad, estas barreras </w:t>
      </w:r>
      <w:r w:rsidR="00A5427C">
        <w:rPr>
          <w:rFonts w:ascii="Noto Sans" w:eastAsia="Aptos" w:hAnsi="Noto Sans" w:cs="Noto Sans"/>
          <w:color w:val="000000" w:themeColor="text1"/>
          <w:sz w:val="22"/>
          <w:szCs w:val="22"/>
        </w:rPr>
        <w:t>presentan un desafío adicional cuando no existe</w:t>
      </w:r>
      <w:r w:rsidR="627A6585" w:rsidRPr="000C27C7">
        <w:rPr>
          <w:rFonts w:ascii="Noto Sans" w:eastAsia="Aptos" w:hAnsi="Noto Sans" w:cs="Noto Sans"/>
          <w:color w:val="000000" w:themeColor="text1"/>
          <w:sz w:val="22"/>
          <w:szCs w:val="22"/>
        </w:rPr>
        <w:t xml:space="preserve"> apoyo externo</w:t>
      </w:r>
      <w:r w:rsidR="000C27C7" w:rsidRPr="000C27C7">
        <w:rPr>
          <w:rStyle w:val="Refdenotaalpie"/>
          <w:rFonts w:ascii="Noto Sans" w:eastAsia="Aptos" w:hAnsi="Noto Sans" w:cs="Noto Sans"/>
          <w:color w:val="000000" w:themeColor="text1"/>
          <w:sz w:val="22"/>
          <w:szCs w:val="22"/>
        </w:rPr>
        <w:footnoteReference w:id="2"/>
      </w:r>
      <w:r w:rsidR="627A6585" w:rsidRPr="000C27C7">
        <w:rPr>
          <w:rFonts w:ascii="Noto Sans" w:eastAsia="Aptos" w:hAnsi="Noto Sans" w:cs="Noto Sans"/>
          <w:color w:val="000000" w:themeColor="text1"/>
          <w:sz w:val="22"/>
          <w:szCs w:val="22"/>
        </w:rPr>
        <w:t>.</w:t>
      </w:r>
    </w:p>
    <w:p w14:paraId="290A984F" w14:textId="77777777" w:rsidR="00C00252" w:rsidRPr="00696640" w:rsidRDefault="00C00252" w:rsidP="00C00252">
      <w:pPr>
        <w:spacing w:after="0" w:line="240" w:lineRule="auto"/>
        <w:jc w:val="both"/>
        <w:rPr>
          <w:rFonts w:ascii="Noto Sans" w:eastAsia="Aptos" w:hAnsi="Noto Sans" w:cs="Noto Sans"/>
          <w:sz w:val="22"/>
          <w:szCs w:val="22"/>
        </w:rPr>
      </w:pPr>
    </w:p>
    <w:p w14:paraId="72F35F6B" w14:textId="3DF32CC8" w:rsidR="1C7B8D81" w:rsidRPr="00696640" w:rsidRDefault="1DBCF955"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 xml:space="preserve">La discriminación también se expresa </w:t>
      </w:r>
      <w:r w:rsidR="001020E9">
        <w:rPr>
          <w:rFonts w:ascii="Noto Sans" w:eastAsia="Aptos" w:hAnsi="Noto Sans" w:cs="Noto Sans"/>
          <w:color w:val="000000" w:themeColor="text1"/>
          <w:sz w:val="22"/>
          <w:szCs w:val="22"/>
        </w:rPr>
        <w:t>mediante</w:t>
      </w:r>
      <w:r w:rsidRPr="00696640">
        <w:rPr>
          <w:rFonts w:ascii="Noto Sans" w:eastAsia="Aptos" w:hAnsi="Noto Sans" w:cs="Noto Sans"/>
          <w:color w:val="000000" w:themeColor="text1"/>
          <w:sz w:val="22"/>
          <w:szCs w:val="22"/>
        </w:rPr>
        <w:t xml:space="preserve"> percepciones sociales negativas sobre el envejecimiento. La Encuesta Nacional sobre Discriminación (ENADIS) 2022 muestra que una proporción importante de personas mayores percibe actitudes de impaciencia, desvalorización y trato desigual por parte de la sociedad e incluso de sus propios familiares. Entre quienes reportaron haber experimentado discriminación, la edad fue identificada como una de las principales causas.</w:t>
      </w:r>
    </w:p>
    <w:p w14:paraId="0DC06A78" w14:textId="77777777" w:rsidR="00C00252" w:rsidRPr="00696640" w:rsidRDefault="00C00252" w:rsidP="00C00252">
      <w:pPr>
        <w:spacing w:after="0" w:line="240" w:lineRule="auto"/>
        <w:jc w:val="both"/>
        <w:rPr>
          <w:rFonts w:ascii="Noto Sans" w:eastAsia="Aptos" w:hAnsi="Noto Sans" w:cs="Noto Sans"/>
          <w:sz w:val="22"/>
          <w:szCs w:val="22"/>
        </w:rPr>
      </w:pPr>
    </w:p>
    <w:p w14:paraId="27542BD5" w14:textId="63F9C6F5" w:rsidR="1C7B8D81" w:rsidRPr="00696640" w:rsidRDefault="393278FF"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lastRenderedPageBreak/>
        <w:t xml:space="preserve">En el caso de las personas con discapacidad, </w:t>
      </w:r>
      <w:r w:rsidR="003C34AA">
        <w:rPr>
          <w:rFonts w:ascii="Noto Sans" w:eastAsia="Aptos" w:hAnsi="Noto Sans" w:cs="Noto Sans"/>
          <w:color w:val="000000" w:themeColor="text1"/>
          <w:sz w:val="22"/>
          <w:szCs w:val="22"/>
        </w:rPr>
        <w:t>se advierte que persisten</w:t>
      </w:r>
      <w:r w:rsidR="003C34AA" w:rsidRPr="00696640">
        <w:rPr>
          <w:rFonts w:ascii="Noto Sans" w:eastAsia="Aptos" w:hAnsi="Noto Sans" w:cs="Noto Sans"/>
          <w:color w:val="000000" w:themeColor="text1"/>
          <w:sz w:val="22"/>
          <w:szCs w:val="22"/>
        </w:rPr>
        <w:t xml:space="preserve"> </w:t>
      </w:r>
      <w:r w:rsidRPr="00696640">
        <w:rPr>
          <w:rFonts w:ascii="Noto Sans" w:eastAsia="Aptos" w:hAnsi="Noto Sans" w:cs="Noto Sans"/>
          <w:color w:val="000000" w:themeColor="text1"/>
          <w:sz w:val="22"/>
          <w:szCs w:val="22"/>
        </w:rPr>
        <w:t>estigmas y actitudes paternalistas que afectan su inclusión social y el reconocimiento de su capacidad jurídica. La ENADIS 2022 señala que una proporción importante de la población considera que las personas con discapacidad son rechazadas socialmente, que tienen limitaciones para tomar decisiones sobre su propia vida o que representan una carga para sus familias y para la sociedad. Estas percepciones contribuyen a la reproducción de barreras para la participación social, la educación, el empleo, la autonomía personal y el acceso equitativo a servicios y oportunidades.</w:t>
      </w:r>
    </w:p>
    <w:p w14:paraId="723C9FF4" w14:textId="77777777" w:rsidR="00C00252" w:rsidRPr="00696640" w:rsidRDefault="00C00252" w:rsidP="00C00252">
      <w:pPr>
        <w:spacing w:after="0" w:line="240" w:lineRule="auto"/>
        <w:jc w:val="both"/>
        <w:rPr>
          <w:rFonts w:ascii="Noto Sans" w:eastAsia="Aptos" w:hAnsi="Noto Sans" w:cs="Noto Sans"/>
          <w:sz w:val="22"/>
          <w:szCs w:val="22"/>
        </w:rPr>
      </w:pPr>
    </w:p>
    <w:p w14:paraId="77E971FA" w14:textId="60E40F9E" w:rsidR="1C7B8D81" w:rsidRPr="00696640" w:rsidRDefault="003C34AA" w:rsidP="00C00252">
      <w:pPr>
        <w:spacing w:after="0" w:line="240" w:lineRule="auto"/>
        <w:jc w:val="both"/>
        <w:rPr>
          <w:rFonts w:ascii="Noto Sans" w:eastAsia="Aptos" w:hAnsi="Noto Sans" w:cs="Noto Sans"/>
          <w:color w:val="000000" w:themeColor="text1"/>
          <w:sz w:val="22"/>
          <w:szCs w:val="22"/>
        </w:rPr>
      </w:pPr>
      <w:r>
        <w:rPr>
          <w:rFonts w:ascii="Noto Sans" w:eastAsia="Aptos" w:hAnsi="Noto Sans" w:cs="Noto Sans"/>
          <w:color w:val="000000" w:themeColor="text1"/>
          <w:sz w:val="22"/>
          <w:szCs w:val="22"/>
        </w:rPr>
        <w:t>De igual forma, se advierte que e</w:t>
      </w:r>
      <w:r w:rsidR="69E874A6" w:rsidRPr="00696640">
        <w:rPr>
          <w:rFonts w:ascii="Noto Sans" w:eastAsia="Aptos" w:hAnsi="Noto Sans" w:cs="Noto Sans"/>
          <w:color w:val="000000" w:themeColor="text1"/>
          <w:sz w:val="22"/>
          <w:szCs w:val="22"/>
        </w:rPr>
        <w:t xml:space="preserve">l aislamiento social y la soledad, intensificados por el deterioro funcional, la pérdida de redes de pares y la falta de transporte adaptado, limitan la participación en actividades culturales, recreativas y comunitarias. Además, </w:t>
      </w:r>
      <w:proofErr w:type="gramStart"/>
      <w:r w:rsidR="69E874A6" w:rsidRPr="00696640">
        <w:rPr>
          <w:rFonts w:ascii="Noto Sans" w:eastAsia="Aptos" w:hAnsi="Noto Sans" w:cs="Noto Sans"/>
          <w:color w:val="000000" w:themeColor="text1"/>
          <w:sz w:val="22"/>
          <w:szCs w:val="22"/>
        </w:rPr>
        <w:t xml:space="preserve">las personas mayores con dependencia </w:t>
      </w:r>
      <w:r>
        <w:rPr>
          <w:rFonts w:ascii="Noto Sans" w:eastAsia="Aptos" w:hAnsi="Noto Sans" w:cs="Noto Sans"/>
          <w:color w:val="000000" w:themeColor="text1"/>
          <w:sz w:val="22"/>
          <w:szCs w:val="22"/>
        </w:rPr>
        <w:t>con frecuencia puede no</w:t>
      </w:r>
      <w:proofErr w:type="gramEnd"/>
      <w:r>
        <w:rPr>
          <w:rFonts w:ascii="Noto Sans" w:eastAsia="Aptos" w:hAnsi="Noto Sans" w:cs="Noto Sans"/>
          <w:color w:val="000000" w:themeColor="text1"/>
          <w:sz w:val="22"/>
          <w:szCs w:val="22"/>
        </w:rPr>
        <w:t xml:space="preserve"> recibir</w:t>
      </w:r>
      <w:r w:rsidR="69E874A6" w:rsidRPr="00696640">
        <w:rPr>
          <w:rFonts w:ascii="Noto Sans" w:eastAsia="Aptos" w:hAnsi="Noto Sans" w:cs="Noto Sans"/>
          <w:color w:val="000000" w:themeColor="text1"/>
          <w:sz w:val="22"/>
          <w:szCs w:val="22"/>
        </w:rPr>
        <w:t xml:space="preserve"> el apoyo que necesita y que</w:t>
      </w:r>
      <w:r w:rsidR="001020E9">
        <w:rPr>
          <w:rFonts w:ascii="Noto Sans" w:eastAsia="Aptos" w:hAnsi="Noto Sans" w:cs="Noto Sans"/>
          <w:color w:val="000000" w:themeColor="text1"/>
          <w:sz w:val="22"/>
          <w:szCs w:val="22"/>
        </w:rPr>
        <w:t>,</w:t>
      </w:r>
      <w:r w:rsidR="69E874A6" w:rsidRPr="00696640">
        <w:rPr>
          <w:rFonts w:ascii="Noto Sans" w:eastAsia="Aptos" w:hAnsi="Noto Sans" w:cs="Noto Sans"/>
          <w:color w:val="000000" w:themeColor="text1"/>
          <w:sz w:val="22"/>
          <w:szCs w:val="22"/>
        </w:rPr>
        <w:t xml:space="preserve"> cuando sí reciben cuidados, estos se centran frecuentemente en las necesidades biomédicas, dejando de lado las dimensiones social, cultural y afectiva del bienestar.</w:t>
      </w:r>
    </w:p>
    <w:p w14:paraId="672389E9" w14:textId="77777777" w:rsidR="00C00252" w:rsidRPr="00696640" w:rsidRDefault="00C00252" w:rsidP="00C00252">
      <w:pPr>
        <w:spacing w:after="0" w:line="240" w:lineRule="auto"/>
        <w:jc w:val="both"/>
        <w:rPr>
          <w:rFonts w:ascii="Noto Sans" w:eastAsia="Aptos" w:hAnsi="Noto Sans" w:cs="Noto Sans"/>
          <w:sz w:val="22"/>
          <w:szCs w:val="22"/>
        </w:rPr>
      </w:pPr>
    </w:p>
    <w:p w14:paraId="1C25C49E" w14:textId="66816198" w:rsidR="1C7B8D81" w:rsidRPr="00696640" w:rsidRDefault="1C7B8D81" w:rsidP="00C00252">
      <w:pPr>
        <w:spacing w:after="0" w:line="240" w:lineRule="auto"/>
        <w:jc w:val="both"/>
        <w:rPr>
          <w:rFonts w:ascii="Noto Sans" w:eastAsia="Aptos" w:hAnsi="Noto Sans" w:cs="Noto Sans"/>
          <w:b/>
          <w:bCs/>
          <w:i/>
          <w:iCs/>
          <w:color w:val="000000" w:themeColor="text1"/>
          <w:sz w:val="22"/>
          <w:szCs w:val="22"/>
        </w:rPr>
      </w:pPr>
    </w:p>
    <w:p w14:paraId="69FCC26A" w14:textId="2649D3B5" w:rsidR="00C00252" w:rsidRPr="00696640" w:rsidRDefault="00C00252" w:rsidP="00C00252">
      <w:pPr>
        <w:pStyle w:val="Prrafodelista"/>
        <w:numPr>
          <w:ilvl w:val="0"/>
          <w:numId w:val="12"/>
        </w:numPr>
        <w:spacing w:after="0" w:line="240" w:lineRule="auto"/>
        <w:jc w:val="both"/>
        <w:rPr>
          <w:rFonts w:ascii="Noto Sans" w:eastAsia="Aptos" w:hAnsi="Noto Sans" w:cs="Noto Sans"/>
          <w:b/>
          <w:bCs/>
          <w:i/>
          <w:iCs/>
          <w:color w:val="000000" w:themeColor="text1"/>
          <w:sz w:val="22"/>
          <w:szCs w:val="22"/>
        </w:rPr>
      </w:pPr>
      <w:r w:rsidRPr="00696640">
        <w:rPr>
          <w:rFonts w:ascii="Noto Sans" w:eastAsia="Aptos" w:hAnsi="Noto Sans" w:cs="Noto Sans"/>
          <w:b/>
          <w:bCs/>
          <w:i/>
          <w:iCs/>
          <w:color w:val="000000" w:themeColor="text1"/>
          <w:sz w:val="22"/>
          <w:szCs w:val="22"/>
        </w:rPr>
        <w:t>Buenas prácticas y recomendaciones</w:t>
      </w:r>
    </w:p>
    <w:p w14:paraId="39B77A99" w14:textId="77777777" w:rsidR="00C00252" w:rsidRPr="00696640" w:rsidRDefault="00C00252" w:rsidP="00C00252">
      <w:pPr>
        <w:pStyle w:val="Prrafodelista"/>
        <w:spacing w:after="0" w:line="240" w:lineRule="auto"/>
        <w:ind w:left="360"/>
        <w:jc w:val="both"/>
        <w:rPr>
          <w:rFonts w:ascii="Noto Sans" w:eastAsia="Aptos" w:hAnsi="Noto Sans" w:cs="Noto Sans"/>
          <w:b/>
          <w:bCs/>
          <w:i/>
          <w:iCs/>
          <w:color w:val="000000" w:themeColor="text1"/>
          <w:sz w:val="22"/>
          <w:szCs w:val="22"/>
        </w:rPr>
      </w:pPr>
    </w:p>
    <w:p w14:paraId="14F32F02" w14:textId="151425DC" w:rsidR="006F69B8" w:rsidRPr="00696640" w:rsidRDefault="006F69B8" w:rsidP="00C00252">
      <w:pPr>
        <w:pStyle w:val="Prrafodelista"/>
        <w:numPr>
          <w:ilvl w:val="0"/>
          <w:numId w:val="11"/>
        </w:numPr>
        <w:spacing w:after="0" w:line="240" w:lineRule="auto"/>
        <w:jc w:val="both"/>
        <w:rPr>
          <w:rFonts w:ascii="Noto Sans" w:hAnsi="Noto Sans" w:cs="Noto Sans"/>
          <w:b/>
          <w:bCs/>
          <w:sz w:val="22"/>
          <w:szCs w:val="22"/>
        </w:rPr>
      </w:pPr>
      <w:r w:rsidRPr="00696640">
        <w:rPr>
          <w:rFonts w:ascii="Noto Sans" w:hAnsi="Noto Sans" w:cs="Noto Sans"/>
          <w:b/>
          <w:bCs/>
          <w:sz w:val="22"/>
          <w:szCs w:val="22"/>
        </w:rPr>
        <w:t>¿</w:t>
      </w:r>
      <w:r w:rsidR="6A12499E" w:rsidRPr="00696640">
        <w:rPr>
          <w:rFonts w:ascii="Noto Sans" w:hAnsi="Noto Sans" w:cs="Noto Sans"/>
          <w:b/>
          <w:bCs/>
          <w:sz w:val="22"/>
          <w:szCs w:val="22"/>
        </w:rPr>
        <w:t>Qué leyes, políticas, instituciones, enfoques, prácticas o entornos propicios han contribuido a que las personas mayores con dete</w:t>
      </w:r>
      <w:r w:rsidR="575C2F89" w:rsidRPr="00696640">
        <w:rPr>
          <w:rFonts w:ascii="Noto Sans" w:hAnsi="Noto Sans" w:cs="Noto Sans"/>
          <w:b/>
          <w:bCs/>
          <w:sz w:val="22"/>
          <w:szCs w:val="22"/>
        </w:rPr>
        <w:t>rioro cognitivo sigan siendo escuchadas, participen, sean respetadas y mantengan vínculos sociales</w:t>
      </w:r>
      <w:r w:rsidRPr="00696640">
        <w:rPr>
          <w:rFonts w:ascii="Noto Sans" w:hAnsi="Noto Sans" w:cs="Noto Sans"/>
          <w:b/>
          <w:bCs/>
          <w:sz w:val="22"/>
          <w:szCs w:val="22"/>
        </w:rPr>
        <w:t>?</w:t>
      </w:r>
    </w:p>
    <w:p w14:paraId="388224B8"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22466E4B" w14:textId="5F12A3A0" w:rsidR="1C7B8D81" w:rsidRPr="00696640" w:rsidRDefault="1CC8951D"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 xml:space="preserve">La práctica que ha demostrado mayor eficacia para preservar la dignidad y la autonomía es la implementación del </w:t>
      </w:r>
      <w:r w:rsidRPr="00696640">
        <w:rPr>
          <w:rFonts w:ascii="Noto Sans" w:eastAsia="Noto Sans" w:hAnsi="Noto Sans" w:cs="Noto Sans"/>
          <w:sz w:val="22"/>
          <w:szCs w:val="22"/>
        </w:rPr>
        <w:t>Modelo de Atención y Cuidados Integrales, Centrados en las Personas Mayores y su Comunidad (</w:t>
      </w:r>
      <w:r w:rsidRPr="00696640">
        <w:rPr>
          <w:rFonts w:ascii="Noto Sans" w:eastAsia="Aptos" w:hAnsi="Noto Sans" w:cs="Noto Sans"/>
          <w:color w:val="000000" w:themeColor="text1"/>
          <w:sz w:val="22"/>
          <w:szCs w:val="22"/>
        </w:rPr>
        <w:t>MACICPMC)</w:t>
      </w:r>
      <w:r w:rsidR="1C7B8D81" w:rsidRPr="00696640">
        <w:rPr>
          <w:rStyle w:val="Refdenotaalpie"/>
          <w:rFonts w:ascii="Noto Sans" w:eastAsia="Aptos" w:hAnsi="Noto Sans" w:cs="Noto Sans"/>
          <w:color w:val="000000" w:themeColor="text1"/>
          <w:sz w:val="22"/>
          <w:szCs w:val="22"/>
        </w:rPr>
        <w:footnoteReference w:id="3"/>
      </w:r>
      <w:r w:rsidRPr="00696640">
        <w:rPr>
          <w:rFonts w:ascii="Noto Sans" w:eastAsia="Aptos" w:hAnsi="Noto Sans" w:cs="Noto Sans"/>
          <w:color w:val="000000" w:themeColor="text1"/>
          <w:sz w:val="22"/>
          <w:szCs w:val="22"/>
        </w:rPr>
        <w:t>. Este adopta el marco conceptual de la OMS sobre envejecimiento saludable, orientando la práctica institucional hacia el mantenimiento de la capacidad funcional de los individuos</w:t>
      </w:r>
      <w:r w:rsidR="1C7B8D81" w:rsidRPr="00696640">
        <w:rPr>
          <w:rStyle w:val="Refdenotaalpie"/>
          <w:rFonts w:ascii="Noto Sans" w:eastAsia="Aptos" w:hAnsi="Noto Sans" w:cs="Noto Sans"/>
          <w:color w:val="000000" w:themeColor="text1"/>
          <w:sz w:val="22"/>
          <w:szCs w:val="22"/>
        </w:rPr>
        <w:footnoteReference w:id="4"/>
      </w:r>
      <w:r w:rsidRPr="00696640">
        <w:rPr>
          <w:rFonts w:ascii="Noto Sans" w:eastAsia="Aptos" w:hAnsi="Noto Sans" w:cs="Noto Sans"/>
          <w:color w:val="000000" w:themeColor="text1"/>
          <w:sz w:val="22"/>
          <w:szCs w:val="22"/>
        </w:rPr>
        <w:t xml:space="preserve">. La efectividad de este modelo reside en su organización </w:t>
      </w:r>
      <w:r w:rsidR="00072617">
        <w:rPr>
          <w:rFonts w:ascii="Noto Sans" w:eastAsia="Aptos" w:hAnsi="Noto Sans" w:cs="Noto Sans"/>
          <w:color w:val="000000" w:themeColor="text1"/>
          <w:sz w:val="22"/>
          <w:szCs w:val="22"/>
        </w:rPr>
        <w:t>mediante</w:t>
      </w:r>
      <w:r w:rsidRPr="00696640">
        <w:rPr>
          <w:rFonts w:ascii="Noto Sans" w:eastAsia="Aptos" w:hAnsi="Noto Sans" w:cs="Noto Sans"/>
          <w:color w:val="000000" w:themeColor="text1"/>
          <w:sz w:val="22"/>
          <w:szCs w:val="22"/>
        </w:rPr>
        <w:t xml:space="preserve"> circuitos de atención especializados para condiciones críticas como la fragilidad, la multimorbilidad y el deterioro cognitivo, lo cual permite identificar de manera temprana los riesgos de dependencia y </w:t>
      </w:r>
      <w:r w:rsidR="00C8588B">
        <w:rPr>
          <w:rFonts w:ascii="Noto Sans" w:eastAsia="Aptos" w:hAnsi="Noto Sans" w:cs="Noto Sans"/>
          <w:color w:val="000000" w:themeColor="text1"/>
          <w:sz w:val="22"/>
          <w:szCs w:val="22"/>
        </w:rPr>
        <w:t xml:space="preserve">permite </w:t>
      </w:r>
      <w:r w:rsidRPr="00696640">
        <w:rPr>
          <w:rFonts w:ascii="Noto Sans" w:eastAsia="Aptos" w:hAnsi="Noto Sans" w:cs="Noto Sans"/>
          <w:color w:val="000000" w:themeColor="text1"/>
          <w:sz w:val="22"/>
          <w:szCs w:val="22"/>
        </w:rPr>
        <w:t xml:space="preserve">aplicar intervenciones interdisciplinarias orientadas a revertir disminuciones funcionales. Este modelo </w:t>
      </w:r>
      <w:r w:rsidR="00C8588B">
        <w:rPr>
          <w:rFonts w:ascii="Noto Sans" w:eastAsia="Aptos" w:hAnsi="Noto Sans" w:cs="Noto Sans"/>
          <w:color w:val="000000" w:themeColor="text1"/>
          <w:sz w:val="22"/>
          <w:szCs w:val="22"/>
        </w:rPr>
        <w:t xml:space="preserve">contribuye a </w:t>
      </w:r>
      <w:r w:rsidRPr="00696640">
        <w:rPr>
          <w:rFonts w:ascii="Noto Sans" w:eastAsia="Aptos" w:hAnsi="Noto Sans" w:cs="Noto Sans"/>
          <w:color w:val="000000" w:themeColor="text1"/>
          <w:sz w:val="22"/>
          <w:szCs w:val="22"/>
        </w:rPr>
        <w:t>garantiza</w:t>
      </w:r>
      <w:r w:rsidR="00C8588B">
        <w:rPr>
          <w:rFonts w:ascii="Noto Sans" w:eastAsia="Aptos" w:hAnsi="Noto Sans" w:cs="Noto Sans"/>
          <w:color w:val="000000" w:themeColor="text1"/>
          <w:sz w:val="22"/>
          <w:szCs w:val="22"/>
        </w:rPr>
        <w:t>r</w:t>
      </w:r>
      <w:r w:rsidRPr="00696640">
        <w:rPr>
          <w:rFonts w:ascii="Noto Sans" w:eastAsia="Aptos" w:hAnsi="Noto Sans" w:cs="Noto Sans"/>
          <w:color w:val="000000" w:themeColor="text1"/>
          <w:sz w:val="22"/>
          <w:szCs w:val="22"/>
        </w:rPr>
        <w:t xml:space="preserve"> que la persona mayor sea el actor central de su proceso de salud, mediante la garantía de su autonomía y participación informada en la toma de decisiones sobre su plan de cuidados.</w:t>
      </w:r>
    </w:p>
    <w:p w14:paraId="0238393B" w14:textId="77777777" w:rsidR="00C00252" w:rsidRPr="00696640" w:rsidRDefault="00C00252" w:rsidP="00C00252">
      <w:pPr>
        <w:spacing w:after="0" w:line="240" w:lineRule="auto"/>
        <w:jc w:val="both"/>
        <w:rPr>
          <w:rFonts w:ascii="Noto Sans" w:eastAsia="Aptos" w:hAnsi="Noto Sans" w:cs="Noto Sans"/>
          <w:sz w:val="22"/>
          <w:szCs w:val="22"/>
        </w:rPr>
      </w:pPr>
    </w:p>
    <w:p w14:paraId="17EE7A8A" w14:textId="760D4DF4" w:rsidR="1C7B8D81" w:rsidRPr="00696640" w:rsidRDefault="1CC8951D"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lastRenderedPageBreak/>
        <w:t>Asimismo, las iniciativas impulsadas en el marco de los sistemas locales de cuidados, particularmente en la Ciudad de México, han contribuido a visibilizar las necesidades de las personas cuidadoras y de quienes requieren cuidados,</w:t>
      </w:r>
      <w:r w:rsidR="00C8588B">
        <w:rPr>
          <w:rFonts w:ascii="Noto Sans" w:eastAsia="Aptos" w:hAnsi="Noto Sans" w:cs="Noto Sans"/>
          <w:color w:val="000000" w:themeColor="text1"/>
          <w:sz w:val="22"/>
          <w:szCs w:val="22"/>
        </w:rPr>
        <w:t xml:space="preserve"> lo que ayuda a</w:t>
      </w:r>
      <w:r w:rsidR="00C92E3A">
        <w:rPr>
          <w:rFonts w:ascii="Noto Sans" w:eastAsia="Aptos" w:hAnsi="Noto Sans" w:cs="Noto Sans"/>
          <w:color w:val="000000" w:themeColor="text1"/>
          <w:sz w:val="22"/>
          <w:szCs w:val="22"/>
        </w:rPr>
        <w:t xml:space="preserve"> </w:t>
      </w:r>
      <w:r w:rsidR="00C8588B">
        <w:rPr>
          <w:rFonts w:ascii="Noto Sans" w:eastAsia="Aptos" w:hAnsi="Noto Sans" w:cs="Noto Sans"/>
          <w:color w:val="000000" w:themeColor="text1"/>
          <w:sz w:val="22"/>
          <w:szCs w:val="22"/>
        </w:rPr>
        <w:t>f</w:t>
      </w:r>
      <w:r w:rsidRPr="00696640">
        <w:rPr>
          <w:rFonts w:ascii="Noto Sans" w:eastAsia="Aptos" w:hAnsi="Noto Sans" w:cs="Noto Sans"/>
          <w:color w:val="000000" w:themeColor="text1"/>
          <w:sz w:val="22"/>
          <w:szCs w:val="22"/>
        </w:rPr>
        <w:t>ortalec</w:t>
      </w:r>
      <w:r w:rsidR="00C8588B">
        <w:rPr>
          <w:rFonts w:ascii="Noto Sans" w:eastAsia="Aptos" w:hAnsi="Noto Sans" w:cs="Noto Sans"/>
          <w:color w:val="000000" w:themeColor="text1"/>
          <w:sz w:val="22"/>
          <w:szCs w:val="22"/>
        </w:rPr>
        <w:t>er</w:t>
      </w:r>
      <w:r w:rsidRPr="00696640">
        <w:rPr>
          <w:rFonts w:ascii="Noto Sans" w:eastAsia="Aptos" w:hAnsi="Noto Sans" w:cs="Noto Sans"/>
          <w:color w:val="000000" w:themeColor="text1"/>
          <w:sz w:val="22"/>
          <w:szCs w:val="22"/>
        </w:rPr>
        <w:t xml:space="preserve"> servicios de apoyo, capacitación y acompañamiento que favorecen la permanencia de las personas mayores en su entorno habitual y el respeto a sus preferencias y proyectos de vida.</w:t>
      </w:r>
    </w:p>
    <w:p w14:paraId="69939805" w14:textId="77777777" w:rsidR="00C00252" w:rsidRPr="00696640" w:rsidRDefault="00C00252" w:rsidP="00C00252">
      <w:pPr>
        <w:spacing w:after="0" w:line="240" w:lineRule="auto"/>
        <w:jc w:val="both"/>
        <w:rPr>
          <w:rFonts w:ascii="Noto Sans" w:eastAsia="Aptos" w:hAnsi="Noto Sans" w:cs="Noto Sans"/>
          <w:sz w:val="22"/>
          <w:szCs w:val="22"/>
        </w:rPr>
      </w:pPr>
    </w:p>
    <w:p w14:paraId="6B244DB6" w14:textId="06E543D4" w:rsidR="00BD33D8" w:rsidRDefault="00BD33D8" w:rsidP="00C00252">
      <w:pPr>
        <w:spacing w:after="0" w:line="240" w:lineRule="auto"/>
        <w:jc w:val="both"/>
        <w:rPr>
          <w:rFonts w:ascii="Noto Sans" w:eastAsia="Aptos" w:hAnsi="Noto Sans" w:cs="Noto Sans"/>
          <w:color w:val="000000" w:themeColor="text1"/>
          <w:sz w:val="22"/>
          <w:szCs w:val="22"/>
        </w:rPr>
      </w:pPr>
      <w:r>
        <w:rPr>
          <w:rFonts w:ascii="Noto Sans" w:eastAsia="Aptos" w:hAnsi="Noto Sans" w:cs="Noto Sans"/>
          <w:color w:val="000000" w:themeColor="text1"/>
          <w:sz w:val="22"/>
          <w:szCs w:val="22"/>
        </w:rPr>
        <w:t>Por su parte, l</w:t>
      </w:r>
      <w:r w:rsidR="7DA474EC" w:rsidRPr="00696640">
        <w:rPr>
          <w:rFonts w:ascii="Noto Sans" w:eastAsia="Aptos" w:hAnsi="Noto Sans" w:cs="Noto Sans"/>
          <w:color w:val="000000" w:themeColor="text1"/>
          <w:sz w:val="22"/>
          <w:szCs w:val="22"/>
        </w:rPr>
        <w:t>a Ley de los Derechos de las Personas Adultas Mayores (LDPAM) establece la figura de la denuncia popular, mecanismo que faculta a cualquier persona o grupo para reportar ante las autoridades competentes todo hecho, acto u omisión que produzca daños o afectación a los derechos de ese sector poblacional. La protección de las personas mayores debe</w:t>
      </w:r>
      <w:r w:rsidR="00C8588B">
        <w:rPr>
          <w:rFonts w:ascii="Noto Sans" w:eastAsia="Aptos" w:hAnsi="Noto Sans" w:cs="Noto Sans"/>
          <w:color w:val="000000" w:themeColor="text1"/>
          <w:sz w:val="22"/>
          <w:szCs w:val="22"/>
        </w:rPr>
        <w:t xml:space="preserve"> orientarse en</w:t>
      </w:r>
      <w:r w:rsidR="7DA474EC" w:rsidRPr="00696640">
        <w:rPr>
          <w:rFonts w:ascii="Noto Sans" w:eastAsia="Aptos" w:hAnsi="Noto Sans" w:cs="Noto Sans"/>
          <w:color w:val="000000" w:themeColor="text1"/>
          <w:sz w:val="22"/>
          <w:szCs w:val="22"/>
        </w:rPr>
        <w:t xml:space="preserve"> evitar enfoques exclusivamente asistencialistas o paternalistas.</w:t>
      </w:r>
      <w:r>
        <w:rPr>
          <w:rFonts w:ascii="Noto Sans" w:eastAsia="Aptos" w:hAnsi="Noto Sans" w:cs="Noto Sans"/>
          <w:color w:val="000000" w:themeColor="text1"/>
          <w:sz w:val="22"/>
          <w:szCs w:val="22"/>
        </w:rPr>
        <w:t xml:space="preserve"> Además</w:t>
      </w:r>
      <w:r w:rsidRPr="00696640">
        <w:rPr>
          <w:rFonts w:ascii="Noto Sans" w:eastAsia="Aptos" w:hAnsi="Noto Sans" w:cs="Noto Sans"/>
          <w:color w:val="000000" w:themeColor="text1"/>
          <w:sz w:val="22"/>
          <w:szCs w:val="22"/>
        </w:rPr>
        <w:t>, la LDPAM establece un marco de protección que incluye el derecho a una vida libre de violencia, maltrato y abandono. La NOM-031-SSA3-2012 establece disposiciones para la prestación de servicios de asistencia social a adultos mayores en situación de riesgo y vulnerabilidad, incluyendo criterios de calidad y supervisión para establecimientos residenciales. La NOM-004-SSA3-2012 del expediente clínico constituye una salvaguarda para el registro documentado de las condiciones de salud y la atención recibida.</w:t>
      </w:r>
    </w:p>
    <w:p w14:paraId="519D885D" w14:textId="77777777" w:rsidR="00BD33D8" w:rsidRDefault="00BD33D8" w:rsidP="00C00252">
      <w:pPr>
        <w:spacing w:after="0" w:line="240" w:lineRule="auto"/>
        <w:jc w:val="both"/>
        <w:rPr>
          <w:rFonts w:ascii="Noto Sans" w:eastAsia="Aptos" w:hAnsi="Noto Sans" w:cs="Noto Sans"/>
          <w:color w:val="000000" w:themeColor="text1"/>
          <w:sz w:val="22"/>
          <w:szCs w:val="22"/>
        </w:rPr>
      </w:pPr>
    </w:p>
    <w:p w14:paraId="34891554" w14:textId="1A46F0E7" w:rsidR="00BD33D8" w:rsidRPr="00696640" w:rsidRDefault="00BD33D8" w:rsidP="00BD33D8">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En el ámbito de la prestación de servicios de atención médica, la Ley General de Salud (LGS) prevé salvaguardas para personas mayores, tales como la prohibición estricta para que el internamiento sea utilizado como una solución a problemáticas de carácter familiar, social o de falta de vivienda y cuidados.</w:t>
      </w:r>
      <w:r>
        <w:rPr>
          <w:rFonts w:ascii="Noto Sans" w:eastAsia="Aptos" w:hAnsi="Noto Sans" w:cs="Noto Sans"/>
          <w:color w:val="000000" w:themeColor="text1"/>
          <w:sz w:val="22"/>
          <w:szCs w:val="22"/>
        </w:rPr>
        <w:t xml:space="preserve"> Además, c</w:t>
      </w:r>
      <w:r w:rsidRPr="00696640">
        <w:rPr>
          <w:rFonts w:ascii="Noto Sans" w:eastAsia="Aptos" w:hAnsi="Noto Sans" w:cs="Noto Sans"/>
          <w:color w:val="000000" w:themeColor="text1"/>
          <w:sz w:val="22"/>
          <w:szCs w:val="22"/>
        </w:rPr>
        <w:t xml:space="preserve">omo salvaguarda proactiva, se han establecido convenios o entendimientos con otras instituciones, como el Consejo Ciudadano para la Seguridad y Justicia de la Ciudad de México, con el objetivo de colaborar en la prevención de la violencia y la protección de los derechos humanos de las personas mayores. </w:t>
      </w:r>
      <w:r w:rsidR="00C8588B">
        <w:rPr>
          <w:rFonts w:ascii="Noto Sans" w:eastAsia="Aptos" w:hAnsi="Noto Sans" w:cs="Noto Sans"/>
          <w:color w:val="000000" w:themeColor="text1"/>
          <w:sz w:val="22"/>
          <w:szCs w:val="22"/>
        </w:rPr>
        <w:t>Mediante</w:t>
      </w:r>
      <w:r w:rsidRPr="00696640">
        <w:rPr>
          <w:rFonts w:ascii="Noto Sans" w:eastAsia="Aptos" w:hAnsi="Noto Sans" w:cs="Noto Sans"/>
          <w:color w:val="000000" w:themeColor="text1"/>
          <w:sz w:val="22"/>
          <w:szCs w:val="22"/>
        </w:rPr>
        <w:t xml:space="preserve"> esta colaboración, se facilita a las personas mayores y sus familiares el acceso a servicios gratuitos de acompañamiento jurídico y psicológico las 24 horas del día, lo cual fortalece la capacidad de respuesta institucional ante casos de abandono o maltratos detectados durante la atención médica.</w:t>
      </w:r>
    </w:p>
    <w:p w14:paraId="7A128BC6" w14:textId="77777777" w:rsidR="00BD33D8" w:rsidRDefault="00BD33D8" w:rsidP="00C00252">
      <w:pPr>
        <w:spacing w:after="0" w:line="240" w:lineRule="auto"/>
        <w:jc w:val="both"/>
        <w:rPr>
          <w:rFonts w:ascii="Noto Sans" w:eastAsia="Aptos" w:hAnsi="Noto Sans" w:cs="Noto Sans"/>
          <w:color w:val="000000" w:themeColor="text1"/>
          <w:sz w:val="22"/>
          <w:szCs w:val="22"/>
        </w:rPr>
      </w:pPr>
    </w:p>
    <w:p w14:paraId="767C4A39" w14:textId="6708A4F9" w:rsidR="00C00252" w:rsidRPr="00BD33D8" w:rsidRDefault="00BD33D8" w:rsidP="00C00252">
      <w:pPr>
        <w:spacing w:after="0" w:line="240" w:lineRule="auto"/>
        <w:jc w:val="both"/>
        <w:rPr>
          <w:rFonts w:ascii="Noto Sans" w:eastAsia="Aptos" w:hAnsi="Noto Sans" w:cs="Noto Sans"/>
          <w:color w:val="000000" w:themeColor="text1"/>
          <w:sz w:val="22"/>
          <w:szCs w:val="22"/>
        </w:rPr>
      </w:pPr>
      <w:r>
        <w:rPr>
          <w:rFonts w:ascii="Noto Sans" w:eastAsia="Aptos" w:hAnsi="Noto Sans" w:cs="Noto Sans"/>
          <w:color w:val="000000" w:themeColor="text1"/>
          <w:sz w:val="22"/>
          <w:szCs w:val="22"/>
        </w:rPr>
        <w:t>Por otro lado, l</w:t>
      </w:r>
      <w:r w:rsidR="7DA474EC" w:rsidRPr="00696640">
        <w:rPr>
          <w:rFonts w:ascii="Noto Sans" w:eastAsia="Aptos" w:hAnsi="Noto Sans" w:cs="Noto Sans"/>
          <w:color w:val="000000" w:themeColor="text1"/>
          <w:sz w:val="22"/>
          <w:szCs w:val="22"/>
        </w:rPr>
        <w:t>a Suprema Corte de Justicia de la Nación ha señalado que la condición de persona mayor no implica por sí misma una situación de vulnerabilidad ni justifica la sustitución automática de su voluntad. En consecuencia, las medidas de protección y cuidado deben ser compatibles con el respeto a la autonomía, la capacidad de decisión y la participación de las personas mayores en los asuntos que afectan su vida cotidiana.</w:t>
      </w:r>
    </w:p>
    <w:p w14:paraId="637F9025" w14:textId="77777777" w:rsidR="009B052E" w:rsidRPr="00696640" w:rsidRDefault="009B052E" w:rsidP="00C00252">
      <w:pPr>
        <w:spacing w:after="0" w:line="240" w:lineRule="auto"/>
        <w:jc w:val="both"/>
        <w:rPr>
          <w:rFonts w:ascii="Noto Sans" w:eastAsia="Aptos" w:hAnsi="Noto Sans" w:cs="Noto Sans"/>
          <w:color w:val="000000" w:themeColor="text1"/>
          <w:sz w:val="22"/>
          <w:szCs w:val="22"/>
        </w:rPr>
      </w:pPr>
    </w:p>
    <w:p w14:paraId="4D676E07" w14:textId="48A789E8" w:rsidR="1C7B8D81" w:rsidRPr="00696640" w:rsidRDefault="1C7B8D81" w:rsidP="00C00252">
      <w:pPr>
        <w:spacing w:after="0" w:line="240" w:lineRule="auto"/>
        <w:jc w:val="both"/>
        <w:rPr>
          <w:rFonts w:ascii="Noto Sans" w:eastAsia="Aptos" w:hAnsi="Noto Sans" w:cs="Noto Sans"/>
          <w:color w:val="000000" w:themeColor="text1"/>
          <w:sz w:val="22"/>
          <w:szCs w:val="22"/>
        </w:rPr>
      </w:pPr>
    </w:p>
    <w:p w14:paraId="78224075" w14:textId="1FE47717" w:rsidR="006F69B8" w:rsidRPr="00696640" w:rsidRDefault="006F69B8" w:rsidP="00C00252">
      <w:pPr>
        <w:pStyle w:val="Prrafodelista"/>
        <w:numPr>
          <w:ilvl w:val="0"/>
          <w:numId w:val="11"/>
        </w:numPr>
        <w:spacing w:after="0" w:line="240" w:lineRule="auto"/>
        <w:jc w:val="both"/>
        <w:rPr>
          <w:rFonts w:ascii="Noto Sans" w:hAnsi="Noto Sans" w:cs="Noto Sans"/>
          <w:b/>
          <w:bCs/>
          <w:sz w:val="22"/>
          <w:szCs w:val="22"/>
        </w:rPr>
      </w:pPr>
      <w:r w:rsidRPr="00696640">
        <w:rPr>
          <w:rFonts w:ascii="Noto Sans" w:hAnsi="Noto Sans" w:cs="Noto Sans"/>
          <w:b/>
          <w:bCs/>
          <w:sz w:val="22"/>
          <w:szCs w:val="22"/>
        </w:rPr>
        <w:t>¿Q</w:t>
      </w:r>
      <w:r w:rsidR="12413420" w:rsidRPr="00696640">
        <w:rPr>
          <w:rFonts w:ascii="Noto Sans" w:hAnsi="Noto Sans" w:cs="Noto Sans"/>
          <w:b/>
          <w:bCs/>
          <w:sz w:val="22"/>
          <w:szCs w:val="22"/>
        </w:rPr>
        <w:t>ué cambios legales, normativos, profesionales</w:t>
      </w:r>
      <w:r w:rsidR="478AD6E6" w:rsidRPr="00696640">
        <w:rPr>
          <w:rFonts w:ascii="Noto Sans" w:hAnsi="Noto Sans" w:cs="Noto Sans"/>
          <w:b/>
          <w:bCs/>
          <w:sz w:val="22"/>
          <w:szCs w:val="22"/>
        </w:rPr>
        <w:t xml:space="preserve"> o comunitarios son necesarios para proteger mejor la autonomía, la participación y la dignidad de las personas mayores con deterioro </w:t>
      </w:r>
      <w:r w:rsidR="6C32EE9C" w:rsidRPr="00696640">
        <w:rPr>
          <w:rFonts w:ascii="Noto Sans" w:hAnsi="Noto Sans" w:cs="Noto Sans"/>
          <w:b/>
          <w:bCs/>
          <w:sz w:val="22"/>
          <w:szCs w:val="22"/>
        </w:rPr>
        <w:t>cognitivo</w:t>
      </w:r>
      <w:r w:rsidRPr="00696640">
        <w:rPr>
          <w:rFonts w:ascii="Noto Sans" w:hAnsi="Noto Sans" w:cs="Noto Sans"/>
          <w:b/>
          <w:bCs/>
          <w:sz w:val="22"/>
          <w:szCs w:val="22"/>
        </w:rPr>
        <w:t>?</w:t>
      </w:r>
    </w:p>
    <w:p w14:paraId="3BE1F121"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0AB11A6E" w14:textId="2E94940D" w:rsidR="006F69B8" w:rsidRPr="00696640" w:rsidRDefault="1B90EFF8"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 xml:space="preserve">Se </w:t>
      </w:r>
      <w:r w:rsidR="00072617">
        <w:rPr>
          <w:rFonts w:ascii="Noto Sans" w:eastAsia="Aptos" w:hAnsi="Noto Sans" w:cs="Noto Sans"/>
          <w:color w:val="000000" w:themeColor="text1"/>
          <w:sz w:val="22"/>
          <w:szCs w:val="22"/>
        </w:rPr>
        <w:t>identifica la necesidad de</w:t>
      </w:r>
      <w:r w:rsidRPr="00696640">
        <w:rPr>
          <w:rFonts w:ascii="Noto Sans" w:eastAsia="Aptos" w:hAnsi="Noto Sans" w:cs="Noto Sans"/>
          <w:color w:val="000000" w:themeColor="text1"/>
          <w:sz w:val="22"/>
          <w:szCs w:val="22"/>
        </w:rPr>
        <w:t xml:space="preserve"> construir un Sistema Nacional de Cuidados integral y corresponsable mediante un marco legal inclusivo, la coordinación multisectorial y una transformación cultural basada en la infraestructura y capacitación. A su vez, para lograr la corresponsabilidad del cuidado</w:t>
      </w:r>
      <w:r w:rsidR="00F971C2">
        <w:rPr>
          <w:rFonts w:ascii="Noto Sans" w:eastAsia="Aptos" w:hAnsi="Noto Sans" w:cs="Noto Sans"/>
          <w:color w:val="000000" w:themeColor="text1"/>
          <w:sz w:val="22"/>
          <w:szCs w:val="22"/>
        </w:rPr>
        <w:t>, es deseable</w:t>
      </w:r>
      <w:r w:rsidRPr="00696640">
        <w:rPr>
          <w:rFonts w:ascii="Noto Sans" w:eastAsia="Aptos" w:hAnsi="Noto Sans" w:cs="Noto Sans"/>
          <w:color w:val="000000" w:themeColor="text1"/>
          <w:sz w:val="22"/>
          <w:szCs w:val="22"/>
        </w:rPr>
        <w:t xml:space="preserve"> que la política pública se distribuya entre el Estado, el ámbito laboral, la comunidad y los hogares.</w:t>
      </w:r>
    </w:p>
    <w:p w14:paraId="37F024FD"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5914F635" w14:textId="1500912A" w:rsidR="006F69B8" w:rsidRPr="00696640" w:rsidRDefault="1B90EFF8"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 xml:space="preserve">Es necesario realizar diagnósticos cualitativos y cuantitativos con </w:t>
      </w:r>
      <w:r w:rsidR="00F971C2">
        <w:rPr>
          <w:rFonts w:ascii="Noto Sans" w:eastAsia="Aptos" w:hAnsi="Noto Sans" w:cs="Noto Sans"/>
          <w:color w:val="000000" w:themeColor="text1"/>
          <w:sz w:val="22"/>
          <w:szCs w:val="22"/>
        </w:rPr>
        <w:t xml:space="preserve">la </w:t>
      </w:r>
      <w:r w:rsidRPr="00696640">
        <w:rPr>
          <w:rFonts w:ascii="Noto Sans" w:eastAsia="Aptos" w:hAnsi="Noto Sans" w:cs="Noto Sans"/>
          <w:color w:val="000000" w:themeColor="text1"/>
          <w:sz w:val="22"/>
          <w:szCs w:val="22"/>
        </w:rPr>
        <w:t xml:space="preserve">participación de personas adultas mayores, adaptados a contextos urbanos, rurales y semiurbanos, para ajustar la oferta de cuidados a necesidades locales. </w:t>
      </w:r>
      <w:r w:rsidR="00F971C2">
        <w:rPr>
          <w:rFonts w:ascii="Noto Sans" w:eastAsia="Aptos" w:hAnsi="Noto Sans" w:cs="Noto Sans"/>
          <w:color w:val="000000" w:themeColor="text1"/>
          <w:sz w:val="22"/>
          <w:szCs w:val="22"/>
        </w:rPr>
        <w:t>De igual forma, debe promoverse</w:t>
      </w:r>
      <w:r w:rsidRPr="00696640">
        <w:rPr>
          <w:rFonts w:ascii="Noto Sans" w:eastAsia="Aptos" w:hAnsi="Noto Sans" w:cs="Noto Sans"/>
          <w:color w:val="000000" w:themeColor="text1"/>
          <w:sz w:val="22"/>
          <w:szCs w:val="22"/>
        </w:rPr>
        <w:t xml:space="preserve"> la corresponsabilidad de los cuidados</w:t>
      </w:r>
      <w:r w:rsidR="00F971C2">
        <w:rPr>
          <w:rFonts w:ascii="Noto Sans" w:eastAsia="Aptos" w:hAnsi="Noto Sans" w:cs="Noto Sans"/>
          <w:color w:val="000000" w:themeColor="text1"/>
          <w:sz w:val="22"/>
          <w:szCs w:val="22"/>
        </w:rPr>
        <w:t>,</w:t>
      </w:r>
      <w:r w:rsidRPr="00696640">
        <w:rPr>
          <w:rFonts w:ascii="Noto Sans" w:eastAsia="Aptos" w:hAnsi="Noto Sans" w:cs="Noto Sans"/>
          <w:color w:val="000000" w:themeColor="text1"/>
          <w:sz w:val="22"/>
          <w:szCs w:val="22"/>
        </w:rPr>
        <w:t xml:space="preserve"> fomentando valores de igualdad, responsabilidad compartida y respeto hacia todas las personas, con la finalidad de erradicar los estereotipos que asocian el trabajo de cuidados exclusivamente con las mujeres o con la familia.</w:t>
      </w:r>
    </w:p>
    <w:p w14:paraId="174816F3"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263B7B14" w14:textId="51CDB4F3" w:rsidR="006F69B8" w:rsidRPr="00696640" w:rsidRDefault="1B90EFF8"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 xml:space="preserve">Para promover la noción de cuidados comunitarios, desde las instituciones </w:t>
      </w:r>
      <w:r w:rsidR="00F971C2">
        <w:rPr>
          <w:rFonts w:ascii="Noto Sans" w:eastAsia="Aptos" w:hAnsi="Noto Sans" w:cs="Noto Sans"/>
          <w:color w:val="000000" w:themeColor="text1"/>
          <w:sz w:val="22"/>
          <w:szCs w:val="22"/>
        </w:rPr>
        <w:t>se advierte como necesaria</w:t>
      </w:r>
      <w:r w:rsidRPr="00696640">
        <w:rPr>
          <w:rFonts w:ascii="Noto Sans" w:eastAsia="Aptos" w:hAnsi="Noto Sans" w:cs="Noto Sans"/>
          <w:color w:val="000000" w:themeColor="text1"/>
          <w:sz w:val="22"/>
          <w:szCs w:val="22"/>
        </w:rPr>
        <w:t xml:space="preserve"> la colaboración entre el Estado, la comunidad, las familias y las personas cuidadoras, las organizaciones civiles, juntas vecinales u otros actores que estén interesadas o cuenten con trabajo previo en materia de cuidados comunitarios. Dicha colaboración debe tener un enfoque intercultural e intergeneracional.</w:t>
      </w:r>
    </w:p>
    <w:p w14:paraId="34737B41" w14:textId="77777777" w:rsidR="00C00252" w:rsidRPr="00696640" w:rsidRDefault="00C00252" w:rsidP="00C00252">
      <w:pPr>
        <w:spacing w:after="0" w:line="240" w:lineRule="auto"/>
        <w:jc w:val="both"/>
        <w:rPr>
          <w:rFonts w:ascii="Noto Sans" w:eastAsia="Aptos" w:hAnsi="Noto Sans" w:cs="Noto Sans"/>
          <w:color w:val="000000" w:themeColor="text1"/>
          <w:sz w:val="22"/>
          <w:szCs w:val="22"/>
        </w:rPr>
      </w:pPr>
    </w:p>
    <w:p w14:paraId="574AAEC8" w14:textId="1B641446" w:rsidR="006F69B8" w:rsidRPr="00696640" w:rsidRDefault="1B90EFF8" w:rsidP="00C00252">
      <w:pPr>
        <w:spacing w:after="0" w:line="240" w:lineRule="auto"/>
        <w:jc w:val="both"/>
        <w:rPr>
          <w:rFonts w:ascii="Noto Sans" w:eastAsia="Aptos" w:hAnsi="Noto Sans" w:cs="Noto Sans"/>
          <w:color w:val="000000" w:themeColor="text1"/>
          <w:sz w:val="22"/>
          <w:szCs w:val="22"/>
        </w:rPr>
      </w:pPr>
      <w:r w:rsidRPr="00696640">
        <w:rPr>
          <w:rFonts w:ascii="Noto Sans" w:eastAsia="Aptos" w:hAnsi="Noto Sans" w:cs="Noto Sans"/>
          <w:color w:val="000000" w:themeColor="text1"/>
          <w:sz w:val="22"/>
          <w:szCs w:val="22"/>
        </w:rPr>
        <w:t>Asimismo, se requiere de financiamiento por parte de dependencias que otorguen pagos a las personas que brindan cuidados comunitarios, asegurando condiciones dignas, así como brindar espacios que funcionen como centros comunitarios de cuidado, donde las personas puedan desempeñar labores de cuidado para fortalecer redes de apoyo.</w:t>
      </w:r>
    </w:p>
    <w:sectPr w:rsidR="006F69B8" w:rsidRPr="00696640">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27613" w14:textId="77777777" w:rsidR="00F55F74" w:rsidRDefault="00F55F74" w:rsidP="00A72786">
      <w:pPr>
        <w:spacing w:after="0" w:line="240" w:lineRule="auto"/>
      </w:pPr>
      <w:r>
        <w:separator/>
      </w:r>
    </w:p>
  </w:endnote>
  <w:endnote w:type="continuationSeparator" w:id="0">
    <w:p w14:paraId="0494C74D" w14:textId="77777777" w:rsidR="00F55F74" w:rsidRDefault="00F55F74" w:rsidP="00A72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w:altName w:val="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7120E" w14:textId="77777777" w:rsidR="00A6550D" w:rsidRPr="00A6550D" w:rsidRDefault="00A6550D" w:rsidP="00A6550D">
    <w:pPr>
      <w:pStyle w:val="Piedepgina"/>
      <w:jc w:val="right"/>
      <w:rPr>
        <w:rFonts w:ascii="Noto Sans" w:hAnsi="Noto Sans" w:cs="Noto Sans"/>
        <w:b/>
        <w:bCs/>
        <w:color w:val="000000" w:themeColor="text1"/>
        <w:sz w:val="18"/>
        <w:szCs w:val="18"/>
      </w:rPr>
    </w:pPr>
    <w:r w:rsidRPr="00A6550D">
      <w:rPr>
        <w:rFonts w:ascii="Noto Sans" w:hAnsi="Noto Sans" w:cs="Noto Sans"/>
        <w:b/>
        <w:bCs/>
        <w:color w:val="000000" w:themeColor="text1"/>
        <w:sz w:val="18"/>
        <w:szCs w:val="18"/>
      </w:rPr>
      <w:t xml:space="preserve">Página </w:t>
    </w:r>
    <w:r w:rsidRPr="00A6550D">
      <w:rPr>
        <w:rFonts w:ascii="Noto Sans" w:hAnsi="Noto Sans" w:cs="Noto Sans"/>
        <w:b/>
        <w:bCs/>
        <w:color w:val="000000" w:themeColor="text1"/>
        <w:sz w:val="18"/>
        <w:szCs w:val="18"/>
      </w:rPr>
      <w:fldChar w:fldCharType="begin"/>
    </w:r>
    <w:r w:rsidRPr="00A6550D">
      <w:rPr>
        <w:rFonts w:ascii="Noto Sans" w:hAnsi="Noto Sans" w:cs="Noto Sans"/>
        <w:b/>
        <w:bCs/>
        <w:color w:val="000000" w:themeColor="text1"/>
        <w:sz w:val="18"/>
        <w:szCs w:val="18"/>
      </w:rPr>
      <w:instrText>PAGE  \* Arabic  \* MERGEFORMAT</w:instrText>
    </w:r>
    <w:r w:rsidRPr="00A6550D">
      <w:rPr>
        <w:rFonts w:ascii="Noto Sans" w:hAnsi="Noto Sans" w:cs="Noto Sans"/>
        <w:b/>
        <w:bCs/>
        <w:color w:val="000000" w:themeColor="text1"/>
        <w:sz w:val="18"/>
        <w:szCs w:val="18"/>
      </w:rPr>
      <w:fldChar w:fldCharType="separate"/>
    </w:r>
    <w:r w:rsidRPr="00A6550D">
      <w:rPr>
        <w:rFonts w:ascii="Noto Sans" w:hAnsi="Noto Sans" w:cs="Noto Sans"/>
        <w:b/>
        <w:bCs/>
        <w:color w:val="000000" w:themeColor="text1"/>
        <w:sz w:val="18"/>
        <w:szCs w:val="18"/>
      </w:rPr>
      <w:t>2</w:t>
    </w:r>
    <w:r w:rsidRPr="00A6550D">
      <w:rPr>
        <w:rFonts w:ascii="Noto Sans" w:hAnsi="Noto Sans" w:cs="Noto Sans"/>
        <w:b/>
        <w:bCs/>
        <w:color w:val="000000" w:themeColor="text1"/>
        <w:sz w:val="18"/>
        <w:szCs w:val="18"/>
      </w:rPr>
      <w:fldChar w:fldCharType="end"/>
    </w:r>
    <w:r w:rsidRPr="00A6550D">
      <w:rPr>
        <w:rFonts w:ascii="Noto Sans" w:hAnsi="Noto Sans" w:cs="Noto Sans"/>
        <w:b/>
        <w:bCs/>
        <w:color w:val="000000" w:themeColor="text1"/>
        <w:sz w:val="18"/>
        <w:szCs w:val="18"/>
      </w:rPr>
      <w:t xml:space="preserve"> de </w:t>
    </w:r>
    <w:r w:rsidRPr="00A6550D">
      <w:rPr>
        <w:rFonts w:ascii="Noto Sans" w:hAnsi="Noto Sans" w:cs="Noto Sans"/>
        <w:b/>
        <w:bCs/>
        <w:color w:val="000000" w:themeColor="text1"/>
        <w:sz w:val="18"/>
        <w:szCs w:val="18"/>
      </w:rPr>
      <w:fldChar w:fldCharType="begin"/>
    </w:r>
    <w:r w:rsidRPr="00A6550D">
      <w:rPr>
        <w:rFonts w:ascii="Noto Sans" w:hAnsi="Noto Sans" w:cs="Noto Sans"/>
        <w:b/>
        <w:bCs/>
        <w:color w:val="000000" w:themeColor="text1"/>
        <w:sz w:val="18"/>
        <w:szCs w:val="18"/>
      </w:rPr>
      <w:instrText>NUMPAGES  \* Arabic  \* MERGEFORMAT</w:instrText>
    </w:r>
    <w:r w:rsidRPr="00A6550D">
      <w:rPr>
        <w:rFonts w:ascii="Noto Sans" w:hAnsi="Noto Sans" w:cs="Noto Sans"/>
        <w:b/>
        <w:bCs/>
        <w:color w:val="000000" w:themeColor="text1"/>
        <w:sz w:val="18"/>
        <w:szCs w:val="18"/>
      </w:rPr>
      <w:fldChar w:fldCharType="separate"/>
    </w:r>
    <w:r w:rsidRPr="00A6550D">
      <w:rPr>
        <w:rFonts w:ascii="Noto Sans" w:hAnsi="Noto Sans" w:cs="Noto Sans"/>
        <w:b/>
        <w:bCs/>
        <w:color w:val="000000" w:themeColor="text1"/>
        <w:sz w:val="18"/>
        <w:szCs w:val="18"/>
      </w:rPr>
      <w:t>2</w:t>
    </w:r>
    <w:r w:rsidRPr="00A6550D">
      <w:rPr>
        <w:rFonts w:ascii="Noto Sans" w:hAnsi="Noto Sans" w:cs="Noto Sans"/>
        <w:b/>
        <w:bCs/>
        <w:color w:val="000000" w:themeColor="text1"/>
        <w:sz w:val="18"/>
        <w:szCs w:val="18"/>
      </w:rPr>
      <w:fldChar w:fldCharType="end"/>
    </w:r>
  </w:p>
  <w:p w14:paraId="52A7F24C" w14:textId="77777777" w:rsidR="00A6550D" w:rsidRDefault="00A655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49500" w14:textId="77777777" w:rsidR="00F55F74" w:rsidRDefault="00F55F74" w:rsidP="00A72786">
      <w:pPr>
        <w:spacing w:after="0" w:line="240" w:lineRule="auto"/>
      </w:pPr>
      <w:r>
        <w:separator/>
      </w:r>
    </w:p>
  </w:footnote>
  <w:footnote w:type="continuationSeparator" w:id="0">
    <w:p w14:paraId="6207C6F8" w14:textId="77777777" w:rsidR="00F55F74" w:rsidRDefault="00F55F74" w:rsidP="00A72786">
      <w:pPr>
        <w:spacing w:after="0" w:line="240" w:lineRule="auto"/>
      </w:pPr>
      <w:r>
        <w:continuationSeparator/>
      </w:r>
    </w:p>
  </w:footnote>
  <w:footnote w:id="1">
    <w:p w14:paraId="5B1A562D" w14:textId="630FC0A5" w:rsidR="790F1ADA" w:rsidRDefault="790F1ADA" w:rsidP="790F1ADA">
      <w:pPr>
        <w:pStyle w:val="Textonotapie"/>
      </w:pPr>
      <w:r w:rsidRPr="790F1ADA">
        <w:rPr>
          <w:rStyle w:val="Refdenotaalpie"/>
        </w:rPr>
        <w:footnoteRef/>
      </w:r>
      <w:r>
        <w:t xml:space="preserve"> </w:t>
      </w:r>
      <w:r w:rsidRPr="790F1ADA">
        <w:rPr>
          <w:rFonts w:ascii="Noto Sans" w:eastAsia="Noto Sans" w:hAnsi="Noto Sans" w:cs="Noto Sans"/>
          <w:color w:val="000000" w:themeColor="text1"/>
          <w:sz w:val="16"/>
          <w:szCs w:val="16"/>
        </w:rPr>
        <w:t>Instituto Nacional de Geriatría. (2025). Programa Institucional 2025-2030. Secretaría de Salud.</w:t>
      </w:r>
    </w:p>
  </w:footnote>
  <w:footnote w:id="2">
    <w:p w14:paraId="7FAFBD23" w14:textId="3415D4EA" w:rsidR="000C27C7" w:rsidRPr="000C27C7" w:rsidRDefault="000C27C7" w:rsidP="000C27C7">
      <w:pPr>
        <w:pStyle w:val="Textonotapie"/>
        <w:jc w:val="both"/>
        <w:rPr>
          <w:rFonts w:ascii="Noto Sans" w:hAnsi="Noto Sans" w:cs="Noto Sans"/>
          <w:sz w:val="18"/>
          <w:szCs w:val="18"/>
        </w:rPr>
      </w:pPr>
      <w:r w:rsidRPr="000C27C7">
        <w:rPr>
          <w:rStyle w:val="Refdenotaalpie"/>
          <w:rFonts w:ascii="Noto Sans" w:hAnsi="Noto Sans" w:cs="Noto Sans"/>
          <w:sz w:val="18"/>
          <w:szCs w:val="18"/>
        </w:rPr>
        <w:footnoteRef/>
      </w:r>
      <w:r w:rsidRPr="000C27C7">
        <w:rPr>
          <w:rFonts w:ascii="Noto Sans" w:hAnsi="Noto Sans" w:cs="Noto Sans"/>
          <w:sz w:val="18"/>
          <w:szCs w:val="18"/>
        </w:rPr>
        <w:t xml:space="preserve"> Instituto Nacional de Estadística y Geografía (INEGI). (2023). Encuesta Nacional sobre Discriminación (ENADIS) 2022. Presentación ejecutiva de resultados. INEGI. Disponible en: </w:t>
      </w:r>
      <w:hyperlink r:id="rId1" w:history="1">
        <w:r w:rsidRPr="000C27C7">
          <w:rPr>
            <w:rStyle w:val="Hipervnculo"/>
            <w:rFonts w:ascii="Noto Sans" w:hAnsi="Noto Sans" w:cs="Noto Sans"/>
            <w:sz w:val="18"/>
            <w:szCs w:val="18"/>
          </w:rPr>
          <w:t>https://www.inegi.org.mx/contenidos/programas/enadis/2022/doc/enadis2022_resultados.pdf</w:t>
        </w:r>
      </w:hyperlink>
      <w:r w:rsidRPr="000C27C7">
        <w:rPr>
          <w:rFonts w:ascii="Noto Sans" w:hAnsi="Noto Sans" w:cs="Noto Sans"/>
          <w:sz w:val="18"/>
          <w:szCs w:val="18"/>
        </w:rPr>
        <w:t xml:space="preserve"> </w:t>
      </w:r>
    </w:p>
  </w:footnote>
  <w:footnote w:id="3">
    <w:p w14:paraId="3E0A5BF6" w14:textId="456EF03F" w:rsidR="790F1ADA" w:rsidRPr="000C27C7" w:rsidRDefault="790F1ADA" w:rsidP="000C27C7">
      <w:pPr>
        <w:pStyle w:val="Textonotapie"/>
        <w:jc w:val="both"/>
        <w:rPr>
          <w:rFonts w:ascii="Noto Sans" w:eastAsia="Noto Sans" w:hAnsi="Noto Sans" w:cs="Noto Sans"/>
          <w:sz w:val="18"/>
          <w:szCs w:val="18"/>
        </w:rPr>
      </w:pPr>
      <w:r w:rsidRPr="000C27C7">
        <w:rPr>
          <w:rStyle w:val="Refdenotaalpie"/>
          <w:rFonts w:ascii="Noto Sans" w:eastAsia="Noto Sans" w:hAnsi="Noto Sans" w:cs="Noto Sans"/>
          <w:sz w:val="18"/>
          <w:szCs w:val="18"/>
        </w:rPr>
        <w:footnoteRef/>
      </w:r>
      <w:r w:rsidRPr="000C27C7">
        <w:rPr>
          <w:rFonts w:ascii="Noto Sans" w:eastAsia="Noto Sans" w:hAnsi="Noto Sans" w:cs="Noto Sans"/>
          <w:sz w:val="18"/>
          <w:szCs w:val="18"/>
        </w:rPr>
        <w:t xml:space="preserve"> </w:t>
      </w:r>
      <w:r w:rsidRPr="000C27C7">
        <w:rPr>
          <w:rFonts w:ascii="Noto Sans" w:eastAsia="Noto Sans" w:hAnsi="Noto Sans" w:cs="Noto Sans"/>
          <w:color w:val="000000" w:themeColor="text1"/>
          <w:sz w:val="18"/>
          <w:szCs w:val="18"/>
        </w:rPr>
        <w:t>Instituto Nacional de Geriatría. (2025). Modelo de Atención y Cuidados Integrales Centrados en las Personas Mayores y su Comunidad (MACICPMC). Dirección Médica. Documento técnico interno.</w:t>
      </w:r>
    </w:p>
  </w:footnote>
  <w:footnote w:id="4">
    <w:p w14:paraId="79B47B80" w14:textId="6B0FF891" w:rsidR="790F1ADA" w:rsidRDefault="790F1ADA" w:rsidP="000C27C7">
      <w:pPr>
        <w:pStyle w:val="Textonotapie"/>
        <w:jc w:val="both"/>
        <w:rPr>
          <w:rFonts w:ascii="Noto Sans" w:eastAsia="Noto Sans" w:hAnsi="Noto Sans" w:cs="Noto Sans"/>
          <w:sz w:val="16"/>
          <w:szCs w:val="16"/>
        </w:rPr>
      </w:pPr>
      <w:r w:rsidRPr="000C27C7">
        <w:rPr>
          <w:rStyle w:val="Refdenotaalpie"/>
          <w:rFonts w:ascii="Noto Sans" w:eastAsia="Noto Sans" w:hAnsi="Noto Sans" w:cs="Noto Sans"/>
          <w:sz w:val="18"/>
          <w:szCs w:val="18"/>
        </w:rPr>
        <w:footnoteRef/>
      </w:r>
      <w:r w:rsidRPr="000C27C7">
        <w:rPr>
          <w:rFonts w:ascii="Noto Sans" w:eastAsia="Noto Sans" w:hAnsi="Noto Sans" w:cs="Noto Sans"/>
          <w:sz w:val="18"/>
          <w:szCs w:val="18"/>
        </w:rPr>
        <w:t xml:space="preserve">  </w:t>
      </w:r>
      <w:r w:rsidRPr="000C27C7">
        <w:rPr>
          <w:rFonts w:ascii="Noto Sans" w:eastAsia="Noto Sans" w:hAnsi="Noto Sans" w:cs="Noto Sans"/>
          <w:color w:val="000000" w:themeColor="text1"/>
          <w:sz w:val="18"/>
          <w:szCs w:val="18"/>
        </w:rPr>
        <w:t>Organización Mundial de la Salud. (2020). Década del Envejecimiento Saludable 2021-2030. Disponible en: https://www.who.int/es/initiatives/decade-of-healthy-ageing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963E" w14:textId="032A2971" w:rsidR="00A72786" w:rsidRDefault="00A72786">
    <w:pPr>
      <w:pStyle w:val="Encabezado"/>
    </w:pPr>
    <w:r>
      <w:rPr>
        <w:noProof/>
        <w:color w:val="000000"/>
      </w:rPr>
      <w:drawing>
        <wp:anchor distT="0" distB="0" distL="114300" distR="114300" simplePos="0" relativeHeight="251659264" behindDoc="0" locked="0" layoutInCell="1" hidden="0" allowOverlap="1" wp14:anchorId="038485A8" wp14:editId="351BBF4D">
          <wp:simplePos x="0" y="0"/>
          <wp:positionH relativeFrom="margin">
            <wp:posOffset>47625</wp:posOffset>
          </wp:positionH>
          <wp:positionV relativeFrom="margin">
            <wp:posOffset>-608591</wp:posOffset>
          </wp:positionV>
          <wp:extent cx="2809875" cy="431165"/>
          <wp:effectExtent l="0" t="0" r="0" b="0"/>
          <wp:wrapSquare wrapText="bothSides" distT="0" distB="0" distL="114300" distR="114300"/>
          <wp:docPr id="8642689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09875" cy="431165"/>
                  </a:xfrm>
                  <a:prstGeom prst="rect">
                    <a:avLst/>
                  </a:prstGeom>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4386"/>
    <w:multiLevelType w:val="multilevel"/>
    <w:tmpl w:val="54862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1539CC"/>
    <w:multiLevelType w:val="multilevel"/>
    <w:tmpl w:val="F168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53C6C"/>
    <w:multiLevelType w:val="hybridMultilevel"/>
    <w:tmpl w:val="DED66DA0"/>
    <w:lvl w:ilvl="0" w:tplc="080A0015">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06A93DFB"/>
    <w:multiLevelType w:val="multilevel"/>
    <w:tmpl w:val="329C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7F1C93"/>
    <w:multiLevelType w:val="multilevel"/>
    <w:tmpl w:val="C2C2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5201DD"/>
    <w:multiLevelType w:val="hybridMultilevel"/>
    <w:tmpl w:val="5890FD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8954DF6"/>
    <w:multiLevelType w:val="multilevel"/>
    <w:tmpl w:val="1684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E10CF9"/>
    <w:multiLevelType w:val="hybridMultilevel"/>
    <w:tmpl w:val="C9009228"/>
    <w:lvl w:ilvl="0" w:tplc="04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8B631BF"/>
    <w:multiLevelType w:val="multilevel"/>
    <w:tmpl w:val="42AE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D1808B7"/>
    <w:multiLevelType w:val="multilevel"/>
    <w:tmpl w:val="0BBA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65208BA"/>
    <w:multiLevelType w:val="multilevel"/>
    <w:tmpl w:val="F9A4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7B2359D"/>
    <w:multiLevelType w:val="hybridMultilevel"/>
    <w:tmpl w:val="7BAE462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77B818CB"/>
    <w:multiLevelType w:val="multilevel"/>
    <w:tmpl w:val="54862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2649585">
    <w:abstractNumId w:val="9"/>
  </w:num>
  <w:num w:numId="2" w16cid:durableId="523517528">
    <w:abstractNumId w:val="4"/>
  </w:num>
  <w:num w:numId="3" w16cid:durableId="770902852">
    <w:abstractNumId w:val="10"/>
  </w:num>
  <w:num w:numId="4" w16cid:durableId="863059383">
    <w:abstractNumId w:val="6"/>
  </w:num>
  <w:num w:numId="5" w16cid:durableId="1300766935">
    <w:abstractNumId w:val="8"/>
  </w:num>
  <w:num w:numId="6" w16cid:durableId="575823721">
    <w:abstractNumId w:val="5"/>
  </w:num>
  <w:num w:numId="7" w16cid:durableId="1417020311">
    <w:abstractNumId w:val="0"/>
  </w:num>
  <w:num w:numId="8" w16cid:durableId="1341008868">
    <w:abstractNumId w:val="12"/>
  </w:num>
  <w:num w:numId="9" w16cid:durableId="323320136">
    <w:abstractNumId w:val="3"/>
  </w:num>
  <w:num w:numId="10" w16cid:durableId="756249363">
    <w:abstractNumId w:val="1"/>
  </w:num>
  <w:num w:numId="11" w16cid:durableId="877199984">
    <w:abstractNumId w:val="11"/>
  </w:num>
  <w:num w:numId="12" w16cid:durableId="1592272350">
    <w:abstractNumId w:val="2"/>
  </w:num>
  <w:num w:numId="13" w16cid:durableId="17652272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C89"/>
    <w:rsid w:val="00072617"/>
    <w:rsid w:val="00074F32"/>
    <w:rsid w:val="000C27C7"/>
    <w:rsid w:val="001020E9"/>
    <w:rsid w:val="001A62D4"/>
    <w:rsid w:val="001D5BF9"/>
    <w:rsid w:val="001F11A7"/>
    <w:rsid w:val="00204650"/>
    <w:rsid w:val="00327D4B"/>
    <w:rsid w:val="003A0439"/>
    <w:rsid w:val="003C34AA"/>
    <w:rsid w:val="003D1609"/>
    <w:rsid w:val="00494C48"/>
    <w:rsid w:val="004D572D"/>
    <w:rsid w:val="004E6819"/>
    <w:rsid w:val="00517D92"/>
    <w:rsid w:val="0053254B"/>
    <w:rsid w:val="005552DA"/>
    <w:rsid w:val="00557E7B"/>
    <w:rsid w:val="00562701"/>
    <w:rsid w:val="005C1734"/>
    <w:rsid w:val="00623E0B"/>
    <w:rsid w:val="00630C89"/>
    <w:rsid w:val="00673909"/>
    <w:rsid w:val="00696640"/>
    <w:rsid w:val="006D6D8E"/>
    <w:rsid w:val="006F69B8"/>
    <w:rsid w:val="00715CE3"/>
    <w:rsid w:val="007A6394"/>
    <w:rsid w:val="007A7F55"/>
    <w:rsid w:val="007C7152"/>
    <w:rsid w:val="007E78A6"/>
    <w:rsid w:val="0084364F"/>
    <w:rsid w:val="008B6F81"/>
    <w:rsid w:val="009B052E"/>
    <w:rsid w:val="009B6B6C"/>
    <w:rsid w:val="00A41D27"/>
    <w:rsid w:val="00A5427C"/>
    <w:rsid w:val="00A558F3"/>
    <w:rsid w:val="00A6283A"/>
    <w:rsid w:val="00A6550D"/>
    <w:rsid w:val="00A72786"/>
    <w:rsid w:val="00A7327E"/>
    <w:rsid w:val="00AA78D1"/>
    <w:rsid w:val="00AD5AA0"/>
    <w:rsid w:val="00AF0FFE"/>
    <w:rsid w:val="00B604E6"/>
    <w:rsid w:val="00B61B2D"/>
    <w:rsid w:val="00BD33D8"/>
    <w:rsid w:val="00C00252"/>
    <w:rsid w:val="00C8588B"/>
    <w:rsid w:val="00C92E3A"/>
    <w:rsid w:val="00CE0650"/>
    <w:rsid w:val="00D10728"/>
    <w:rsid w:val="00D33ECC"/>
    <w:rsid w:val="00D56A43"/>
    <w:rsid w:val="00E04551"/>
    <w:rsid w:val="00E255A7"/>
    <w:rsid w:val="00E433D9"/>
    <w:rsid w:val="00E7752D"/>
    <w:rsid w:val="00E93B78"/>
    <w:rsid w:val="00EA2BBF"/>
    <w:rsid w:val="00EC447E"/>
    <w:rsid w:val="00EF186B"/>
    <w:rsid w:val="00F55F74"/>
    <w:rsid w:val="00F621A0"/>
    <w:rsid w:val="00F938BE"/>
    <w:rsid w:val="00F971C2"/>
    <w:rsid w:val="0269A2FC"/>
    <w:rsid w:val="02C0C079"/>
    <w:rsid w:val="0396493E"/>
    <w:rsid w:val="039F71C6"/>
    <w:rsid w:val="03F17D72"/>
    <w:rsid w:val="0440635A"/>
    <w:rsid w:val="0559A3F2"/>
    <w:rsid w:val="05A656DD"/>
    <w:rsid w:val="068BF91D"/>
    <w:rsid w:val="07D5650B"/>
    <w:rsid w:val="0850C32B"/>
    <w:rsid w:val="08A3D8AA"/>
    <w:rsid w:val="0A1C61C3"/>
    <w:rsid w:val="0A2F340B"/>
    <w:rsid w:val="0C15BE19"/>
    <w:rsid w:val="0C41F34E"/>
    <w:rsid w:val="0D0B20F1"/>
    <w:rsid w:val="0D9E7277"/>
    <w:rsid w:val="0F8066CF"/>
    <w:rsid w:val="10EDDEFC"/>
    <w:rsid w:val="119326B4"/>
    <w:rsid w:val="12408444"/>
    <w:rsid w:val="12413420"/>
    <w:rsid w:val="12FE5B8E"/>
    <w:rsid w:val="135EEAE1"/>
    <w:rsid w:val="13E77ED7"/>
    <w:rsid w:val="1476736F"/>
    <w:rsid w:val="14A6273C"/>
    <w:rsid w:val="14DDF5B0"/>
    <w:rsid w:val="15A8A791"/>
    <w:rsid w:val="15C9B5B7"/>
    <w:rsid w:val="15E0ABC4"/>
    <w:rsid w:val="1716A425"/>
    <w:rsid w:val="17D0CEBE"/>
    <w:rsid w:val="181DE1AE"/>
    <w:rsid w:val="181E882D"/>
    <w:rsid w:val="18FB522E"/>
    <w:rsid w:val="1954EDA9"/>
    <w:rsid w:val="1AD5DD1F"/>
    <w:rsid w:val="1B90EFF8"/>
    <w:rsid w:val="1BC4A47B"/>
    <w:rsid w:val="1C3F801F"/>
    <w:rsid w:val="1C7B8D81"/>
    <w:rsid w:val="1CC8951D"/>
    <w:rsid w:val="1CCAB02D"/>
    <w:rsid w:val="1DA6476B"/>
    <w:rsid w:val="1DBCF955"/>
    <w:rsid w:val="1E52256B"/>
    <w:rsid w:val="1E6DE92E"/>
    <w:rsid w:val="1EB5D377"/>
    <w:rsid w:val="1ED474E2"/>
    <w:rsid w:val="1F35E914"/>
    <w:rsid w:val="201FC1FD"/>
    <w:rsid w:val="20D00F96"/>
    <w:rsid w:val="20F7F4D8"/>
    <w:rsid w:val="220F102B"/>
    <w:rsid w:val="22B2BB28"/>
    <w:rsid w:val="23034529"/>
    <w:rsid w:val="235F5160"/>
    <w:rsid w:val="24A1EE3F"/>
    <w:rsid w:val="25729292"/>
    <w:rsid w:val="2603E5E7"/>
    <w:rsid w:val="26EE0425"/>
    <w:rsid w:val="27652A7D"/>
    <w:rsid w:val="27B119B9"/>
    <w:rsid w:val="27C02911"/>
    <w:rsid w:val="28E23804"/>
    <w:rsid w:val="28E67D45"/>
    <w:rsid w:val="29991196"/>
    <w:rsid w:val="2A413C54"/>
    <w:rsid w:val="2C6C8B75"/>
    <w:rsid w:val="2D29B218"/>
    <w:rsid w:val="3256DE19"/>
    <w:rsid w:val="33AD1B96"/>
    <w:rsid w:val="362A0E56"/>
    <w:rsid w:val="37757194"/>
    <w:rsid w:val="38032123"/>
    <w:rsid w:val="382B3FC2"/>
    <w:rsid w:val="38A523AF"/>
    <w:rsid w:val="393278FF"/>
    <w:rsid w:val="3938404C"/>
    <w:rsid w:val="39B71075"/>
    <w:rsid w:val="39C683F2"/>
    <w:rsid w:val="39E65E83"/>
    <w:rsid w:val="3AA3EDBF"/>
    <w:rsid w:val="3B1F45E7"/>
    <w:rsid w:val="3B88E8BF"/>
    <w:rsid w:val="3C4C6028"/>
    <w:rsid w:val="3D02BB43"/>
    <w:rsid w:val="3DC3ACA3"/>
    <w:rsid w:val="3DE761D7"/>
    <w:rsid w:val="3DE81898"/>
    <w:rsid w:val="3F2DFDCD"/>
    <w:rsid w:val="3F811600"/>
    <w:rsid w:val="3FBB4C08"/>
    <w:rsid w:val="3FF440C0"/>
    <w:rsid w:val="40FAA0DA"/>
    <w:rsid w:val="41A571E0"/>
    <w:rsid w:val="41ABE61D"/>
    <w:rsid w:val="41F60A2A"/>
    <w:rsid w:val="425C288F"/>
    <w:rsid w:val="43162003"/>
    <w:rsid w:val="4333DC8C"/>
    <w:rsid w:val="434EB9C6"/>
    <w:rsid w:val="44B02DFA"/>
    <w:rsid w:val="4570B49B"/>
    <w:rsid w:val="45E35997"/>
    <w:rsid w:val="465AE40D"/>
    <w:rsid w:val="478510AC"/>
    <w:rsid w:val="478AD6E6"/>
    <w:rsid w:val="48FCEC61"/>
    <w:rsid w:val="499F61CD"/>
    <w:rsid w:val="4AE60A41"/>
    <w:rsid w:val="4B53E1F8"/>
    <w:rsid w:val="4C83549B"/>
    <w:rsid w:val="4DF05870"/>
    <w:rsid w:val="4F85442F"/>
    <w:rsid w:val="50DF0581"/>
    <w:rsid w:val="517596FC"/>
    <w:rsid w:val="517DC11C"/>
    <w:rsid w:val="517FC10B"/>
    <w:rsid w:val="51ACC216"/>
    <w:rsid w:val="51D01E8E"/>
    <w:rsid w:val="529202D8"/>
    <w:rsid w:val="538F6DD1"/>
    <w:rsid w:val="53992E99"/>
    <w:rsid w:val="567AD985"/>
    <w:rsid w:val="570674D8"/>
    <w:rsid w:val="575C2F89"/>
    <w:rsid w:val="587EFD28"/>
    <w:rsid w:val="58CA6D61"/>
    <w:rsid w:val="59147CD0"/>
    <w:rsid w:val="592BA33A"/>
    <w:rsid w:val="5A787F7F"/>
    <w:rsid w:val="5A91CEAF"/>
    <w:rsid w:val="5BFDE99D"/>
    <w:rsid w:val="5C67E364"/>
    <w:rsid w:val="5C8B1117"/>
    <w:rsid w:val="5CC136A8"/>
    <w:rsid w:val="5DF8C5B4"/>
    <w:rsid w:val="5E9B0B22"/>
    <w:rsid w:val="5F9C4BF3"/>
    <w:rsid w:val="60ED3B00"/>
    <w:rsid w:val="6163A03F"/>
    <w:rsid w:val="61FDB4F9"/>
    <w:rsid w:val="627A6585"/>
    <w:rsid w:val="652EF898"/>
    <w:rsid w:val="6557EEAC"/>
    <w:rsid w:val="65747D53"/>
    <w:rsid w:val="65AA7392"/>
    <w:rsid w:val="66132466"/>
    <w:rsid w:val="68161CFA"/>
    <w:rsid w:val="69E874A6"/>
    <w:rsid w:val="6A12499E"/>
    <w:rsid w:val="6A8E13A7"/>
    <w:rsid w:val="6AA157C6"/>
    <w:rsid w:val="6AF2C56F"/>
    <w:rsid w:val="6AFFAAD2"/>
    <w:rsid w:val="6B0CF0ED"/>
    <w:rsid w:val="6B922DFE"/>
    <w:rsid w:val="6BD3B988"/>
    <w:rsid w:val="6C32EE9C"/>
    <w:rsid w:val="6C3FE0B0"/>
    <w:rsid w:val="6C961184"/>
    <w:rsid w:val="6CDE7C2C"/>
    <w:rsid w:val="6CEB615C"/>
    <w:rsid w:val="6D19B2F5"/>
    <w:rsid w:val="6D684C36"/>
    <w:rsid w:val="6D6EDCF7"/>
    <w:rsid w:val="6F932922"/>
    <w:rsid w:val="7009B7A4"/>
    <w:rsid w:val="703E3D48"/>
    <w:rsid w:val="709F5A00"/>
    <w:rsid w:val="70BB82BF"/>
    <w:rsid w:val="719383FF"/>
    <w:rsid w:val="71D55369"/>
    <w:rsid w:val="7240275F"/>
    <w:rsid w:val="726B779A"/>
    <w:rsid w:val="74C7010B"/>
    <w:rsid w:val="75472E8F"/>
    <w:rsid w:val="75593D38"/>
    <w:rsid w:val="75AFBD82"/>
    <w:rsid w:val="75F9E675"/>
    <w:rsid w:val="77B6D7B7"/>
    <w:rsid w:val="78A557F3"/>
    <w:rsid w:val="78AF0490"/>
    <w:rsid w:val="790F1ADA"/>
    <w:rsid w:val="79417595"/>
    <w:rsid w:val="798747F5"/>
    <w:rsid w:val="7AE36FF4"/>
    <w:rsid w:val="7B909F15"/>
    <w:rsid w:val="7C345366"/>
    <w:rsid w:val="7C5DEA32"/>
    <w:rsid w:val="7DA474EC"/>
    <w:rsid w:val="7DC3CEAB"/>
    <w:rsid w:val="7F1E426B"/>
    <w:rsid w:val="7F498EDC"/>
    <w:rsid w:val="7F4F44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A2F48"/>
  <w15:chartTrackingRefBased/>
  <w15:docId w15:val="{BED60B5E-5FE6-4F83-A479-1D91499E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30C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0C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0C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0C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0C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0C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0C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0C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0C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1C7B8D81"/>
    <w:rPr>
      <w:rFonts w:asciiTheme="majorHAnsi" w:eastAsiaTheme="majorEastAsia" w:hAnsiTheme="majorHAnsi" w:cstheme="majorBidi"/>
      <w:color w:val="0F4761" w:themeColor="accent1" w:themeShade="BF"/>
      <w:sz w:val="40"/>
      <w:szCs w:val="40"/>
    </w:rPr>
  </w:style>
  <w:style w:type="character" w:customStyle="1" w:styleId="Ttulo2Car">
    <w:name w:val="Título 2 Car"/>
    <w:link w:val="Ttulo2"/>
    <w:uiPriority w:val="9"/>
    <w:semiHidden/>
    <w:rsid w:val="1C7B8D81"/>
    <w:rPr>
      <w:rFonts w:asciiTheme="majorHAnsi" w:eastAsiaTheme="majorEastAsia" w:hAnsiTheme="majorHAnsi" w:cstheme="majorBidi"/>
      <w:color w:val="0F4761" w:themeColor="accent1" w:themeShade="BF"/>
      <w:sz w:val="32"/>
      <w:szCs w:val="32"/>
    </w:rPr>
  </w:style>
  <w:style w:type="character" w:customStyle="1" w:styleId="Ttulo3Car">
    <w:name w:val="Título 3 Car"/>
    <w:link w:val="Ttulo3"/>
    <w:uiPriority w:val="9"/>
    <w:semiHidden/>
    <w:rsid w:val="1C7B8D81"/>
    <w:rPr>
      <w:rFonts w:eastAsiaTheme="majorEastAsia" w:cstheme="majorBidi"/>
      <w:color w:val="0F4761" w:themeColor="accent1" w:themeShade="BF"/>
      <w:sz w:val="28"/>
      <w:szCs w:val="28"/>
    </w:rPr>
  </w:style>
  <w:style w:type="character" w:customStyle="1" w:styleId="Ttulo4Car">
    <w:name w:val="Título 4 Car"/>
    <w:link w:val="Ttulo4"/>
    <w:uiPriority w:val="9"/>
    <w:semiHidden/>
    <w:rsid w:val="1C7B8D81"/>
    <w:rPr>
      <w:rFonts w:eastAsiaTheme="majorEastAsia" w:cstheme="majorBidi"/>
      <w:i/>
      <w:iCs/>
      <w:color w:val="0F4761" w:themeColor="accent1" w:themeShade="BF"/>
    </w:rPr>
  </w:style>
  <w:style w:type="character" w:customStyle="1" w:styleId="Ttulo5Car">
    <w:name w:val="Título 5 Car"/>
    <w:link w:val="Ttulo5"/>
    <w:uiPriority w:val="9"/>
    <w:semiHidden/>
    <w:rsid w:val="1C7B8D81"/>
    <w:rPr>
      <w:rFonts w:eastAsiaTheme="majorEastAsia" w:cstheme="majorBidi"/>
      <w:color w:val="0F4761" w:themeColor="accent1" w:themeShade="BF"/>
    </w:rPr>
  </w:style>
  <w:style w:type="character" w:customStyle="1" w:styleId="Ttulo6Car">
    <w:name w:val="Título 6 Car"/>
    <w:link w:val="Ttulo6"/>
    <w:uiPriority w:val="9"/>
    <w:semiHidden/>
    <w:rsid w:val="1C7B8D81"/>
    <w:rPr>
      <w:rFonts w:eastAsiaTheme="majorEastAsia" w:cstheme="majorBidi"/>
      <w:i/>
      <w:iCs/>
      <w:color w:val="595959" w:themeColor="text1" w:themeTint="A6"/>
    </w:rPr>
  </w:style>
  <w:style w:type="character" w:customStyle="1" w:styleId="Ttulo7Car">
    <w:name w:val="Título 7 Car"/>
    <w:link w:val="Ttulo7"/>
    <w:uiPriority w:val="9"/>
    <w:semiHidden/>
    <w:rsid w:val="1C7B8D81"/>
    <w:rPr>
      <w:rFonts w:eastAsiaTheme="majorEastAsia" w:cstheme="majorBidi"/>
      <w:color w:val="595959" w:themeColor="text1" w:themeTint="A6"/>
    </w:rPr>
  </w:style>
  <w:style w:type="character" w:customStyle="1" w:styleId="Ttulo8Car">
    <w:name w:val="Título 8 Car"/>
    <w:link w:val="Ttulo8"/>
    <w:uiPriority w:val="9"/>
    <w:semiHidden/>
    <w:rsid w:val="1C7B8D81"/>
    <w:rPr>
      <w:rFonts w:eastAsiaTheme="majorEastAsia" w:cstheme="majorBidi"/>
      <w:i/>
      <w:iCs/>
      <w:color w:val="272727"/>
    </w:rPr>
  </w:style>
  <w:style w:type="character" w:customStyle="1" w:styleId="Ttulo9Car">
    <w:name w:val="Título 9 Car"/>
    <w:link w:val="Ttulo9"/>
    <w:uiPriority w:val="9"/>
    <w:semiHidden/>
    <w:rsid w:val="1C7B8D81"/>
    <w:rPr>
      <w:rFonts w:eastAsiaTheme="majorEastAsia" w:cstheme="majorBidi"/>
      <w:color w:val="272727"/>
    </w:rPr>
  </w:style>
  <w:style w:type="paragraph" w:styleId="Ttulo">
    <w:name w:val="Title"/>
    <w:basedOn w:val="Normal"/>
    <w:next w:val="Normal"/>
    <w:link w:val="TtuloCar"/>
    <w:uiPriority w:val="10"/>
    <w:qFormat/>
    <w:rsid w:val="00630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1C7B8D81"/>
    <w:rPr>
      <w:rFonts w:asciiTheme="majorHAnsi" w:eastAsiaTheme="majorEastAsia" w:hAnsiTheme="majorHAnsi" w:cstheme="majorBidi"/>
      <w:sz w:val="56"/>
      <w:szCs w:val="56"/>
    </w:rPr>
  </w:style>
  <w:style w:type="paragraph" w:styleId="Subttulo">
    <w:name w:val="Subtitle"/>
    <w:basedOn w:val="Normal"/>
    <w:next w:val="Normal"/>
    <w:link w:val="SubttuloCar"/>
    <w:uiPriority w:val="11"/>
    <w:qFormat/>
    <w:rsid w:val="00630C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link w:val="Subttulo"/>
    <w:uiPriority w:val="11"/>
    <w:rsid w:val="1C7B8D81"/>
    <w:rPr>
      <w:rFonts w:eastAsiaTheme="majorEastAsia" w:cstheme="majorBidi"/>
      <w:color w:val="595959" w:themeColor="text1" w:themeTint="A6"/>
      <w:sz w:val="28"/>
      <w:szCs w:val="28"/>
    </w:rPr>
  </w:style>
  <w:style w:type="paragraph" w:styleId="Cita">
    <w:name w:val="Quote"/>
    <w:basedOn w:val="Normal"/>
    <w:next w:val="Normal"/>
    <w:link w:val="CitaCar"/>
    <w:uiPriority w:val="29"/>
    <w:qFormat/>
    <w:rsid w:val="00630C89"/>
    <w:pPr>
      <w:spacing w:before="160"/>
      <w:jc w:val="center"/>
    </w:pPr>
    <w:rPr>
      <w:i/>
      <w:iCs/>
      <w:color w:val="404040" w:themeColor="text1" w:themeTint="BF"/>
    </w:rPr>
  </w:style>
  <w:style w:type="character" w:customStyle="1" w:styleId="CitaCar">
    <w:name w:val="Cita Car"/>
    <w:link w:val="Cita"/>
    <w:uiPriority w:val="29"/>
    <w:rsid w:val="1C7B8D81"/>
    <w:rPr>
      <w:i/>
      <w:iCs/>
      <w:color w:val="404040" w:themeColor="text1" w:themeTint="BF"/>
    </w:rPr>
  </w:style>
  <w:style w:type="paragraph" w:styleId="Prrafodelista">
    <w:name w:val="List Paragraph"/>
    <w:basedOn w:val="Normal"/>
    <w:uiPriority w:val="34"/>
    <w:qFormat/>
    <w:rsid w:val="00630C89"/>
    <w:pPr>
      <w:ind w:left="720"/>
      <w:contextualSpacing/>
    </w:pPr>
  </w:style>
  <w:style w:type="character" w:styleId="nfasisintenso">
    <w:name w:val="Intense Emphasis"/>
    <w:uiPriority w:val="21"/>
    <w:qFormat/>
    <w:rsid w:val="1C7B8D81"/>
    <w:rPr>
      <w:i/>
      <w:iCs/>
      <w:color w:val="0F4761" w:themeColor="accent1" w:themeShade="BF"/>
    </w:rPr>
  </w:style>
  <w:style w:type="paragraph" w:styleId="Citadestacada">
    <w:name w:val="Intense Quote"/>
    <w:basedOn w:val="Normal"/>
    <w:next w:val="Normal"/>
    <w:link w:val="CitadestacadaCar"/>
    <w:uiPriority w:val="30"/>
    <w:qFormat/>
    <w:rsid w:val="00630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link w:val="Citadestacada"/>
    <w:uiPriority w:val="30"/>
    <w:rsid w:val="1C7B8D81"/>
    <w:rPr>
      <w:i/>
      <w:iCs/>
      <w:color w:val="0F4761" w:themeColor="accent1" w:themeShade="BF"/>
    </w:rPr>
  </w:style>
  <w:style w:type="character" w:styleId="Referenciaintensa">
    <w:name w:val="Intense Reference"/>
    <w:uiPriority w:val="32"/>
    <w:qFormat/>
    <w:rsid w:val="1C7B8D81"/>
    <w:rPr>
      <w:b/>
      <w:bCs/>
      <w:smallCaps/>
      <w:color w:val="0F4761" w:themeColor="accent1" w:themeShade="BF"/>
    </w:rPr>
  </w:style>
  <w:style w:type="paragraph" w:styleId="Encabezado">
    <w:name w:val="header"/>
    <w:basedOn w:val="Normal"/>
    <w:link w:val="EncabezadoCar"/>
    <w:uiPriority w:val="99"/>
    <w:unhideWhenUsed/>
    <w:rsid w:val="00A72786"/>
    <w:pPr>
      <w:tabs>
        <w:tab w:val="center" w:pos="4419"/>
        <w:tab w:val="right" w:pos="8838"/>
      </w:tabs>
      <w:spacing w:after="0" w:line="240" w:lineRule="auto"/>
    </w:pPr>
  </w:style>
  <w:style w:type="character" w:customStyle="1" w:styleId="EncabezadoCar">
    <w:name w:val="Encabezado Car"/>
    <w:link w:val="Encabezado"/>
    <w:uiPriority w:val="99"/>
    <w:rsid w:val="1C7B8D81"/>
  </w:style>
  <w:style w:type="paragraph" w:styleId="Piedepgina">
    <w:name w:val="footer"/>
    <w:basedOn w:val="Normal"/>
    <w:link w:val="PiedepginaCar"/>
    <w:uiPriority w:val="99"/>
    <w:unhideWhenUsed/>
    <w:rsid w:val="00A72786"/>
    <w:pPr>
      <w:tabs>
        <w:tab w:val="center" w:pos="4419"/>
        <w:tab w:val="right" w:pos="8838"/>
      </w:tabs>
      <w:spacing w:after="0" w:line="240" w:lineRule="auto"/>
    </w:pPr>
  </w:style>
  <w:style w:type="character" w:customStyle="1" w:styleId="PiedepginaCar">
    <w:name w:val="Pie de página Car"/>
    <w:link w:val="Piedepgina"/>
    <w:uiPriority w:val="99"/>
    <w:rsid w:val="1C7B8D81"/>
  </w:style>
  <w:style w:type="character" w:styleId="Hipervnculo">
    <w:name w:val="Hyperlink"/>
    <w:uiPriority w:val="99"/>
    <w:unhideWhenUsed/>
    <w:rsid w:val="1C7B8D81"/>
    <w:rPr>
      <w:color w:val="467886"/>
      <w:u w:val="single"/>
    </w:rPr>
  </w:style>
  <w:style w:type="character" w:styleId="Mencinsinresolver">
    <w:name w:val="Unresolved Mention"/>
    <w:uiPriority w:val="99"/>
    <w:semiHidden/>
    <w:unhideWhenUsed/>
    <w:rsid w:val="1C7B8D81"/>
    <w:rPr>
      <w:color w:val="605E5C"/>
    </w:rPr>
  </w:style>
  <w:style w:type="paragraph" w:styleId="Textonotapie">
    <w:name w:val="footnote text"/>
    <w:basedOn w:val="Normal"/>
    <w:uiPriority w:val="99"/>
    <w:semiHidden/>
    <w:unhideWhenUsed/>
    <w:rsid w:val="1C7B8D81"/>
    <w:pPr>
      <w:spacing w:after="0" w:line="240" w:lineRule="auto"/>
    </w:pPr>
    <w:rPr>
      <w:sz w:val="20"/>
      <w:szCs w:val="20"/>
    </w:rPr>
  </w:style>
  <w:style w:type="character" w:styleId="Refdenotaalpie">
    <w:name w:val="footnote reference"/>
    <w:uiPriority w:val="99"/>
    <w:semiHidden/>
    <w:unhideWhenUsed/>
    <w:rsid w:val="1C7B8D81"/>
    <w:rPr>
      <w:vertAlign w:val="superscript"/>
    </w:rPr>
  </w:style>
  <w:style w:type="paragraph" w:styleId="NormalWeb">
    <w:name w:val="Normal (Web)"/>
    <w:basedOn w:val="Normal"/>
    <w:uiPriority w:val="99"/>
    <w:semiHidden/>
    <w:unhideWhenUsed/>
    <w:rsid w:val="00D10728"/>
    <w:pPr>
      <w:spacing w:before="100" w:beforeAutospacing="1" w:after="100" w:afterAutospacing="1" w:line="240" w:lineRule="auto"/>
    </w:pPr>
    <w:rPr>
      <w:rFonts w:ascii="Times New Roman" w:eastAsia="Times New Roman" w:hAnsi="Times New Roman" w:cs="Times New Roman"/>
      <w:kern w:val="0"/>
      <w:lang w:val="es-ES" w:eastAsia="es-ES_tradnl"/>
      <w14:ligatures w14:val="none"/>
    </w:rPr>
  </w:style>
  <w:style w:type="paragraph" w:styleId="Revisin">
    <w:name w:val="Revision"/>
    <w:hidden/>
    <w:uiPriority w:val="99"/>
    <w:semiHidden/>
    <w:rsid w:val="007A63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negi.org.mx/contenidos/programas/enadis/2022/doc/enadis2022_resultado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Mexico</Contributor>
    <Status xmlns="d42e65b2-cf21-49c1-b27d-d23f90380c0e">Ready to publish</Status>
    <AItagger xmlns="d42e65b2-cf21-49c1-b27d-d23f90380c0e">false</AItagg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564F1-1977-4999-B83F-8A0F74199F90}">
  <ds:schemaRefs>
    <ds:schemaRef ds:uri="http://schemas.microsoft.com/office/2006/metadata/properties"/>
    <ds:schemaRef ds:uri="http://schemas.microsoft.com/office/infopath/2007/PartnerControls"/>
    <ds:schemaRef ds:uri="1b934961-c394-4e4f-96ef-61c1b0a4e57a"/>
  </ds:schemaRefs>
</ds:datastoreItem>
</file>

<file path=customXml/itemProps2.xml><?xml version="1.0" encoding="utf-8"?>
<ds:datastoreItem xmlns:ds="http://schemas.openxmlformats.org/officeDocument/2006/customXml" ds:itemID="{0B159C48-849B-4A63-9264-74464556A067}">
  <ds:schemaRefs>
    <ds:schemaRef ds:uri="http://schemas.microsoft.com/sharepoint/v3/contenttype/forms"/>
  </ds:schemaRefs>
</ds:datastoreItem>
</file>

<file path=customXml/itemProps3.xml><?xml version="1.0" encoding="utf-8"?>
<ds:datastoreItem xmlns:ds="http://schemas.openxmlformats.org/officeDocument/2006/customXml" ds:itemID="{B5E9095A-6590-43DF-9308-E7D49900BE7A}"/>
</file>

<file path=customXml/itemProps4.xml><?xml version="1.0" encoding="utf-8"?>
<ds:datastoreItem xmlns:ds="http://schemas.openxmlformats.org/officeDocument/2006/customXml" ds:itemID="{01270A0B-0EB7-4558-A283-54532947A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2267</Words>
  <Characters>12474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Alcazar Ylizaliturri, Jessica</dc:creator>
  <cp:keywords/>
  <dc:description/>
  <cp:lastModifiedBy>Villanueva Esquivel, Cesar</cp:lastModifiedBy>
  <cp:revision>4</cp:revision>
  <dcterms:created xsi:type="dcterms:W3CDTF">2026-07-03T18:38:00Z</dcterms:created>
  <dcterms:modified xsi:type="dcterms:W3CDTF">2026-07-03T19:10:00Z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