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00B3" w:rsidRPr="006F28E7" w:rsidRDefault="006F28E7" w:rsidP="006F28E7">
      <w:pPr>
        <w:spacing w:after="120"/>
        <w:jc w:val="right"/>
        <w:rPr>
          <w:rFonts w:ascii="Pyidaungsu" w:hAnsi="Pyidaungsu" w:cs="Pyidaungsu"/>
          <w:sz w:val="26"/>
          <w:szCs w:val="26"/>
        </w:rPr>
      </w:pPr>
      <w:bookmarkStart w:id="0" w:name="_GoBack"/>
      <w:bookmarkEnd w:id="0"/>
      <w:r w:rsidRPr="006F28E7">
        <w:rPr>
          <w:rFonts w:ascii="Pyidaungsu" w:hAnsi="Pyidaungsu" w:cs="Pyidaungsu"/>
          <w:sz w:val="26"/>
          <w:szCs w:val="26"/>
        </w:rPr>
        <w:t>Attached</w:t>
      </w:r>
    </w:p>
    <w:p w:rsidR="007100B3" w:rsidRPr="006F28E7" w:rsidRDefault="006F28E7" w:rsidP="006F28E7">
      <w:pPr>
        <w:spacing w:after="120"/>
        <w:jc w:val="both"/>
        <w:rPr>
          <w:rFonts w:ascii="Pyidaungsu" w:hAnsi="Pyidaungsu" w:cs="Pyidaungsu"/>
          <w:b/>
          <w:sz w:val="26"/>
          <w:szCs w:val="26"/>
        </w:rPr>
      </w:pPr>
      <w:r w:rsidRPr="006F28E7">
        <w:rPr>
          <w:rFonts w:ascii="Pyidaungsu" w:hAnsi="Pyidaungsu" w:cs="Pyidaungsu"/>
          <w:b/>
          <w:sz w:val="26"/>
          <w:szCs w:val="26"/>
        </w:rPr>
        <w:t>Answers Input by the Ministry of Social Welfare, Relief and Resettlement regarding the Report of the Independent Expert on the Enjoyment of all human rights by older persons</w:t>
      </w:r>
    </w:p>
    <w:p w:rsidR="007100B3" w:rsidRPr="006F28E7" w:rsidRDefault="006F28E7" w:rsidP="006F28E7">
      <w:pPr>
        <w:spacing w:after="120"/>
        <w:jc w:val="both"/>
        <w:rPr>
          <w:rFonts w:ascii="Pyidaungsu" w:hAnsi="Pyidaungsu" w:cs="Pyidaungsu"/>
          <w:b/>
          <w:sz w:val="26"/>
          <w:szCs w:val="26"/>
        </w:rPr>
      </w:pPr>
      <w:r w:rsidRPr="006F28E7">
        <w:rPr>
          <w:rFonts w:ascii="Pyidaungsu" w:hAnsi="Pyidaungsu" w:cs="Pyidaungsu"/>
          <w:b/>
          <w:sz w:val="26"/>
          <w:szCs w:val="26"/>
        </w:rPr>
        <w:t>(Questions 2,7,8)</w:t>
      </w:r>
    </w:p>
    <w:p w:rsidR="007100B3" w:rsidRPr="006F28E7" w:rsidRDefault="006F28E7" w:rsidP="006F28E7">
      <w:pPr>
        <w:spacing w:before="240" w:after="120"/>
        <w:jc w:val="both"/>
        <w:rPr>
          <w:rFonts w:ascii="Pyidaungsu" w:hAnsi="Pyidaungsu" w:cs="Pyidaungsu"/>
          <w:sz w:val="26"/>
          <w:szCs w:val="26"/>
        </w:rPr>
      </w:pPr>
      <w:r w:rsidRPr="006F28E7">
        <w:rPr>
          <w:rFonts w:ascii="Pyidaungsu" w:hAnsi="Pyidaungsu" w:cs="Pyidaungsu"/>
          <w:b/>
          <w:sz w:val="26"/>
          <w:szCs w:val="26"/>
        </w:rPr>
        <w:t>A.</w:t>
      </w:r>
      <w:r>
        <w:rPr>
          <w:rFonts w:ascii="Pyidaungsu" w:hAnsi="Pyidaungsu" w:cs="Pyidaungsu"/>
          <w:sz w:val="26"/>
          <w:szCs w:val="26"/>
        </w:rPr>
        <w:t xml:space="preserve"> </w:t>
      </w:r>
      <w:r w:rsidRPr="006F28E7">
        <w:rPr>
          <w:rFonts w:ascii="Pyidaungsu" w:hAnsi="Pyidaungsu" w:cs="Pyidaungsu"/>
          <w:b/>
          <w:sz w:val="26"/>
          <w:szCs w:val="26"/>
        </w:rPr>
        <w:t>Voice, recognition and lived experience</w:t>
      </w:r>
    </w:p>
    <w:p w:rsidR="007100B3" w:rsidRPr="006F28E7" w:rsidRDefault="006F28E7" w:rsidP="006F28E7">
      <w:pPr>
        <w:spacing w:before="240" w:after="120"/>
        <w:jc w:val="both"/>
        <w:rPr>
          <w:rFonts w:ascii="Pyidaungsu" w:hAnsi="Pyidaungsu" w:cs="Pyidaungsu"/>
          <w:sz w:val="26"/>
          <w:szCs w:val="26"/>
        </w:rPr>
      </w:pPr>
      <w:r w:rsidRPr="006F28E7">
        <w:rPr>
          <w:rFonts w:ascii="Pyidaungsu" w:hAnsi="Pyidaungsu" w:cs="Pyidaungsu"/>
          <w:b/>
          <w:sz w:val="26"/>
          <w:szCs w:val="26"/>
        </w:rPr>
        <w:t>2. How are the wishes, emotions, preferences and values of older persons with cognitive impairment identified, interpreted and respected when communication is difficult, altered or fluctuating?</w:t>
      </w:r>
    </w:p>
    <w:p w:rsidR="007100B3" w:rsidRPr="006F28E7" w:rsidRDefault="006F28E7" w:rsidP="006F28E7">
      <w:pPr>
        <w:spacing w:after="120"/>
        <w:jc w:val="both"/>
        <w:rPr>
          <w:rFonts w:ascii="Pyidaungsu" w:hAnsi="Pyidaungsu" w:cs="Pyidaungsu"/>
          <w:sz w:val="26"/>
          <w:szCs w:val="26"/>
        </w:rPr>
      </w:pPr>
      <w:r w:rsidRPr="006F28E7">
        <w:rPr>
          <w:rFonts w:ascii="Pyidaungsu" w:hAnsi="Pyidaungsu" w:cs="Pyidaungsu"/>
          <w:sz w:val="26"/>
          <w:szCs w:val="26"/>
        </w:rPr>
        <w:t>Myanmar culture, customs, and traditions are deeply rooted in Buddhist values, respect for family, and community harmony. One of the most important aspects of Myanmar society is the extended family pattern, where several generations often live together or maintain close relationships. Family members support one another emotionally, socially, and financially, creating a strong sense of unity and responsibility. Respect for older persons is a core value in Myanmar culture. In Myanmar society, Elderly people are regarded as sources of wisdom, experience, and moral guidance, and younger generations are taught to speak politely and show deference to them. A common traditional practice in Myanmar is the care of elderly family members at home. Instead of relying mainly on institutions, families usually take responsibility for looking after their aging parents and grandparents, providing them with daily care, companionship, and support. This tradition reflects the strong family bonds and the cultural belief in honoring and caring for one's elders.</w:t>
      </w:r>
    </w:p>
    <w:p w:rsidR="00600D9E" w:rsidRDefault="00600D9E" w:rsidP="006F28E7">
      <w:pPr>
        <w:spacing w:before="240" w:after="120"/>
        <w:jc w:val="both"/>
        <w:rPr>
          <w:rFonts w:ascii="Pyidaungsu" w:hAnsi="Pyidaungsu" w:cs="Pyidaungsu"/>
          <w:b/>
          <w:sz w:val="26"/>
          <w:szCs w:val="26"/>
        </w:rPr>
      </w:pPr>
    </w:p>
    <w:p w:rsidR="007100B3" w:rsidRPr="006F28E7" w:rsidRDefault="006F28E7" w:rsidP="006F28E7">
      <w:pPr>
        <w:spacing w:before="240" w:after="120"/>
        <w:jc w:val="both"/>
        <w:rPr>
          <w:rFonts w:ascii="Pyidaungsu" w:hAnsi="Pyidaungsu" w:cs="Pyidaungsu"/>
          <w:sz w:val="26"/>
          <w:szCs w:val="26"/>
        </w:rPr>
      </w:pPr>
      <w:r w:rsidRPr="006F28E7">
        <w:rPr>
          <w:rFonts w:ascii="Pyidaungsu" w:hAnsi="Pyidaungsu" w:cs="Pyidaungsu"/>
          <w:b/>
          <w:sz w:val="26"/>
          <w:szCs w:val="26"/>
        </w:rPr>
        <w:lastRenderedPageBreak/>
        <w:t>D.</w:t>
      </w:r>
      <w:r>
        <w:rPr>
          <w:rFonts w:ascii="Pyidaungsu" w:hAnsi="Pyidaungsu" w:cs="Pyidaungsu"/>
          <w:sz w:val="26"/>
          <w:szCs w:val="26"/>
        </w:rPr>
        <w:t xml:space="preserve"> </w:t>
      </w:r>
      <w:r w:rsidRPr="006F28E7">
        <w:rPr>
          <w:rFonts w:ascii="Pyidaungsu" w:hAnsi="Pyidaungsu" w:cs="Pyidaungsu"/>
          <w:b/>
          <w:sz w:val="26"/>
          <w:szCs w:val="26"/>
        </w:rPr>
        <w:t>Good practices and recommendations</w:t>
      </w:r>
    </w:p>
    <w:p w:rsidR="007100B3" w:rsidRPr="006F28E7" w:rsidRDefault="006F28E7" w:rsidP="006F28E7">
      <w:pPr>
        <w:spacing w:before="240" w:after="120"/>
        <w:jc w:val="both"/>
        <w:rPr>
          <w:rFonts w:ascii="Pyidaungsu" w:hAnsi="Pyidaungsu" w:cs="Pyidaungsu"/>
          <w:sz w:val="26"/>
          <w:szCs w:val="26"/>
        </w:rPr>
      </w:pPr>
      <w:r>
        <w:rPr>
          <w:rFonts w:ascii="Pyidaungsu" w:hAnsi="Pyidaungsu" w:cs="Pyidaungsu"/>
          <w:b/>
          <w:sz w:val="26"/>
          <w:szCs w:val="26"/>
        </w:rPr>
        <w:t xml:space="preserve">7. </w:t>
      </w:r>
      <w:r w:rsidRPr="006F28E7">
        <w:rPr>
          <w:rFonts w:ascii="Pyidaungsu" w:hAnsi="Pyidaungsu" w:cs="Pyidaungsu"/>
          <w:b/>
          <w:sz w:val="26"/>
          <w:szCs w:val="26"/>
        </w:rPr>
        <w:t>What laws, policies, institutions, approaches, prac</w:t>
      </w:r>
      <w:r>
        <w:rPr>
          <w:rFonts w:ascii="Pyidaungsu" w:hAnsi="Pyidaungsu" w:cs="Pyidaungsu"/>
          <w:b/>
          <w:sz w:val="26"/>
          <w:szCs w:val="26"/>
        </w:rPr>
        <w:t>tices or enabling enviroment</w:t>
      </w:r>
      <w:r w:rsidRPr="006F28E7">
        <w:rPr>
          <w:rFonts w:ascii="Pyidaungsu" w:hAnsi="Pyidaungsu" w:cs="Pyidaungsu"/>
          <w:b/>
          <w:sz w:val="26"/>
          <w:szCs w:val="26"/>
        </w:rPr>
        <w:t xml:space="preserve"> have helped older persons with cognitive impairment to remain heard, involved, respected and socially connected?</w:t>
      </w:r>
    </w:p>
    <w:p w:rsidR="007100B3" w:rsidRPr="006F28E7" w:rsidRDefault="006F28E7" w:rsidP="006F28E7">
      <w:pPr>
        <w:spacing w:after="120"/>
        <w:jc w:val="both"/>
        <w:rPr>
          <w:rFonts w:ascii="Pyidaungsu" w:hAnsi="Pyidaungsu" w:cs="Pyidaungsu"/>
          <w:sz w:val="26"/>
          <w:szCs w:val="26"/>
        </w:rPr>
      </w:pPr>
      <w:r w:rsidRPr="006F28E7">
        <w:rPr>
          <w:rFonts w:ascii="Pyidaungsu" w:hAnsi="Pyidaungsu" w:cs="Pyidaungsu"/>
          <w:sz w:val="26"/>
          <w:szCs w:val="26"/>
        </w:rPr>
        <w:t>Under section 32 (A) of Constitution of the Republic of the Union of Myanmar, the Union shall care for mothers and children, orphans, fallen Defence Services personnel's children, the aged and the disabled.</w:t>
      </w:r>
    </w:p>
    <w:p w:rsidR="007100B3" w:rsidRPr="006F28E7" w:rsidRDefault="006F28E7" w:rsidP="006F28E7">
      <w:pPr>
        <w:spacing w:after="120"/>
        <w:jc w:val="both"/>
        <w:rPr>
          <w:rFonts w:ascii="Pyidaungsu" w:hAnsi="Pyidaungsu" w:cs="Pyidaungsu"/>
          <w:sz w:val="26"/>
          <w:szCs w:val="26"/>
        </w:rPr>
      </w:pPr>
      <w:r w:rsidRPr="006F28E7">
        <w:rPr>
          <w:rFonts w:ascii="Pyidaungsu" w:hAnsi="Pyidaungsu" w:cs="Pyidaungsu"/>
          <w:sz w:val="26"/>
          <w:szCs w:val="26"/>
        </w:rPr>
        <w:t>It is mentioned in the Elderly People law (2016), section 26, that ministries, government departments, government organizations, Hluttaw representatives, and non-governmental social organizations should work together and coordinate to help elderly people live longer, stay healthy, and live in an appropriate accommodation. They should also help ensure that health care and social care services are available and as accessible as possible.</w:t>
      </w:r>
    </w:p>
    <w:p w:rsidR="007100B3" w:rsidRPr="006F28E7" w:rsidRDefault="006F28E7" w:rsidP="006F28E7">
      <w:pPr>
        <w:spacing w:after="120"/>
        <w:jc w:val="both"/>
        <w:rPr>
          <w:rFonts w:ascii="Pyidaungsu" w:hAnsi="Pyidaungsu" w:cs="Pyidaungsu"/>
          <w:sz w:val="26"/>
          <w:szCs w:val="26"/>
        </w:rPr>
      </w:pPr>
      <w:r w:rsidRPr="006F28E7">
        <w:rPr>
          <w:rFonts w:ascii="Pyidaungsu" w:hAnsi="Pyidaungsu" w:cs="Pyidaungsu"/>
          <w:sz w:val="26"/>
          <w:szCs w:val="26"/>
        </w:rPr>
        <w:t>According to Section 27 of the Elderly People Law (2016), the Myanmar elderly People Committee must work together with the Ministry of Health to make sure that all elderly people in Myanmar receives healthcare services. It is clearly mentioned that the medical institutions should provide good-quality and suitable medical treatment either at a gratis or at low cost. Besides, the law also says that medicines and assistive devices needed by elderly people should be provided free or at appropriate prices.</w:t>
      </w:r>
    </w:p>
    <w:p w:rsidR="007100B3" w:rsidRPr="006F28E7" w:rsidRDefault="006F28E7" w:rsidP="006F28E7">
      <w:pPr>
        <w:spacing w:after="120"/>
        <w:jc w:val="both"/>
        <w:rPr>
          <w:rFonts w:ascii="Pyidaungsu" w:hAnsi="Pyidaungsu" w:cs="Pyidaungsu"/>
          <w:sz w:val="26"/>
          <w:szCs w:val="26"/>
        </w:rPr>
      </w:pPr>
      <w:r w:rsidRPr="006F28E7">
        <w:rPr>
          <w:rFonts w:ascii="Pyidaungsu" w:hAnsi="Pyidaungsu" w:cs="Pyidaungsu"/>
          <w:sz w:val="26"/>
          <w:szCs w:val="26"/>
        </w:rPr>
        <w:t xml:space="preserve">In the Elderly People Law (2016), section 22, it is that to get better and more complete care for elderly peoples through self-care, family care, and community care. That home-based care organizations, community-based care organizations, non-governmental organizations (NGOs), and volunteer social organizations have </w:t>
      </w:r>
      <w:r w:rsidRPr="006F28E7">
        <w:rPr>
          <w:rFonts w:ascii="Pyidaungsu" w:hAnsi="Pyidaungsu" w:cs="Pyidaungsu"/>
          <w:sz w:val="26"/>
          <w:szCs w:val="26"/>
        </w:rPr>
        <w:lastRenderedPageBreak/>
        <w:t>responsibilities to support the physical and mental wellbeing of elderly persons and help improve their quality of life.</w:t>
      </w:r>
    </w:p>
    <w:p w:rsidR="007100B3" w:rsidRPr="006F28E7" w:rsidRDefault="006F28E7" w:rsidP="006F28E7">
      <w:pPr>
        <w:spacing w:after="120"/>
        <w:jc w:val="both"/>
        <w:rPr>
          <w:rFonts w:ascii="Pyidaungsu" w:hAnsi="Pyidaungsu" w:cs="Pyidaungsu"/>
          <w:sz w:val="26"/>
          <w:szCs w:val="26"/>
        </w:rPr>
      </w:pPr>
      <w:r w:rsidRPr="006F28E7">
        <w:rPr>
          <w:rFonts w:ascii="Pyidaungsu" w:hAnsi="Pyidaungsu" w:cs="Pyidaungsu"/>
          <w:sz w:val="26"/>
          <w:szCs w:val="26"/>
        </w:rPr>
        <w:t>The Elderly People Rules were issued in 2022 to facilitate the effective implementation of the provisions stipulated in the Law, thereby strengthening the protection and promotion of the rights of older persons.</w:t>
      </w:r>
    </w:p>
    <w:p w:rsidR="007100B3" w:rsidRPr="006F28E7" w:rsidRDefault="006F28E7" w:rsidP="006F28E7">
      <w:pPr>
        <w:spacing w:after="120"/>
        <w:jc w:val="both"/>
        <w:rPr>
          <w:rFonts w:ascii="Pyidaungsu" w:hAnsi="Pyidaungsu" w:cs="Pyidaungsu"/>
          <w:sz w:val="26"/>
          <w:szCs w:val="26"/>
        </w:rPr>
      </w:pPr>
      <w:r w:rsidRPr="006F28E7">
        <w:rPr>
          <w:rFonts w:ascii="Pyidaungsu" w:hAnsi="Pyidaungsu" w:cs="Pyidaungsu"/>
          <w:sz w:val="26"/>
          <w:szCs w:val="26"/>
        </w:rPr>
        <w:t>A National Ageing Policy (Draft) has been developed and is currently undergoing the approval process for official adoption and implementation.</w:t>
      </w:r>
    </w:p>
    <w:p w:rsidR="007100B3" w:rsidRPr="006F28E7" w:rsidRDefault="006F28E7" w:rsidP="006F28E7">
      <w:pPr>
        <w:spacing w:after="120"/>
        <w:jc w:val="both"/>
        <w:rPr>
          <w:rFonts w:ascii="Pyidaungsu" w:hAnsi="Pyidaungsu" w:cs="Pyidaungsu"/>
          <w:sz w:val="26"/>
          <w:szCs w:val="26"/>
        </w:rPr>
      </w:pPr>
      <w:r w:rsidRPr="006F28E7">
        <w:rPr>
          <w:rFonts w:ascii="Pyidaungsu" w:hAnsi="Pyidaungsu" w:cs="Pyidaungsu"/>
          <w:sz w:val="26"/>
          <w:szCs w:val="26"/>
        </w:rPr>
        <w:t>The National Social Protection Strategic Plan of Myanmar was adopted in 2014 and comprises eight key flagship programmes.</w:t>
      </w:r>
    </w:p>
    <w:p w:rsidR="007100B3" w:rsidRPr="006F28E7" w:rsidRDefault="006F28E7" w:rsidP="006F28E7">
      <w:pPr>
        <w:spacing w:after="120"/>
        <w:jc w:val="both"/>
        <w:rPr>
          <w:rFonts w:ascii="Pyidaungsu" w:hAnsi="Pyidaungsu" w:cs="Pyidaungsu"/>
          <w:sz w:val="26"/>
          <w:szCs w:val="26"/>
        </w:rPr>
      </w:pPr>
      <w:r w:rsidRPr="006F28E7">
        <w:rPr>
          <w:rFonts w:ascii="Pyidaungsu" w:hAnsi="Pyidaungsu" w:cs="Pyidaungsu"/>
          <w:sz w:val="26"/>
          <w:szCs w:val="26"/>
        </w:rPr>
        <w:t>To ensure the effective implementation of the objectives of the Elderly People Law, the Myanmar National Committee on Ageing was established in 2017 to formulate the necessary policies, action plans, and guidelines. The Committee is chaired by the Union Minister of the Ministry of Social Welfare, Relief and Resettlement, with the Deputy Minister serving as Vice-Chairperson and the Director General of the Department of Social Welfare serving as Secretary. The Committee comprises representatives from relevant government ministries, departments, and organizations and convenes annually to review progress and provide strategic guidance on ageing-related issues.</w:t>
      </w:r>
    </w:p>
    <w:p w:rsidR="007100B3" w:rsidRPr="006F28E7" w:rsidRDefault="006F28E7" w:rsidP="006F28E7">
      <w:pPr>
        <w:spacing w:after="120"/>
        <w:jc w:val="both"/>
        <w:rPr>
          <w:rFonts w:ascii="Pyidaungsu" w:hAnsi="Pyidaungsu" w:cs="Pyidaungsu"/>
          <w:sz w:val="26"/>
          <w:szCs w:val="26"/>
        </w:rPr>
      </w:pPr>
      <w:r w:rsidRPr="006F28E7">
        <w:rPr>
          <w:rFonts w:ascii="Pyidaungsu" w:hAnsi="Pyidaungsu" w:cs="Pyidaungsu"/>
          <w:sz w:val="26"/>
          <w:szCs w:val="26"/>
        </w:rPr>
        <w:t xml:space="preserve">To strengthen the management of beneficiary information and improve the efficiency of social protection service delivery, the Department has initiated the transition from manual systems to digital platforms. In this regard, the Social Management Information System (SMIS) for the Social Pension Programme has been operational since the 2023-2024 Fiscal Year. The system is designed to facilitate systematic management of beneficiary data and support the administration of cash transfer </w:t>
      </w:r>
      <w:r w:rsidRPr="006F28E7">
        <w:rPr>
          <w:rFonts w:ascii="Pyidaungsu" w:hAnsi="Pyidaungsu" w:cs="Pyidaungsu"/>
          <w:sz w:val="26"/>
          <w:szCs w:val="26"/>
        </w:rPr>
        <w:lastRenderedPageBreak/>
        <w:t>services. Operational manuals and user guides have been developed and distributed to relevant users to support effective implementation and utilization of the system.</w:t>
      </w:r>
    </w:p>
    <w:p w:rsidR="007100B3" w:rsidRPr="006F28E7" w:rsidRDefault="006F28E7" w:rsidP="006F28E7">
      <w:pPr>
        <w:spacing w:after="120"/>
        <w:jc w:val="both"/>
        <w:rPr>
          <w:rFonts w:ascii="Pyidaungsu" w:hAnsi="Pyidaungsu" w:cs="Pyidaungsu"/>
          <w:sz w:val="26"/>
          <w:szCs w:val="26"/>
        </w:rPr>
      </w:pPr>
      <w:r w:rsidRPr="006F28E7">
        <w:rPr>
          <w:rFonts w:ascii="Pyidaungsu" w:hAnsi="Pyidaungsu" w:cs="Pyidaungsu"/>
          <w:sz w:val="26"/>
          <w:szCs w:val="26"/>
        </w:rPr>
        <w:t>The Ministry of Social Welfare, Relief and Resettlement, the Department of Social Welfare (DSW) regulates and supports to (95) residential homes for the Aged which are established and operated by the voluntary organizations. In accordance with the Elderly People Law and Rules, the Department issues operating permits, provides financial assistance based on prescribed classifications, and offers technical support to these institutions.</w:t>
      </w:r>
    </w:p>
    <w:p w:rsidR="007100B3" w:rsidRPr="006F28E7" w:rsidRDefault="006F28E7" w:rsidP="006F28E7">
      <w:pPr>
        <w:spacing w:after="120"/>
        <w:jc w:val="both"/>
        <w:rPr>
          <w:rFonts w:ascii="Pyidaungsu" w:hAnsi="Pyidaungsu" w:cs="Pyidaungsu"/>
          <w:sz w:val="26"/>
          <w:szCs w:val="26"/>
        </w:rPr>
      </w:pPr>
      <w:r w:rsidRPr="006F28E7">
        <w:rPr>
          <w:rFonts w:ascii="Pyidaungsu" w:hAnsi="Pyidaungsu" w:cs="Pyidaungsu"/>
          <w:sz w:val="26"/>
          <w:szCs w:val="26"/>
        </w:rPr>
        <w:t>The Myanmar National Social Protection Strategic Plan, adopted in 2014, includes eight flagship programmes, one of which is support for Older Persons Self-Help Groups (OPSHGs). Older Persons Self-Help Groups (OPSHGs) are community-based organizations led by older persons themselves and composed of older persons, persons with disabilities, women, and youth. These groups are established to promote the interests and well-being of their members through self-help and mutual support mechanisms. OPSHGs contribute to improving community well-being by promoting healthy lifestyles, raising awareness on health-related issues, and facilitating access to social protection services and support systems available within communities.</w:t>
      </w:r>
    </w:p>
    <w:p w:rsidR="007100B3" w:rsidRPr="006F28E7" w:rsidRDefault="006F28E7" w:rsidP="006F28E7">
      <w:pPr>
        <w:spacing w:before="240" w:after="120"/>
        <w:jc w:val="both"/>
        <w:rPr>
          <w:rFonts w:ascii="Pyidaungsu" w:hAnsi="Pyidaungsu" w:cs="Pyidaungsu"/>
          <w:sz w:val="26"/>
          <w:szCs w:val="26"/>
        </w:rPr>
      </w:pPr>
      <w:r w:rsidRPr="006F28E7">
        <w:rPr>
          <w:rFonts w:ascii="Pyidaungsu" w:hAnsi="Pyidaungsu" w:cs="Pyidaungsu"/>
          <w:b/>
          <w:sz w:val="26"/>
          <w:szCs w:val="26"/>
        </w:rPr>
        <w:t>8. What legal, policy, professional or community changes are needed to better protect the autonomy, participation and dignity of older persons with cognitive impairment?</w:t>
      </w:r>
    </w:p>
    <w:p w:rsidR="007100B3" w:rsidRPr="006F28E7" w:rsidRDefault="006F28E7" w:rsidP="006F28E7">
      <w:pPr>
        <w:spacing w:after="120"/>
        <w:jc w:val="both"/>
        <w:rPr>
          <w:rFonts w:ascii="Pyidaungsu" w:hAnsi="Pyidaungsu" w:cs="Pyidaungsu"/>
          <w:sz w:val="26"/>
          <w:szCs w:val="26"/>
        </w:rPr>
      </w:pPr>
      <w:r w:rsidRPr="006F28E7">
        <w:rPr>
          <w:rFonts w:ascii="Pyidaungsu" w:hAnsi="Pyidaungsu" w:cs="Pyidaungsu"/>
          <w:sz w:val="26"/>
          <w:szCs w:val="26"/>
        </w:rPr>
        <w:t>The Department of Social Welfare provides a Day Care Center for the Aged has been established in Yangon to provide daytime care services for older persons aged 70 years and above. Also, it is planning to open the Day Care Center for the Aged in Nay Pyi Taw in coming budget year.</w:t>
      </w:r>
    </w:p>
    <w:p w:rsidR="007100B3" w:rsidRPr="006F28E7" w:rsidRDefault="006F28E7" w:rsidP="006F28E7">
      <w:pPr>
        <w:spacing w:after="120"/>
        <w:jc w:val="both"/>
        <w:rPr>
          <w:rFonts w:ascii="Pyidaungsu" w:hAnsi="Pyidaungsu" w:cs="Pyidaungsu"/>
          <w:sz w:val="26"/>
          <w:szCs w:val="26"/>
        </w:rPr>
      </w:pPr>
      <w:r w:rsidRPr="006F28E7">
        <w:rPr>
          <w:rFonts w:ascii="Pyidaungsu" w:hAnsi="Pyidaungsu" w:cs="Pyidaungsu"/>
          <w:sz w:val="26"/>
          <w:szCs w:val="26"/>
        </w:rPr>
        <w:lastRenderedPageBreak/>
        <w:t>To enhance the capacity of caregivers in providing quality care for older persons, the Department has been conducting Caregiver Training Programmes since 2015, with two training courses organized annually. The programme aims to equip caregivers with systematic caregiving skills, enable them to provide age-appropriate care, contribute to the wellbeing of older persons both within families and communities, and create employment opportunities based on acquired professional competencies.</w:t>
      </w:r>
    </w:p>
    <w:sectPr w:rsidR="007100B3" w:rsidRPr="006F28E7" w:rsidSect="009F3DBE">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1786" w:rsidRDefault="00C41786" w:rsidP="009F3DBE">
      <w:pPr>
        <w:spacing w:after="0" w:line="240" w:lineRule="auto"/>
      </w:pPr>
      <w:r>
        <w:separator/>
      </w:r>
    </w:p>
  </w:endnote>
  <w:endnote w:type="continuationSeparator" w:id="0">
    <w:p w:rsidR="00C41786" w:rsidRDefault="00C41786" w:rsidP="009F3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yanmar Text">
    <w:panose1 w:val="020B0502040204020203"/>
    <w:charset w:val="00"/>
    <w:family w:val="swiss"/>
    <w:pitch w:val="variable"/>
    <w:sig w:usb0="80000003" w:usb1="00000000" w:usb2="000004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Pyidaungsu">
    <w:panose1 w:val="020B0502040204020203"/>
    <w:charset w:val="00"/>
    <w:family w:val="swiss"/>
    <w:pitch w:val="variable"/>
    <w:sig w:usb0="00000003" w:usb1="10000000" w:usb2="000004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1786" w:rsidRDefault="00C41786" w:rsidP="009F3DBE">
      <w:pPr>
        <w:spacing w:after="0" w:line="240" w:lineRule="auto"/>
      </w:pPr>
      <w:r>
        <w:separator/>
      </w:r>
    </w:p>
  </w:footnote>
  <w:footnote w:type="continuationSeparator" w:id="0">
    <w:p w:rsidR="00C41786" w:rsidRDefault="00C41786" w:rsidP="009F3D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6728356"/>
      <w:docPartObj>
        <w:docPartGallery w:val="Page Numbers (Top of Page)"/>
        <w:docPartUnique/>
      </w:docPartObj>
    </w:sdtPr>
    <w:sdtEndPr>
      <w:rPr>
        <w:noProof/>
      </w:rPr>
    </w:sdtEndPr>
    <w:sdtContent>
      <w:p w:rsidR="009F3DBE" w:rsidRDefault="009F3DBE">
        <w:pPr>
          <w:pStyle w:val="Header"/>
          <w:jc w:val="center"/>
        </w:pPr>
        <w:r>
          <w:fldChar w:fldCharType="begin"/>
        </w:r>
        <w:r>
          <w:instrText xml:space="preserve"> PAGE   \* MERGEFORMAT </w:instrText>
        </w:r>
        <w:r>
          <w:fldChar w:fldCharType="separate"/>
        </w:r>
        <w:r w:rsidR="00C0280E">
          <w:rPr>
            <w:noProof/>
          </w:rPr>
          <w:t>2</w:t>
        </w:r>
        <w:r>
          <w:rPr>
            <w:noProof/>
          </w:rPr>
          <w:fldChar w:fldCharType="end"/>
        </w:r>
      </w:p>
    </w:sdtContent>
  </w:sdt>
  <w:p w:rsidR="009F3DBE" w:rsidRDefault="009F3D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600D9E"/>
    <w:rsid w:val="006F28E7"/>
    <w:rsid w:val="007100B3"/>
    <w:rsid w:val="007B73BA"/>
    <w:rsid w:val="009F3DBE"/>
    <w:rsid w:val="00AA1D8D"/>
    <w:rsid w:val="00B47730"/>
    <w:rsid w:val="00C0280E"/>
    <w:rsid w:val="00C4178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C0FA6C97-3F2F-474F-BE79-7D19DAB8C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6" ma:contentTypeDescription="Create a new document." ma:contentTypeScope="" ma:versionID="bbbe65f0025149aebc0f6e1d4fbbc27f">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545ba8cf931c61df770f27d0d12233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element ref="ns2:File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FilePreview" ma:index="31" nillable="true" ma:displayName="Preview" ma:format="Dropdown" ma:internalName="FileP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States</Category>
    <lcf76f155ced4ddcb4097134ff3c332f xmlns="d42e65b2-cf21-49c1-b27d-d23f90380c0e">
      <Terms xmlns="http://schemas.microsoft.com/office/infopath/2007/PartnerControls"/>
    </lcf76f155ced4ddcb4097134ff3c332f>
    <Filename xmlns="d42e65b2-cf21-49c1-b27d-d23f90380c0e" xsi:nil="true"/>
    <FilePreview xmlns="d42e65b2-cf21-49c1-b27d-d23f90380c0e" xsi:nil="true"/>
    <Doctype xmlns="d42e65b2-cf21-49c1-b27d-d23f90380c0e">input</Doctype>
    <TaxCatchAll xmlns="985ec44e-1bab-4c0b-9df0-6ba128686fc9" xsi:nil="true"/>
    <Contributor xmlns="d42e65b2-cf21-49c1-b27d-d23f90380c0e">Myanmar</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740908CB-0575-43EA-9F4C-7C23A729825A}">
  <ds:schemaRefs>
    <ds:schemaRef ds:uri="http://schemas.openxmlformats.org/officeDocument/2006/bibliography"/>
  </ds:schemaRefs>
</ds:datastoreItem>
</file>

<file path=customXml/itemProps2.xml><?xml version="1.0" encoding="utf-8"?>
<ds:datastoreItem xmlns:ds="http://schemas.openxmlformats.org/officeDocument/2006/customXml" ds:itemID="{A1ECD952-9832-4C12-B51F-5884200D37BD}"/>
</file>

<file path=customXml/itemProps3.xml><?xml version="1.0" encoding="utf-8"?>
<ds:datastoreItem xmlns:ds="http://schemas.openxmlformats.org/officeDocument/2006/customXml" ds:itemID="{85AA5AEF-575D-4CA2-9F86-75DDFF00CAA6}"/>
</file>

<file path=customXml/itemProps4.xml><?xml version="1.0" encoding="utf-8"?>
<ds:datastoreItem xmlns:ds="http://schemas.openxmlformats.org/officeDocument/2006/customXml" ds:itemID="{FCDB00DD-2B80-46A1-8C55-E82EB34863B6}"/>
</file>

<file path=docProps/app.xml><?xml version="1.0" encoding="utf-8"?>
<Properties xmlns="http://schemas.openxmlformats.org/officeDocument/2006/extended-properties" xmlns:vt="http://schemas.openxmlformats.org/officeDocument/2006/docPropsVTypes">
  <Template>Normal</Template>
  <TotalTime>1</TotalTime>
  <Pages>5</Pages>
  <Words>1077</Words>
  <Characters>6143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7206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Myanmar Mission</cp:lastModifiedBy>
  <cp:revision>2</cp:revision>
  <cp:lastPrinted>2026-07-14T18:57:00Z</cp:lastPrinted>
  <dcterms:created xsi:type="dcterms:W3CDTF">2026-07-15T00:48:00Z</dcterms:created>
  <dcterms:modified xsi:type="dcterms:W3CDTF">2026-07-15T00:48:00Z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