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D4C6B" w:rsidRPr="00502BF9" w:rsidRDefault="001D4C6B">
      <w:pPr>
        <w:rPr>
          <w:rFonts w:ascii="Verdana" w:eastAsia="Verdana" w:hAnsi="Verdana" w:cs="Verdana"/>
          <w:b/>
          <w:sz w:val="20"/>
          <w:szCs w:val="20"/>
        </w:rPr>
      </w:pPr>
    </w:p>
    <w:p w:rsidR="001D4C6B" w:rsidRPr="00502BF9" w:rsidRDefault="001D4C6B">
      <w:pPr>
        <w:rPr>
          <w:rFonts w:ascii="Verdana" w:eastAsia="Verdana" w:hAnsi="Verdana" w:cs="Verdana"/>
          <w:b/>
          <w:sz w:val="20"/>
          <w:szCs w:val="20"/>
        </w:rPr>
      </w:pPr>
    </w:p>
    <w:p w:rsidR="001D4C6B" w:rsidRPr="00502BF9" w:rsidRDefault="00000000">
      <w:pPr>
        <w:spacing w:before="240" w:after="240" w:line="276" w:lineRule="auto"/>
        <w:jc w:val="both"/>
        <w:rPr>
          <w:rFonts w:ascii="Verdana" w:eastAsia="Verdana" w:hAnsi="Verdana" w:cs="Verdana"/>
          <w:b/>
          <w:sz w:val="20"/>
          <w:szCs w:val="20"/>
          <w:highlight w:val="white"/>
          <w:lang w:val="es-CO"/>
        </w:rPr>
      </w:pPr>
      <w:r w:rsidRPr="00502BF9">
        <w:rPr>
          <w:rFonts w:ascii="Verdana" w:eastAsia="Verdana" w:hAnsi="Verdana" w:cs="Verdana"/>
          <w:b/>
          <w:sz w:val="20"/>
          <w:szCs w:val="20"/>
          <w:highlight w:val="white"/>
          <w:lang w:val="es-CO"/>
        </w:rPr>
        <w:t>Bogotá D.C., julio de 2025</w:t>
      </w:r>
    </w:p>
    <w:p w:rsidR="001D4C6B" w:rsidRPr="00502BF9" w:rsidRDefault="00000000">
      <w:pPr>
        <w:spacing w:before="240" w:after="240" w:line="276" w:lineRule="auto"/>
        <w:jc w:val="both"/>
        <w:rPr>
          <w:rFonts w:ascii="Verdana" w:eastAsia="Verdana" w:hAnsi="Verdana" w:cs="Verdana"/>
          <w:b/>
          <w:sz w:val="20"/>
          <w:szCs w:val="20"/>
          <w:highlight w:val="white"/>
          <w:lang w:val="es-CO"/>
        </w:rPr>
      </w:pPr>
      <w:r w:rsidRPr="00502BF9">
        <w:rPr>
          <w:rFonts w:ascii="Verdana" w:eastAsia="Verdana" w:hAnsi="Verdana" w:cs="Verdana"/>
          <w:b/>
          <w:sz w:val="20"/>
          <w:szCs w:val="20"/>
          <w:highlight w:val="white"/>
          <w:lang w:val="es-CO"/>
        </w:rPr>
        <w:t>Miembros del Comité contra la Desaparición Forzada</w:t>
      </w:r>
    </w:p>
    <w:p w:rsidR="001D4C6B" w:rsidRPr="00502BF9" w:rsidRDefault="00000000">
      <w:pPr>
        <w:spacing w:before="240" w:after="240" w:line="276" w:lineRule="auto"/>
        <w:jc w:val="both"/>
        <w:rPr>
          <w:rFonts w:ascii="Verdana" w:eastAsia="Verdana" w:hAnsi="Verdana" w:cs="Verdana"/>
          <w:b/>
          <w:sz w:val="20"/>
          <w:szCs w:val="20"/>
          <w:highlight w:val="white"/>
          <w:lang w:val="es-CO"/>
        </w:rPr>
      </w:pPr>
      <w:r w:rsidRPr="00502BF9">
        <w:rPr>
          <w:rFonts w:ascii="Verdana" w:eastAsia="Verdana" w:hAnsi="Verdana" w:cs="Verdana"/>
          <w:b/>
          <w:sz w:val="20"/>
          <w:szCs w:val="20"/>
          <w:highlight w:val="white"/>
          <w:lang w:val="es-CO"/>
        </w:rPr>
        <w:t>Asunto: contribución para la Observación General sobre mujeres, niñas y desaparición forzada</w:t>
      </w:r>
    </w:p>
    <w:p w:rsidR="00502BF9" w:rsidRDefault="00502BF9">
      <w:pPr>
        <w:spacing w:before="240" w:after="240" w:line="276" w:lineRule="auto"/>
        <w:jc w:val="both"/>
        <w:rPr>
          <w:rFonts w:ascii="Verdana" w:eastAsia="Verdana" w:hAnsi="Verdana" w:cs="Verdana"/>
          <w:sz w:val="20"/>
          <w:szCs w:val="20"/>
          <w:highlight w:val="white"/>
          <w:lang w:val="es-CO"/>
        </w:rPr>
      </w:pP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 xml:space="preserve">En nombre del Centro de Estudios de Derecho, Justicia y Sociedad- </w:t>
      </w:r>
      <w:proofErr w:type="spellStart"/>
      <w:r w:rsidRPr="00502BF9">
        <w:rPr>
          <w:rFonts w:ascii="Verdana" w:eastAsia="Verdana" w:hAnsi="Verdana" w:cs="Verdana"/>
          <w:sz w:val="20"/>
          <w:szCs w:val="20"/>
          <w:highlight w:val="white"/>
          <w:lang w:val="es-CO"/>
        </w:rPr>
        <w:t>Dejusticia</w:t>
      </w:r>
      <w:proofErr w:type="spellEnd"/>
      <w:r w:rsidRPr="00502BF9">
        <w:rPr>
          <w:rFonts w:ascii="Verdana" w:eastAsia="Verdana" w:hAnsi="Verdana" w:cs="Verdana"/>
          <w:sz w:val="20"/>
          <w:szCs w:val="20"/>
          <w:vertAlign w:val="superscript"/>
        </w:rPr>
        <w:footnoteReference w:id="1"/>
      </w:r>
      <w:r w:rsidRPr="00502BF9">
        <w:rPr>
          <w:rFonts w:ascii="Verdana" w:eastAsia="Verdana" w:hAnsi="Verdana" w:cs="Verdana"/>
          <w:sz w:val="20"/>
          <w:szCs w:val="20"/>
          <w:highlight w:val="white"/>
          <w:lang w:val="es-CO"/>
        </w:rPr>
        <w:t xml:space="preserve">, </w:t>
      </w:r>
      <w:r w:rsidRPr="00502BF9">
        <w:rPr>
          <w:rFonts w:ascii="Verdana" w:eastAsia="Verdana" w:hAnsi="Verdana" w:cs="Verdana"/>
          <w:sz w:val="20"/>
          <w:szCs w:val="20"/>
          <w:lang w:val="es-CO"/>
        </w:rPr>
        <w:t>un centro de estudios jurídicos y sociales localizado en Bogotá, Colombia saludamos la decisión del Comité contra la Desaparición Forzada de trabajar en un proyecto de observación general sobre mujeres, niñas y desaparición forzada. Asimismo, agradecemos el llamado a enviar contribuciones, pues consideramos que el trabajo de las organizaciones de la sociedad civil y expertas y expertos, puede aportar de manera significativa el trabajo de los órganos de derechos humanos del Sistema de Naciones Unidas.</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Esta contribución busca poner de presente los impactos sociales y económicos que enfrentan las mujeres buscadoras en Colombia producto de la desaparición y del proceso de búsqueda de sus familiares y de acompañamiento a otros familiares. Consideramos que estas dimensiones dan cuenta de afectaciones cotidianas que tienen efectos en el goce de una vida digna y plena, y en el avance de procesos de búsqueda efectivos. Aunque muchos de los impactos identificados han sido ampliamente documentados –como lo muestra la nota conceptual de este llamado a contribuciones– lo que encontramos está validado por la experiencia de mujeres buscadoras que participaron en un grupo focal que llevamos a cabo.</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Consideramos de vital importancia dar visibilidad a la experiencia de las mujeres buscadoras. Los impactos que han enfrentado a raíz de los procesos de búsqueda han afectado todas las dimensiones de su vida y es necesario dar una respuesta integral por parte de los Estados para garantizar el goce efectivo de sus derechos.</w:t>
      </w:r>
    </w:p>
    <w:p w:rsidR="001D4C6B" w:rsidRPr="00502BF9" w:rsidRDefault="00000000">
      <w:pPr>
        <w:spacing w:before="240" w:after="240" w:line="276" w:lineRule="auto"/>
        <w:jc w:val="both"/>
        <w:rPr>
          <w:rFonts w:ascii="Verdana" w:eastAsia="Verdana" w:hAnsi="Verdana" w:cs="Verdana"/>
          <w:b/>
          <w:sz w:val="20"/>
          <w:szCs w:val="20"/>
          <w:highlight w:val="white"/>
          <w:lang w:val="es-CO"/>
        </w:rPr>
      </w:pPr>
      <w:r w:rsidRPr="00502BF9">
        <w:rPr>
          <w:rFonts w:ascii="Verdana" w:eastAsia="Verdana" w:hAnsi="Verdana" w:cs="Verdana"/>
          <w:b/>
          <w:sz w:val="20"/>
          <w:szCs w:val="20"/>
          <w:highlight w:val="white"/>
          <w:lang w:val="es-CO"/>
        </w:rPr>
        <w:t>Impactos en la situación social y económica de las mujeres que buscan a los desaparecidos</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 xml:space="preserve">En marzo de 2025 llevamos a cabo un grupo focal con la participación de diez personas, entre ellas mujeres buscadoras y miembros de organizaciones dedicadas tanto a la localización de personas desaparecidas como al acompañamiento de sus familiares. Para la conformación del grupo, se procuró incluir cuatro perfiles que han sido fundamentales </w:t>
      </w:r>
      <w:r w:rsidRPr="00502BF9">
        <w:rPr>
          <w:rFonts w:ascii="Verdana" w:eastAsia="Verdana" w:hAnsi="Verdana" w:cs="Verdana"/>
          <w:sz w:val="20"/>
          <w:szCs w:val="20"/>
          <w:highlight w:val="white"/>
          <w:lang w:val="es-CO"/>
        </w:rPr>
        <w:lastRenderedPageBreak/>
        <w:t>en la evolución del proceso de búsqueda en el país. En primer lugar, participaron mujeres que lideraron las primeras organizaciones de búsqueda y que cuentan con una trayectoria consolidada; en segundo lugar, buscadoras más recientes que impulsan nuevas iniciativas; en tercer lugar, víctimas de desaparición que actualmente se desempeñan como funcionarias públicas en entidades encargadas de la búsqueda; y, por último, representantes de organizaciones de la sociedad civil que acompañan a víctimas de desaparición.</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Es relevante señalar que estas personas fueron víctimas de distintos actores del conflicto y acompañan casos en diversas regiones del país. Esta diversidad de trayectorias y experiencias permitió recoger una visión amplia sobre los aprendizajes, desafíos y transformaciones que han marcado el camino de la búsqueda en Colombia.</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highlight w:val="white"/>
          <w:lang w:val="es-CO"/>
        </w:rPr>
        <w:t xml:space="preserve">A través de una metodología participativa en la que indagamos por las experiencias de las participantes y su conocimiento como acompañantes de otros familiares en los procesos de búsqueda logramos tener un mapa de las afectaciones sociales, económicas, en la seguridad social, la salud y la educación producto de las labores de búsqueda. </w:t>
      </w:r>
      <w:r w:rsidRPr="00502BF9">
        <w:rPr>
          <w:rFonts w:ascii="Verdana" w:eastAsia="Verdana" w:hAnsi="Verdana" w:cs="Verdana"/>
          <w:sz w:val="20"/>
          <w:szCs w:val="20"/>
          <w:lang w:val="es-CO"/>
        </w:rPr>
        <w:t>Quisimos promover una conversación en la que cada una, desde su experiencia personal en su propia búsqueda y en el acompañamiento de otras personas, aportara sus reflexiones sobre dichos impactos.</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 xml:space="preserve">En primera medida queremos resaltar algunos aspectos generales que marcan los demás elementos sociales y económicos por los cuales indagamos. Encontramos que, como indicamos antes, hay una feminización de la búsqueda, pues los hombres son las principales víctimas directas y, en consecuencia, las mujeres son las principales víctimas indirectas de la desaparición. Esto, además de ser una caracterización del fenómeno, incide en el tipo de impactos que enfrentan producto de la búsqueda. </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 xml:space="preserve">Es decir, la feminización de la búsqueda da lugar a que las afectaciones que sufren las mujeres sean un continuo que, en muchos casos viene de exclusiones previas a la desaparición, pero que, en todo caso, se acentúa desde el momento en que esta ocurre y se sigue profundizando a lo largo del proceso de búsqueda. </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A la feminización de la búsqueda se suman situaciones previas a la desaparición forzada que tienen que ver con vulnerabilidad económica o expresiones de discriminaciones basadas en género; por ejemplo, muchas de las mujeres que buscan no hacían parte del mercado laboral formal o se dedicaban a labores domésticas no remuneradas. Con posterioridad a la desaparición, además de continuar con las labores previas, si deciden buscar a sus seres queridos, asumen de manera simultánea distintas labores que son demandantes física y emocionalmente y también son costosas en términos financieros. Además de que enfrentan dificultades materiales, como el acceso a ingresos estables o condiciones óptimas de servicios de salud y educación, para tener una vida estable.</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lastRenderedPageBreak/>
        <w:t>La experiencia de la búsqueda ha afectado profundamente los proyectos de vida de estas mujeres. Muchas tuvieron que abandonar estudios, trabajos o aspiraciones personales para dedicarse por completo a esta labor, marcada por la incertidumbre, la ausencia de apoyo institucional y las múltiples barreras sociales. La búsqueda, en muchos casos, se convierte en el eje central de sus vidas, redefiniendo sus prioridades, ocupaciones y formas de vincularse con su entorno.</w:t>
      </w:r>
    </w:p>
    <w:p w:rsidR="001D4C6B" w:rsidRPr="00502BF9" w:rsidRDefault="00000000">
      <w:pPr>
        <w:spacing w:before="240" w:after="240" w:line="276" w:lineRule="auto"/>
        <w:jc w:val="both"/>
        <w:rPr>
          <w:rFonts w:ascii="Verdana" w:eastAsia="Verdana" w:hAnsi="Verdana" w:cs="Verdana"/>
          <w:sz w:val="20"/>
          <w:szCs w:val="20"/>
          <w:shd w:val="clear" w:color="auto" w:fill="B4A7D6"/>
          <w:lang w:val="es-CO"/>
        </w:rPr>
      </w:pPr>
      <w:r w:rsidRPr="00502BF9">
        <w:rPr>
          <w:rFonts w:ascii="Verdana" w:eastAsia="Verdana" w:hAnsi="Verdana" w:cs="Verdana"/>
          <w:sz w:val="20"/>
          <w:szCs w:val="20"/>
          <w:highlight w:val="white"/>
          <w:lang w:val="es-CO"/>
        </w:rPr>
        <w:t>Además, la desaparición ha provocado una transformación en los roles dentro del hogar y en la comunidad a la que pertenecen. Muchas mujeres tuvieron que asumir responsabilidades que antes no tenían, como ser el principal sostén económico del hogar o tomar decisiones que antes estaban a cargo de otras personas. Esta reasignación de funciones ha implicado una sobrecarga física y emocional, pero también ha generado procesos de empoderamiento en medio del dolor, al demostrar que pueden liderar, resistir y construir redes de solidaridad a pesar de las adversidades.</w:t>
      </w:r>
    </w:p>
    <w:p w:rsidR="001D4C6B" w:rsidRPr="00502BF9" w:rsidRDefault="00000000">
      <w:pPr>
        <w:spacing w:before="240" w:after="240" w:line="276" w:lineRule="auto"/>
        <w:jc w:val="both"/>
        <w:rPr>
          <w:rFonts w:ascii="Verdana" w:eastAsia="Verdana" w:hAnsi="Verdana" w:cs="Verdana"/>
          <w:sz w:val="20"/>
          <w:szCs w:val="20"/>
          <w:shd w:val="clear" w:color="auto" w:fill="B4A7D6"/>
          <w:lang w:val="es-CO"/>
        </w:rPr>
      </w:pPr>
      <w:r w:rsidRPr="00502BF9">
        <w:rPr>
          <w:rFonts w:ascii="Verdana" w:eastAsia="Verdana" w:hAnsi="Verdana" w:cs="Verdana"/>
          <w:sz w:val="20"/>
          <w:szCs w:val="20"/>
          <w:highlight w:val="white"/>
          <w:lang w:val="es-CO"/>
        </w:rPr>
        <w:t>Con el fin de explorar una de las dimensiones de los impactos producto de la desaparición y de la búsqueda de los desaparecidos, la discusión con las mujeres participantes se centró en los impactos en los aspectos sociales, económicos, en la salud y en la educación producto de la búsqueda. Consideramos que estos aspectos son centrales pues dan forma a la experiencia de las mujeres y permiten delimitar de mejor manera cómo deben orientarse las respuestas estatales para mejorar sus condiciones de vida. A continuación presentamos los principales hallazgos.</w:t>
      </w:r>
    </w:p>
    <w:p w:rsidR="001D4C6B" w:rsidRPr="00330D3D" w:rsidRDefault="00000000" w:rsidP="00330D3D">
      <w:pPr>
        <w:pStyle w:val="Prrafodelista"/>
        <w:numPr>
          <w:ilvl w:val="0"/>
          <w:numId w:val="4"/>
        </w:numPr>
        <w:spacing w:before="240" w:after="240" w:line="276" w:lineRule="auto"/>
        <w:jc w:val="both"/>
        <w:rPr>
          <w:rFonts w:ascii="Verdana" w:eastAsia="Verdana" w:hAnsi="Verdana" w:cs="Verdana"/>
          <w:b/>
          <w:sz w:val="20"/>
          <w:szCs w:val="20"/>
          <w:lang w:val="es-CO"/>
        </w:rPr>
      </w:pPr>
      <w:r w:rsidRPr="00330D3D">
        <w:rPr>
          <w:rFonts w:ascii="Verdana" w:eastAsia="Verdana" w:hAnsi="Verdana" w:cs="Verdana"/>
          <w:b/>
          <w:sz w:val="20"/>
          <w:szCs w:val="20"/>
          <w:lang w:val="es-CO"/>
        </w:rPr>
        <w:t>Impactos sociales</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La vida en comunidad hace parte del bienestar personal e incide en el desarrollo pleno como individuos. Las participantes informaron, de manera unánime, que producto de la desaparición y de emprender labores de búsqueda de los desaparecidos se desintegró el círculo social y familiar. Varios factores inciden en esta situación, externos relacionados con las actitudes de otros hacia ellas, e internos que tienen que ver con decisiones que tomaron como parte del proceso de búsqueda.</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 xml:space="preserve">Frente a los primeros destacaron que la estigmatización es un factor que experimentaron, hacia su ser querido desaparecido y también hacia ellas y otros miembros de su núcleo familiar. Esto es especialmente fuerte en las desapariciones que fueron motivadas por razones políticas –como las que ocurrieron contra los militantes de izquierda– o que se enfrentaban a una narrativa falsa sobre lo ocurrido –como las ejecuciones extrajudiciales de civiles presentados como bajas en combate–. La estigmatización rompió las relaciones comunitarias, dañó el buen nombre de los desaparecidos, creó discursos </w:t>
      </w:r>
      <w:proofErr w:type="spellStart"/>
      <w:r w:rsidRPr="00502BF9">
        <w:rPr>
          <w:rFonts w:ascii="Verdana" w:eastAsia="Verdana" w:hAnsi="Verdana" w:cs="Verdana"/>
          <w:sz w:val="20"/>
          <w:szCs w:val="20"/>
          <w:lang w:val="es-CO"/>
        </w:rPr>
        <w:t>justificatorios</w:t>
      </w:r>
      <w:proofErr w:type="spellEnd"/>
      <w:r w:rsidRPr="00502BF9">
        <w:rPr>
          <w:rFonts w:ascii="Verdana" w:eastAsia="Verdana" w:hAnsi="Verdana" w:cs="Verdana"/>
          <w:sz w:val="20"/>
          <w:szCs w:val="20"/>
          <w:lang w:val="es-CO"/>
        </w:rPr>
        <w:t xml:space="preserve"> de las desapariciones y sumió a las mujeres en situaciones de miedo y permanente desconfianza de los círculos sociales más allá de sus familiares cercanos. Indicaron, además, que las relaciones con amigos o conocidos se volvieron tensas, pues otras personas sentían temor de verse involucrados con familiares de desaparecidos y correr la misma suerte.</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lastRenderedPageBreak/>
        <w:t xml:space="preserve">En relación con las decisiones que tomaron y que rompieron sus círculos están todas aquellas que se dieron para proteger a su familia. Las mudanzas permanentes para garantizar su seguridad les impedían a ellas y a sus hijos e hijas construir relaciones sostenidas en el tiempo. Muchas de ellas y sus familias tuvieron que exiliarse, por el riesgo que corrían; esto rompió definitivamente relaciones con personas que no compartían la experiencia de la desaparición y creó lazos de solidaridad y cercanía entre quienes tenían algún ser querido desaparecido. </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Las relaciones familiares en muchos casos también se alteraron. Las participantes reportan que para muchas de ellas insistir en la búsqueda de su ser querido y acompañar a otras mujeres en sus procesos las ha distanciado de sus familias, quienes no comparten su compromiso. Afirman que los otros miembros de sus familias ven su búsqueda como un sacrificio demasiado grande que pone en riesgo otros aspectos importantes, como la salud, la estabilidad financiera y el futuro. También han sido apartadas de ciertas personas de sus familias, por ejemplo los nietos y nietas, por los riesgos de seguridad que enfrentan.</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 xml:space="preserve">La experiencia de la desaparición y la búsqueda es tan transformadora de las familias que muchas afirman que hay impactos intergeneracionales que pasan inadvertidos. Afirman que es frecuente ver que la búsqueda se hereda y que hijos e hijas, e incluso nietos y nietas terminan asumiendo como propia la búsqueda. Es un aspecto presente en sus vidas que puede incluso condicionar sus decisiones sobre el futuro. Obviamente esto ocurre con mayor frecuencia en casos en los que las mujeres llevan años, e incluso décadas buscando a sus seres queridos; la búsqueda se vuelve un proceso más complejo que involucra, no solamente encontrar al desaparecido, sino reclamos por justicia, verdad y reconocimiento. </w:t>
      </w:r>
    </w:p>
    <w:p w:rsidR="001D4C6B" w:rsidRPr="00330D3D" w:rsidRDefault="00000000" w:rsidP="00330D3D">
      <w:pPr>
        <w:pStyle w:val="Prrafodelista"/>
        <w:numPr>
          <w:ilvl w:val="0"/>
          <w:numId w:val="4"/>
        </w:numPr>
        <w:spacing w:before="240" w:after="240" w:line="276" w:lineRule="auto"/>
        <w:jc w:val="both"/>
        <w:rPr>
          <w:rFonts w:ascii="Verdana" w:eastAsia="Verdana" w:hAnsi="Verdana" w:cs="Verdana"/>
          <w:b/>
          <w:sz w:val="20"/>
          <w:szCs w:val="20"/>
          <w:lang w:val="es-CO"/>
        </w:rPr>
      </w:pPr>
      <w:r w:rsidRPr="00330D3D">
        <w:rPr>
          <w:rFonts w:ascii="Verdana" w:eastAsia="Verdana" w:hAnsi="Verdana" w:cs="Verdana"/>
          <w:b/>
          <w:sz w:val="20"/>
          <w:szCs w:val="20"/>
          <w:lang w:val="es-CO"/>
        </w:rPr>
        <w:t>Impactos en la estabilidad económica</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Dentro de estos impactos encontramos hallazgos que hacen referencia al acceso a pensión, trabajo, vivienda, y propiedad. Hay dos aspectos que destacan de manera especial en este componente, uno tiene que ver con la avanzada edad de muchas mujeres que buscan a los desaparecidos y el segundo con la falta de reconocimiento de las labores de búsqueda como un trabajo y de los conocimientos para buscar como una experticia que debe ser valorada.</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 xml:space="preserve">Frente al primer aspecto, muchas de las mujeres que buscan a los desaparecidos llevan muchos años en esa tarea de la búsqueda propia y del acompañamiento a otros. Esta actividad se ha vuelto su trabajo principal o ha ocupado la mayor parte de su tiempo y, en tanto no remunerada, impide que aporten al sistema de pensiones. Como resultado, en la edad avanzada en la que muchas se encuentran no pueden acceder a pensiones dignas, pues no han aportado al sistema de pensiones durante todos sus años de búsqueda. Esto genera una situación de vulnerabilidad más profunda, pues con la edad y producto de la búsqueda (como presentaremos más adelante) vienen condiciones de </w:t>
      </w:r>
      <w:r w:rsidRPr="00502BF9">
        <w:rPr>
          <w:rFonts w:ascii="Verdana" w:eastAsia="Verdana" w:hAnsi="Verdana" w:cs="Verdana"/>
          <w:sz w:val="20"/>
          <w:szCs w:val="20"/>
          <w:lang w:val="es-CO"/>
        </w:rPr>
        <w:lastRenderedPageBreak/>
        <w:t xml:space="preserve">salud que les dificultan seguir con sus labores de búsqueda y encontrar modos alternativos para cubrir sus necesidades. </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En relación con el segundo aspecto, que va de la mano con el primero, las participantes informan que pese a que dedican gran parte de su tiempo a la búsqueda y han adquirido experiencia y conocimiento experto en estos procesos, estas labores no son consideradas como un trabajo. Muchas de ellas no accedieron a formación profesional o a educación especializada en búsqueda (por ejemplo en ciencias forenses), lo que les impide acceder a trabajos formales en esos temas en las entidades públicas encargadas de buscar a los desaparecidos. Sin embargo, ellas han logrado encontrar a cientos de personas desaparecidas y de manera constante acompañan los esfuerzos de las entidades estatales. Si bien ellas hacen estas actividades por el compromiso con la verdad y por aliviar el dolor que produce la desaparición, lo cierto es que su situación material se afecta enormemente al no poder contar con trabajos formales en la búsqueda de desaparecidos, que es su misión. Además, esta situación desconoce que para poder subsistir han tenido que hacer otros trabajos que compiten con las labores de búsqueda y que, junto a las responsabilidades familiares se vuelven una triple jornada de trabajo.</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 xml:space="preserve">Como resultado, ante la falta de trabajo formal y de protección en la vejez, las mujeres que buscan a los desaparecidos se encuentran en una situación de vulnerabilidad. Esta situación, que viene deteriorada desde la desaparición de su ser querido, solo empeora a medida que pasan los años, se reduce la capacidad laboral y se suman enfermedades. No obstante, este deterioro no equivale a una reducción en el compromiso con la búsqueda de los desaparecidos, la justicia y el esclarecimiento de la verdad. </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 xml:space="preserve">El acceso a la vivienda también se ve limitado por las condiciones difíciles de acceso a ingresos estables. Muchas de las participantes no cuentan con vivienda propia, viven en arriendo y el pago mensual por la vivienda se suma a los múltiples gastos que deben asumir sin contar con ingresos fijos. Incluso, conocimos de situaciones en las cuales la desaparición fue la causa de pérdida de la vivienda familiar al perder un ingreso que financiaba la hipoteca y ante la falta de sensibilidad con la tragedia de la desaparición por parte de las entidades bancarias y de las autoridades judiciales que ordenaron el remate. Esto ocurre, en general, con el acceso a la propiedad que no se puede satisfacer por la imposibilidad de contar con recursos estables o que implica la participación de los hijos, una vez pueden conseguir recursos propios, para apoyar a las madres o abuelas a estabilizarse financieramente. </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Adicionalmente, las mujeres y sus familias deben asumir las responsabilidades financieras y otras obligaciones comerciales o de otra índole de las personas desaparecidas. Aunque hay figuras como la declaración de ausencia que permiten detener esas obligaciones, de acuerdo con lo que informan las participantes, su aplicación no es tan frecuente como se esperaría y las mujeres que buscan terminan sumando una nueva carga a su proceso de búsqueda.</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lastRenderedPageBreak/>
        <w:t>A todo lo anterior se suman los gastos en los que las mujeres tienen que incurrir para poder buscar a los desaparecidos. Transportes, hospedaje, alimentación, son parte de las demandas cotidianas para hacer su propia búsqueda o acompañar a otras. Para poder cubrir estos gastos en medio de la limitación de recursos han sido recursivas y han acudido a la solidaridad entre ellas: se conectan con otras mujeres, unas hospedan a otras y les ayudan a conseguir lo necesario para avanzar en su proceso. Todas coinciden en que el apoyo de las autoridades estatales en todas las iniciativas que emprenden es mínimo o nulo.</w:t>
      </w:r>
    </w:p>
    <w:p w:rsidR="001D4C6B" w:rsidRPr="00330D3D" w:rsidRDefault="00000000" w:rsidP="00330D3D">
      <w:pPr>
        <w:pStyle w:val="Prrafodelista"/>
        <w:numPr>
          <w:ilvl w:val="0"/>
          <w:numId w:val="4"/>
        </w:numPr>
        <w:spacing w:before="240" w:after="240" w:line="276" w:lineRule="auto"/>
        <w:jc w:val="both"/>
        <w:rPr>
          <w:rFonts w:ascii="Verdana" w:eastAsia="Verdana" w:hAnsi="Verdana" w:cs="Verdana"/>
          <w:b/>
          <w:sz w:val="20"/>
          <w:szCs w:val="20"/>
          <w:lang w:val="es-CO"/>
        </w:rPr>
      </w:pPr>
      <w:r w:rsidRPr="00330D3D">
        <w:rPr>
          <w:rFonts w:ascii="Verdana" w:eastAsia="Verdana" w:hAnsi="Verdana" w:cs="Verdana"/>
          <w:b/>
          <w:sz w:val="20"/>
          <w:szCs w:val="20"/>
          <w:lang w:val="es-CO"/>
        </w:rPr>
        <w:t>Impactos en la salud</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Aunque es difícil establecer la causalidad entre la situación de salud y los impactos de la búsqueda de las personas desaparecidas, las participantes reportaron la ocurrencia de múltiples afectaciones físicas, como dolores crónicos, desprendimiento de retina, e hipertensión arterial, y también mentales como depresión, estrés postraumático y ansiedad. Si bien es difícil establecer la causalidad, es razonable pensar que procesos tan demandantes como buscar a seres queridos en medio del miedo, la incertidumbre y las dificultades materiales, puede traer manifestaciones en la salud. Lo afirmado por una de las participantes ejemplifica el impacto físico y emocional de la búsqueda de los desaparecidos “la búsqueda desangra el cuerpo gota a gota”.</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Respecto a la atención, señalan que, aunque hay medidas de atención en salud física y psicosocial dirigidas a las víctimas –como las medidas de rehabilitación de la Ley de Víctimas–, estas no tienen un enfoque diferencial para las víctimas de desaparición forzada. Señalan que no cuentan con atención priorizada, no hay grupos de atención especializados que sean sensibles y con conocimiento suficiente para lidiar con los traumas físicos y emocionales de la desaparición. Como resultado, deben acceder a los servicios ordinarios de salud, en los cuales los profesionales carecen de conocimiento y empatía o incluso, en ciertas situaciones, deben acceder a servicios particulares que deben costear ellas mismas.</w:t>
      </w:r>
    </w:p>
    <w:p w:rsidR="001D4C6B" w:rsidRPr="00330D3D" w:rsidRDefault="00000000" w:rsidP="00330D3D">
      <w:pPr>
        <w:pStyle w:val="Prrafodelista"/>
        <w:numPr>
          <w:ilvl w:val="0"/>
          <w:numId w:val="4"/>
        </w:numPr>
        <w:spacing w:before="240" w:after="240" w:line="276" w:lineRule="auto"/>
        <w:jc w:val="both"/>
        <w:rPr>
          <w:rFonts w:ascii="Verdana" w:eastAsia="Verdana" w:hAnsi="Verdana" w:cs="Verdana"/>
          <w:b/>
          <w:sz w:val="20"/>
          <w:szCs w:val="20"/>
          <w:lang w:val="es-CO"/>
        </w:rPr>
      </w:pPr>
      <w:r w:rsidRPr="00330D3D">
        <w:rPr>
          <w:rFonts w:ascii="Verdana" w:eastAsia="Verdana" w:hAnsi="Verdana" w:cs="Verdana"/>
          <w:b/>
          <w:sz w:val="20"/>
          <w:szCs w:val="20"/>
          <w:lang w:val="es-CO"/>
        </w:rPr>
        <w:t xml:space="preserve"> Impactos en la educación</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 xml:space="preserve">En relación con la educación se combinan las expectativas de las mujeres con medidas con medidas que deberían tomarse producto de las consecuencias por buscar a los desaparecidos. En este sentido, las participantes indicaron que no han contado con apoyo para sus hijos, pero no es claro, al menos en principio, cómo esto se relaciona con la desaparición forzada; sin embargo, al avanzar en la conversación evidenciamos que la expectativa viene por las limitaciones que tienen para proveer la educación de sus hijos e hijas (especialmente educación superior) dadas las difíciles condiciones materiales que enfrentan, como lo hemos indicado previamente. </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 xml:space="preserve">Además de las posibilidades de ofrecer a las hijas y los hijos oportunidades de educación, resaltan que pueden haber enfrentado peores condiciones en la educación recibida como </w:t>
      </w:r>
      <w:r w:rsidRPr="00502BF9">
        <w:rPr>
          <w:rFonts w:ascii="Verdana" w:eastAsia="Verdana" w:hAnsi="Verdana" w:cs="Verdana"/>
          <w:sz w:val="20"/>
          <w:szCs w:val="20"/>
          <w:lang w:val="es-CO"/>
        </w:rPr>
        <w:lastRenderedPageBreak/>
        <w:t>resultado de tener que cambiar de colegios permanentemente por las reubicaciones para garantizar su seguridad. Fue frecuente escuchar de las participantes de mayor edad que de manera recurrente tenían que cambiar de casa y, en consecuencia, de los colegios de sus hijos e hijas buscando preservar su seguridad. Esta situación, afirman, incidió en la calidad de educación que recibieron, pues fue intermitente y mediada por los movimientos que como familia tuvieron que hacer.</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También frente a la educación propia, como indicamos antes, al carecer de educación universitaria tienen dificultades para acceder a trabajos formales relacionados con la búsqueda, pero también sienten que sus posibilidades de acceder a educación se truncaron. En un escenario de recursos escasos, cada decisión sobre en qué invertir los recursos materiales y el tiempo era crucial y acceder a educación propia quedaba relegada. Esto es aún más profundo si se tiene en cuenta que no contaron con ningún apoyo por parte del Estado para mejorar su formación y acceder a la oferta educativa formal.</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Los testimonios recogidos en el grupo focal evidencian que la búsqueda de los seres queridos desaparecidos impacta profundamente la vida de las mujeres en múltiples dimensiones: social, económica, física, emocional y educativa. Sus experiencias muestran la ruptura de redes familiares y comunitarias, la vulnerabilidad económica derivada del trabajo de búsqueda no remunerado y no reconocido, el desgaste físico y mental causado por años de esfuerzo sostenido, y las oportunidades educativas limitadas tanto para ellas como para sus hijos e hijas. A pesar de estas adversidades, las mujeres mantienen su compromiso con la búsqueda, la verdad y la justicia. Estos hallazgos subrayan la necesidad urgente de políticas públicas integrales y diferenciadas que reconozcan y respalden el rol de las buscadoras como víctimas y agentes de transformación.</w:t>
      </w:r>
    </w:p>
    <w:p w:rsidR="001D4C6B" w:rsidRPr="00330D3D" w:rsidRDefault="00000000" w:rsidP="00330D3D">
      <w:pPr>
        <w:pStyle w:val="Prrafodelista"/>
        <w:numPr>
          <w:ilvl w:val="0"/>
          <w:numId w:val="4"/>
        </w:numPr>
        <w:spacing w:before="240" w:after="240" w:line="276" w:lineRule="auto"/>
        <w:jc w:val="both"/>
        <w:rPr>
          <w:rFonts w:ascii="Verdana" w:eastAsia="Verdana" w:hAnsi="Verdana" w:cs="Verdana"/>
          <w:sz w:val="20"/>
          <w:szCs w:val="20"/>
          <w:highlight w:val="white"/>
          <w:lang w:val="es-CO"/>
        </w:rPr>
      </w:pPr>
      <w:r w:rsidRPr="00330D3D">
        <w:rPr>
          <w:rFonts w:ascii="Verdana" w:eastAsia="Verdana" w:hAnsi="Verdana" w:cs="Verdana"/>
          <w:b/>
          <w:sz w:val="20"/>
          <w:szCs w:val="20"/>
          <w:highlight w:val="white"/>
          <w:lang w:val="es-CO"/>
        </w:rPr>
        <w:t xml:space="preserve"> Recomendaciones  </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 xml:space="preserve">La experiencia de búsqueda en el contexto colombiano ha permitido a las mujeres buscadoras reconocer una serie de obstáculos, necesidades y aprendizajes fundamentales. A partir de este recorrido, han identificado medidas concretas para facilitar la búsqueda de sus seres queridos y, al mismo tiempo, prevenir la revictimización que con frecuencia acompaña este proceso. Este capítulo formula una serie de recomendaciones creadas por las buscadoras orientadas a dignificar su labor, garantizar sus derechos y fortalecer las condiciones para una búsqueda efectiva. Una recomendación más amplia surge a partir de la constatación de múltiples instrumentos normativos que ya disponen medidas para las víctimas en relación con subsidios para el acceso a vivienda, becas para educación superior y figuras jurídicas para la protección de los derechos patrimoniales, sin embargo, son medidas desconocidas por los funcionarios públicos y, por lo tanto, inaplicadas. En consecuencia, mejorar la formación de los y las funcionarias públicas en el conocimiento de los distintos instrumentos que </w:t>
      </w:r>
      <w:r w:rsidRPr="00502BF9">
        <w:rPr>
          <w:rFonts w:ascii="Verdana" w:eastAsia="Verdana" w:hAnsi="Verdana" w:cs="Verdana"/>
          <w:sz w:val="20"/>
          <w:szCs w:val="20"/>
          <w:highlight w:val="white"/>
          <w:lang w:val="es-CO"/>
        </w:rPr>
        <w:lastRenderedPageBreak/>
        <w:t>protegen los derechos de las víctimas de desaparición y su alcance es una condición importante para superar las vulnerabilidades que enfrentan.</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A partir de las reflexiones propuestas por las participantes, a continuación presentamos algunas de las recomendaciones propuestas para mitigar los impactos sociales y económicos de la búsqueda de los desaparecidos.</w:t>
      </w:r>
    </w:p>
    <w:p w:rsidR="001D4C6B" w:rsidRPr="00502BF9" w:rsidRDefault="00330D3D">
      <w:pPr>
        <w:spacing w:before="240" w:after="240" w:line="276" w:lineRule="auto"/>
        <w:jc w:val="both"/>
        <w:rPr>
          <w:rFonts w:ascii="Verdana" w:eastAsia="Verdana" w:hAnsi="Verdana" w:cs="Verdana"/>
          <w:b/>
          <w:sz w:val="20"/>
          <w:szCs w:val="20"/>
          <w:highlight w:val="white"/>
          <w:lang w:val="es-CO"/>
        </w:rPr>
      </w:pPr>
      <w:r>
        <w:rPr>
          <w:rFonts w:ascii="Verdana" w:eastAsia="Verdana" w:hAnsi="Verdana" w:cs="Verdana"/>
          <w:b/>
          <w:sz w:val="20"/>
          <w:szCs w:val="20"/>
          <w:highlight w:val="white"/>
          <w:lang w:val="es-CO"/>
        </w:rPr>
        <w:t>5</w:t>
      </w:r>
      <w:r w:rsidR="00000000" w:rsidRPr="00502BF9">
        <w:rPr>
          <w:rFonts w:ascii="Verdana" w:eastAsia="Verdana" w:hAnsi="Verdana" w:cs="Verdana"/>
          <w:b/>
          <w:sz w:val="20"/>
          <w:szCs w:val="20"/>
          <w:highlight w:val="white"/>
          <w:lang w:val="es-CO"/>
        </w:rPr>
        <w:t>.1 Frente a los impactos sociales</w:t>
      </w:r>
    </w:p>
    <w:p w:rsidR="001D4C6B" w:rsidRPr="00502BF9" w:rsidRDefault="00000000">
      <w:p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En relación con los impactos sociales no surgieron muchas recomendaciones. Sin embargo, una consideración que hizo parte de la discusión se refiere al reconocimiento social del fenómeno de desaparición y su gravedad. En concreto, destacaron que la persistencia de la desaparición forzada como una violación de derechos humanos (aunque con distintas características y ejercida por grupos de crimen organizado) es un escenario desafortunado pues es muestra de la falta de medidas de prevención para la no repetición.</w:t>
      </w:r>
    </w:p>
    <w:p w:rsidR="001D4C6B" w:rsidRPr="00330D3D" w:rsidRDefault="00330D3D">
      <w:pPr>
        <w:spacing w:before="240" w:after="240" w:line="276" w:lineRule="auto"/>
        <w:jc w:val="both"/>
        <w:rPr>
          <w:rFonts w:ascii="Verdana" w:eastAsia="Verdana" w:hAnsi="Verdana" w:cs="Verdana"/>
          <w:b/>
          <w:sz w:val="20"/>
          <w:szCs w:val="20"/>
          <w:highlight w:val="white"/>
          <w:lang w:val="es-CO"/>
        </w:rPr>
      </w:pPr>
      <w:r w:rsidRPr="00330D3D">
        <w:rPr>
          <w:rFonts w:ascii="Verdana" w:eastAsia="Verdana" w:hAnsi="Verdana" w:cs="Verdana"/>
          <w:b/>
          <w:sz w:val="20"/>
          <w:szCs w:val="20"/>
          <w:highlight w:val="white"/>
          <w:lang w:val="es-CO"/>
        </w:rPr>
        <w:t>5</w:t>
      </w:r>
      <w:r w:rsidR="00000000" w:rsidRPr="00330D3D">
        <w:rPr>
          <w:rFonts w:ascii="Verdana" w:eastAsia="Verdana" w:hAnsi="Verdana" w:cs="Verdana"/>
          <w:b/>
          <w:sz w:val="20"/>
          <w:szCs w:val="20"/>
          <w:highlight w:val="white"/>
          <w:lang w:val="es-CO"/>
        </w:rPr>
        <w:t xml:space="preserve">.2 Frente a los impactos económicos </w:t>
      </w:r>
    </w:p>
    <w:p w:rsidR="001D4C6B" w:rsidRPr="00502BF9" w:rsidRDefault="00000000">
      <w:pPr>
        <w:numPr>
          <w:ilvl w:val="0"/>
          <w:numId w:val="2"/>
        </w:numPr>
        <w:spacing w:before="240" w:line="276" w:lineRule="auto"/>
        <w:jc w:val="both"/>
        <w:rPr>
          <w:rFonts w:ascii="Verdana" w:eastAsia="Verdana" w:hAnsi="Verdana" w:cs="Verdana"/>
          <w:sz w:val="20"/>
          <w:szCs w:val="20"/>
          <w:highlight w:val="white"/>
        </w:rPr>
      </w:pPr>
      <w:r w:rsidRPr="00502BF9">
        <w:rPr>
          <w:rFonts w:ascii="Verdana" w:eastAsia="Verdana" w:hAnsi="Verdana" w:cs="Verdana"/>
          <w:sz w:val="20"/>
          <w:szCs w:val="20"/>
          <w:highlight w:val="white"/>
          <w:lang w:val="es-CO"/>
        </w:rPr>
        <w:t xml:space="preserve">Estabilidad económica: las participantes proponen que la labor de búsqueda sea reconocida como un trabajo. Este reconocimiento les permitiría dedicarse a esta tarea sin poner en riesgo su sustento ni el de sus familias. Para lograrlo plantean la necesidad de que se explore la posibilidad de su vinculación laboral en entidades judiciales y extrajudiciales encargadas de la búsqueda, considerando que su conocimiento sobre la búsqueda, sus redes comunitarias y su experiencia acumulada son recursos clave para avanzar en los procesos de búsqueda y localización de personas desaparecidas. Un ejemplo de ello fue la contratación de organizaciones de mujeres buscadoras por parte de la Unidad para las Víctimas, con el fin de acompañar y orientar a otras personas que empezaban estos procesos. </w:t>
      </w:r>
      <w:r w:rsidRPr="00502BF9">
        <w:rPr>
          <w:rFonts w:ascii="Verdana" w:eastAsia="Verdana" w:hAnsi="Verdana" w:cs="Verdana"/>
          <w:sz w:val="20"/>
          <w:szCs w:val="20"/>
          <w:highlight w:val="white"/>
        </w:rPr>
        <w:t xml:space="preserve">Sin embargo, </w:t>
      </w:r>
      <w:proofErr w:type="spellStart"/>
      <w:r w:rsidRPr="00502BF9">
        <w:rPr>
          <w:rFonts w:ascii="Verdana" w:eastAsia="Verdana" w:hAnsi="Verdana" w:cs="Verdana"/>
          <w:sz w:val="20"/>
          <w:szCs w:val="20"/>
          <w:highlight w:val="white"/>
        </w:rPr>
        <w:t>estas</w:t>
      </w:r>
      <w:proofErr w:type="spellEnd"/>
      <w:r w:rsidRPr="00502BF9">
        <w:rPr>
          <w:rFonts w:ascii="Verdana" w:eastAsia="Verdana" w:hAnsi="Verdana" w:cs="Verdana"/>
          <w:sz w:val="20"/>
          <w:szCs w:val="20"/>
          <w:highlight w:val="white"/>
        </w:rPr>
        <w:t xml:space="preserve"> </w:t>
      </w:r>
      <w:proofErr w:type="spellStart"/>
      <w:r w:rsidRPr="00502BF9">
        <w:rPr>
          <w:rFonts w:ascii="Verdana" w:eastAsia="Verdana" w:hAnsi="Verdana" w:cs="Verdana"/>
          <w:sz w:val="20"/>
          <w:szCs w:val="20"/>
          <w:highlight w:val="white"/>
        </w:rPr>
        <w:t>contrataciones</w:t>
      </w:r>
      <w:proofErr w:type="spellEnd"/>
      <w:r w:rsidRPr="00502BF9">
        <w:rPr>
          <w:rFonts w:ascii="Verdana" w:eastAsia="Verdana" w:hAnsi="Verdana" w:cs="Verdana"/>
          <w:sz w:val="20"/>
          <w:szCs w:val="20"/>
          <w:highlight w:val="white"/>
        </w:rPr>
        <w:t xml:space="preserve"> </w:t>
      </w:r>
      <w:proofErr w:type="spellStart"/>
      <w:r w:rsidRPr="00502BF9">
        <w:rPr>
          <w:rFonts w:ascii="Verdana" w:eastAsia="Verdana" w:hAnsi="Verdana" w:cs="Verdana"/>
          <w:sz w:val="20"/>
          <w:szCs w:val="20"/>
          <w:highlight w:val="white"/>
        </w:rPr>
        <w:t>duraron</w:t>
      </w:r>
      <w:proofErr w:type="spellEnd"/>
      <w:r w:rsidRPr="00502BF9">
        <w:rPr>
          <w:rFonts w:ascii="Verdana" w:eastAsia="Verdana" w:hAnsi="Verdana" w:cs="Verdana"/>
          <w:sz w:val="20"/>
          <w:szCs w:val="20"/>
          <w:highlight w:val="white"/>
        </w:rPr>
        <w:t xml:space="preserve"> poco.</w:t>
      </w:r>
    </w:p>
    <w:p w:rsidR="001D4C6B" w:rsidRPr="00502BF9" w:rsidRDefault="00000000">
      <w:pPr>
        <w:numPr>
          <w:ilvl w:val="0"/>
          <w:numId w:val="2"/>
        </w:numPr>
        <w:spacing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Apoyos para las buscadoras de la tercera edad: proponen que se reconozca su labor mediante el acceso a una pensión, ya sea a través del diseño de un régimen especial o mediante la flexibilización de los criterios existentes. En particular, recomiendan que, como medida humanitaria, se les aplique la pensión por invalidez una medida económica otorgada</w:t>
      </w:r>
      <w:r w:rsidRPr="00502BF9">
        <w:rPr>
          <w:rFonts w:ascii="Verdana" w:eastAsia="Verdana" w:hAnsi="Verdana" w:cs="Verdana"/>
          <w:sz w:val="20"/>
          <w:szCs w:val="20"/>
          <w:highlight w:val="white"/>
          <w:vertAlign w:val="superscript"/>
        </w:rPr>
        <w:footnoteReference w:id="2"/>
      </w:r>
      <w:r w:rsidRPr="00502BF9">
        <w:rPr>
          <w:rFonts w:ascii="Verdana" w:eastAsia="Verdana" w:hAnsi="Verdana" w:cs="Verdana"/>
          <w:sz w:val="20"/>
          <w:szCs w:val="20"/>
          <w:highlight w:val="white"/>
          <w:lang w:val="es-CO"/>
        </w:rPr>
        <w:t xml:space="preserve"> a personas víctimas del conflicto armado que, debido a hechos violentos, han perdido más del 50 % de su capacidad laboral o se encuentran en condiciones de especial vulnerabilidad. Las buscadoras argumentan que, si bien no han perdido fuerza física de forma directa, si han sufrido múltiples afectaciones de salud física y mental.</w:t>
      </w:r>
    </w:p>
    <w:p w:rsidR="001D4C6B" w:rsidRPr="00502BF9" w:rsidRDefault="00000000">
      <w:pPr>
        <w:numPr>
          <w:ilvl w:val="0"/>
          <w:numId w:val="2"/>
        </w:numPr>
        <w:spacing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 xml:space="preserve">Derechos de propiedad: Colombia ha establecido la figura jurídica de la declaración de ausencia por desaparición forzada. Se trata de una acción legal que permite a los familiares solicitar una declaración judicial de ausencia con el </w:t>
      </w:r>
      <w:r w:rsidRPr="00502BF9">
        <w:rPr>
          <w:rFonts w:ascii="Verdana" w:eastAsia="Verdana" w:hAnsi="Verdana" w:cs="Verdana"/>
          <w:sz w:val="20"/>
          <w:szCs w:val="20"/>
          <w:highlight w:val="white"/>
          <w:lang w:val="es-CO"/>
        </w:rPr>
        <w:lastRenderedPageBreak/>
        <w:t>fin de proteger y administrar el patrimonio de la persona desaparecida. Esta figura cumple tres funciones fundamentales: autoriza la gestión de los bienes del desaparecido, suspende sus obligaciones civiles y comerciales durante el periodo de ausencia, y garantiza la continuidad de sus derechos civiles. Esta figura permite que las mujeres -o demás familiares- puedan encargarse del patrimonio para evitar una afectación.  A pesar de su utilidad, en la práctica, muchos funcionarios desconocen su existencia o enfrentan barreras institucionales y jurídicas para acceder a ella, lo que limita su capacidad para proteger el patrimonio familiar y agrava su situación de vulnerabilidad económica.</w:t>
      </w:r>
    </w:p>
    <w:p w:rsidR="001D4C6B" w:rsidRPr="00502BF9" w:rsidRDefault="00000000">
      <w:pPr>
        <w:numPr>
          <w:ilvl w:val="0"/>
          <w:numId w:val="2"/>
        </w:numPr>
        <w:spacing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Vivienda: las mujeres proponen facilitar el acceso efectivo a programas de vivienda prioritaria para víctimas del conflicto armado. Aunque el estado ha creado programas de subsidios y mecanismos de priorización para garantizar el derecho a una vivienda digna</w:t>
      </w:r>
      <w:r w:rsidRPr="00502BF9">
        <w:rPr>
          <w:rFonts w:ascii="Verdana" w:eastAsia="Verdana" w:hAnsi="Verdana" w:cs="Verdana"/>
          <w:sz w:val="20"/>
          <w:szCs w:val="20"/>
          <w:highlight w:val="white"/>
          <w:vertAlign w:val="superscript"/>
        </w:rPr>
        <w:footnoteReference w:id="3"/>
      </w:r>
      <w:r w:rsidRPr="00502BF9">
        <w:rPr>
          <w:rFonts w:ascii="Verdana" w:eastAsia="Verdana" w:hAnsi="Verdana" w:cs="Verdana"/>
          <w:sz w:val="20"/>
          <w:szCs w:val="20"/>
          <w:highlight w:val="white"/>
          <w:lang w:val="es-CO"/>
        </w:rPr>
        <w:t xml:space="preserve">, su implementación ha sido limitada y desigual. Es necesario fortalecer estos programas, garantizar su cobertura tanto en zonas urbanas como rurales, y asegurar que las mujeres buscadoras reciban acompañamiento integral durante el proceso de postulación, adjudicación y acceso a los beneficios. </w:t>
      </w:r>
    </w:p>
    <w:p w:rsidR="001D4C6B" w:rsidRPr="00330D3D" w:rsidRDefault="00330D3D">
      <w:pPr>
        <w:spacing w:before="240" w:after="240" w:line="276" w:lineRule="auto"/>
        <w:jc w:val="both"/>
        <w:rPr>
          <w:rFonts w:ascii="Verdana" w:eastAsia="Verdana" w:hAnsi="Verdana" w:cs="Verdana"/>
          <w:b/>
          <w:sz w:val="20"/>
          <w:szCs w:val="20"/>
          <w:highlight w:val="white"/>
          <w:lang w:val="es-CO"/>
        </w:rPr>
      </w:pPr>
      <w:r w:rsidRPr="00330D3D">
        <w:rPr>
          <w:rFonts w:ascii="Verdana" w:eastAsia="Verdana" w:hAnsi="Verdana" w:cs="Verdana"/>
          <w:b/>
          <w:sz w:val="20"/>
          <w:szCs w:val="20"/>
          <w:highlight w:val="white"/>
          <w:lang w:val="es-CO"/>
        </w:rPr>
        <w:t>5</w:t>
      </w:r>
      <w:r w:rsidR="00000000" w:rsidRPr="00330D3D">
        <w:rPr>
          <w:rFonts w:ascii="Verdana" w:eastAsia="Verdana" w:hAnsi="Verdana" w:cs="Verdana"/>
          <w:b/>
          <w:sz w:val="20"/>
          <w:szCs w:val="20"/>
          <w:highlight w:val="white"/>
          <w:lang w:val="es-CO"/>
        </w:rPr>
        <w:t>.3 En relación con la salud</w:t>
      </w:r>
    </w:p>
    <w:p w:rsidR="001D4C6B" w:rsidRPr="00502BF9" w:rsidRDefault="00000000">
      <w:pPr>
        <w:numPr>
          <w:ilvl w:val="0"/>
          <w:numId w:val="1"/>
        </w:numPr>
        <w:spacing w:before="240" w:after="240" w:line="276" w:lineRule="auto"/>
        <w:jc w:val="both"/>
        <w:rPr>
          <w:rFonts w:ascii="Verdana" w:eastAsia="Verdana" w:hAnsi="Verdana" w:cs="Verdana"/>
          <w:b/>
          <w:sz w:val="20"/>
          <w:szCs w:val="20"/>
          <w:highlight w:val="white"/>
          <w:lang w:val="es-CO"/>
        </w:rPr>
      </w:pPr>
      <w:r w:rsidRPr="00502BF9">
        <w:rPr>
          <w:rFonts w:ascii="Verdana" w:eastAsia="Verdana" w:hAnsi="Verdana" w:cs="Verdana"/>
          <w:sz w:val="20"/>
          <w:szCs w:val="20"/>
          <w:highlight w:val="white"/>
          <w:lang w:val="es-CO"/>
        </w:rPr>
        <w:t>Recomiendan que se implemente una atención especializada e integral que aborde de forma diferenciada, dados los impactos propios de la desaparición y la larga búsqueda de los desaparecidos, tanto la salud física como la salud mental. Lo anterior mediante tratamientos continuos, acompañamiento psicosocial y profesionales con formación en atención a víctimas del conflicto armado y la desaparición forzada.</w:t>
      </w:r>
    </w:p>
    <w:p w:rsidR="001D4C6B" w:rsidRPr="00502BF9" w:rsidRDefault="00330D3D">
      <w:pPr>
        <w:spacing w:before="240" w:after="240" w:line="276" w:lineRule="auto"/>
        <w:jc w:val="both"/>
        <w:rPr>
          <w:rFonts w:ascii="Verdana" w:eastAsia="Verdana" w:hAnsi="Verdana" w:cs="Verdana"/>
          <w:b/>
          <w:sz w:val="20"/>
          <w:szCs w:val="20"/>
          <w:highlight w:val="white"/>
        </w:rPr>
      </w:pPr>
      <w:r>
        <w:rPr>
          <w:rFonts w:ascii="Verdana" w:eastAsia="Verdana" w:hAnsi="Verdana" w:cs="Verdana"/>
          <w:b/>
          <w:sz w:val="20"/>
          <w:szCs w:val="20"/>
          <w:highlight w:val="white"/>
        </w:rPr>
        <w:t>5</w:t>
      </w:r>
      <w:r w:rsidR="00000000" w:rsidRPr="00502BF9">
        <w:rPr>
          <w:rFonts w:ascii="Verdana" w:eastAsia="Verdana" w:hAnsi="Verdana" w:cs="Verdana"/>
          <w:b/>
          <w:sz w:val="20"/>
          <w:szCs w:val="20"/>
          <w:highlight w:val="white"/>
        </w:rPr>
        <w:t xml:space="preserve">.4 En </w:t>
      </w:r>
      <w:proofErr w:type="spellStart"/>
      <w:r w:rsidR="00000000" w:rsidRPr="00502BF9">
        <w:rPr>
          <w:rFonts w:ascii="Verdana" w:eastAsia="Verdana" w:hAnsi="Verdana" w:cs="Verdana"/>
          <w:b/>
          <w:sz w:val="20"/>
          <w:szCs w:val="20"/>
          <w:highlight w:val="white"/>
        </w:rPr>
        <w:t>relación</w:t>
      </w:r>
      <w:proofErr w:type="spellEnd"/>
      <w:r w:rsidR="00000000" w:rsidRPr="00502BF9">
        <w:rPr>
          <w:rFonts w:ascii="Verdana" w:eastAsia="Verdana" w:hAnsi="Verdana" w:cs="Verdana"/>
          <w:b/>
          <w:sz w:val="20"/>
          <w:szCs w:val="20"/>
          <w:highlight w:val="white"/>
        </w:rPr>
        <w:t xml:space="preserve"> con la </w:t>
      </w:r>
      <w:proofErr w:type="spellStart"/>
      <w:r w:rsidR="00000000" w:rsidRPr="00502BF9">
        <w:rPr>
          <w:rFonts w:ascii="Verdana" w:eastAsia="Verdana" w:hAnsi="Verdana" w:cs="Verdana"/>
          <w:b/>
          <w:sz w:val="20"/>
          <w:szCs w:val="20"/>
          <w:highlight w:val="white"/>
        </w:rPr>
        <w:t>educación</w:t>
      </w:r>
      <w:proofErr w:type="spellEnd"/>
    </w:p>
    <w:p w:rsidR="001D4C6B" w:rsidRPr="00502BF9" w:rsidRDefault="00000000">
      <w:pPr>
        <w:numPr>
          <w:ilvl w:val="0"/>
          <w:numId w:val="3"/>
        </w:numPr>
        <w:spacing w:before="240" w:after="240" w:line="276" w:lineRule="auto"/>
        <w:jc w:val="both"/>
        <w:rPr>
          <w:rFonts w:ascii="Verdana" w:eastAsia="Verdana" w:hAnsi="Verdana" w:cs="Verdana"/>
          <w:sz w:val="20"/>
          <w:szCs w:val="20"/>
          <w:highlight w:val="white"/>
          <w:lang w:val="es-CO"/>
        </w:rPr>
      </w:pPr>
      <w:r w:rsidRPr="00502BF9">
        <w:rPr>
          <w:rFonts w:ascii="Verdana" w:eastAsia="Verdana" w:hAnsi="Verdana" w:cs="Verdana"/>
          <w:sz w:val="20"/>
          <w:szCs w:val="20"/>
          <w:highlight w:val="white"/>
          <w:lang w:val="es-CO"/>
        </w:rPr>
        <w:t>Recomiendan ampliar el acceso a becas y apoyos educativos para las familias de personas desaparecidas. Aunque, algunas leyes y políticas públicas</w:t>
      </w:r>
      <w:r w:rsidRPr="00502BF9">
        <w:rPr>
          <w:rFonts w:ascii="Verdana" w:eastAsia="Verdana" w:hAnsi="Verdana" w:cs="Verdana"/>
          <w:sz w:val="20"/>
          <w:szCs w:val="20"/>
          <w:highlight w:val="white"/>
          <w:vertAlign w:val="superscript"/>
        </w:rPr>
        <w:footnoteReference w:id="4"/>
      </w:r>
      <w:r w:rsidRPr="00502BF9">
        <w:rPr>
          <w:rFonts w:ascii="Verdana" w:eastAsia="Verdana" w:hAnsi="Verdana" w:cs="Verdana"/>
          <w:sz w:val="20"/>
          <w:szCs w:val="20"/>
          <w:highlight w:val="white"/>
          <w:lang w:val="es-CO"/>
        </w:rPr>
        <w:t xml:space="preserve"> afirman que </w:t>
      </w:r>
      <w:r w:rsidRPr="00502BF9">
        <w:rPr>
          <w:rFonts w:ascii="Verdana" w:eastAsia="Verdana" w:hAnsi="Verdana" w:cs="Verdana"/>
          <w:sz w:val="20"/>
          <w:szCs w:val="20"/>
          <w:highlight w:val="white"/>
          <w:lang w:val="es-CO"/>
        </w:rPr>
        <w:lastRenderedPageBreak/>
        <w:t xml:space="preserve">se darán algunos subsidios, las mujeres consideran que esto no pasa en la práctica. </w:t>
      </w:r>
    </w:p>
    <w:p w:rsidR="001D4C6B"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Esperamos que estos insumos sean de utilidad para las y los miembros del Comité.</w:t>
      </w:r>
    </w:p>
    <w:p w:rsidR="00462C2E" w:rsidRPr="00502BF9" w:rsidRDefault="00000000">
      <w:pPr>
        <w:spacing w:before="240" w:after="240" w:line="276" w:lineRule="auto"/>
        <w:jc w:val="both"/>
        <w:rPr>
          <w:rFonts w:ascii="Verdana" w:eastAsia="Verdana" w:hAnsi="Verdana" w:cs="Verdana"/>
          <w:sz w:val="20"/>
          <w:szCs w:val="20"/>
          <w:lang w:val="es-CO"/>
        </w:rPr>
      </w:pPr>
      <w:r w:rsidRPr="00502BF9">
        <w:rPr>
          <w:rFonts w:ascii="Verdana" w:eastAsia="Verdana" w:hAnsi="Verdana" w:cs="Verdana"/>
          <w:sz w:val="20"/>
          <w:szCs w:val="20"/>
          <w:lang w:val="es-CO"/>
        </w:rPr>
        <w:t>Cordialmente</w:t>
      </w:r>
      <w:r w:rsidR="00462C2E" w:rsidRPr="00502BF9">
        <w:rPr>
          <w:rFonts w:ascii="Verdana" w:eastAsia="Verdana" w:hAnsi="Verdana" w:cs="Verdana"/>
          <w:sz w:val="20"/>
          <w:szCs w:val="20"/>
          <w:lang w:val="es-CO"/>
        </w:rPr>
        <w:t>,</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502BF9" w:rsidRPr="00330D3D" w:rsidTr="00502BF9">
        <w:tc>
          <w:tcPr>
            <w:tcW w:w="4414" w:type="dxa"/>
          </w:tcPr>
          <w:p w:rsidR="00502BF9" w:rsidRPr="00502BF9" w:rsidRDefault="00502BF9" w:rsidP="00502BF9">
            <w:pPr>
              <w:spacing w:before="240" w:after="240" w:line="276" w:lineRule="auto"/>
              <w:jc w:val="both"/>
              <w:rPr>
                <w:rFonts w:ascii="Verdana" w:eastAsia="Verdana" w:hAnsi="Verdana" w:cs="Verdana"/>
                <w:b/>
                <w:sz w:val="20"/>
                <w:szCs w:val="20"/>
                <w:lang w:val="es-CO"/>
              </w:rPr>
            </w:pPr>
            <w:r w:rsidRPr="00502BF9">
              <w:rPr>
                <w:rFonts w:ascii="Verdana" w:eastAsia="Verdana" w:hAnsi="Verdana" w:cs="Verdana"/>
                <w:b/>
                <w:sz w:val="20"/>
                <w:szCs w:val="20"/>
                <w:lang w:val="es-CO"/>
              </w:rPr>
              <w:t>Paola Molano</w:t>
            </w:r>
          </w:p>
          <w:p w:rsidR="00502BF9" w:rsidRDefault="00502BF9" w:rsidP="00502BF9">
            <w:pPr>
              <w:spacing w:before="240" w:after="240" w:line="276" w:lineRule="auto"/>
              <w:jc w:val="both"/>
              <w:rPr>
                <w:rFonts w:ascii="Verdana" w:eastAsia="Verdana" w:hAnsi="Verdana" w:cs="Verdana"/>
                <w:b/>
                <w:sz w:val="20"/>
                <w:szCs w:val="20"/>
                <w:lang w:val="es-CO"/>
              </w:rPr>
            </w:pPr>
            <w:r w:rsidRPr="00502BF9">
              <w:rPr>
                <w:rFonts w:ascii="Verdana" w:eastAsia="Verdana" w:hAnsi="Verdana" w:cs="Verdana"/>
                <w:b/>
                <w:sz w:val="20"/>
                <w:szCs w:val="20"/>
                <w:lang w:val="es-CO"/>
              </w:rPr>
              <w:t>Coordinadora- justicia transicional</w:t>
            </w:r>
          </w:p>
        </w:tc>
        <w:tc>
          <w:tcPr>
            <w:tcW w:w="4414" w:type="dxa"/>
          </w:tcPr>
          <w:p w:rsidR="00502BF9" w:rsidRPr="00502BF9" w:rsidRDefault="00502BF9" w:rsidP="00502BF9">
            <w:pPr>
              <w:spacing w:before="240" w:after="240" w:line="276" w:lineRule="auto"/>
              <w:jc w:val="both"/>
              <w:rPr>
                <w:rFonts w:ascii="Verdana" w:eastAsia="Verdana" w:hAnsi="Verdana" w:cs="Verdana"/>
                <w:b/>
                <w:sz w:val="20"/>
                <w:szCs w:val="20"/>
                <w:lang w:val="es-CO"/>
              </w:rPr>
            </w:pPr>
            <w:r w:rsidRPr="00502BF9">
              <w:rPr>
                <w:rFonts w:ascii="Verdana" w:eastAsia="Verdana" w:hAnsi="Verdana" w:cs="Verdana"/>
                <w:b/>
                <w:sz w:val="20"/>
                <w:szCs w:val="20"/>
                <w:lang w:val="es-CO"/>
              </w:rPr>
              <w:t>Paula Valencia</w:t>
            </w:r>
          </w:p>
          <w:p w:rsidR="00502BF9" w:rsidRDefault="00502BF9" w:rsidP="00502BF9">
            <w:pPr>
              <w:spacing w:before="240" w:after="240" w:line="276" w:lineRule="auto"/>
              <w:jc w:val="both"/>
              <w:rPr>
                <w:rFonts w:ascii="Verdana" w:eastAsia="Verdana" w:hAnsi="Verdana" w:cs="Verdana"/>
                <w:b/>
                <w:sz w:val="20"/>
                <w:szCs w:val="20"/>
                <w:lang w:val="es-CO"/>
              </w:rPr>
            </w:pPr>
            <w:r w:rsidRPr="00502BF9">
              <w:rPr>
                <w:rFonts w:ascii="Verdana" w:eastAsia="Verdana" w:hAnsi="Verdana" w:cs="Verdana"/>
                <w:b/>
                <w:sz w:val="20"/>
                <w:szCs w:val="20"/>
                <w:lang w:val="es-CO"/>
              </w:rPr>
              <w:t>Investigadora- justicia transicional</w:t>
            </w:r>
          </w:p>
        </w:tc>
      </w:tr>
    </w:tbl>
    <w:p w:rsidR="00502BF9" w:rsidRPr="00502BF9" w:rsidRDefault="00502BF9" w:rsidP="00502BF9">
      <w:pPr>
        <w:spacing w:before="240" w:after="240" w:line="276" w:lineRule="auto"/>
        <w:jc w:val="both"/>
        <w:rPr>
          <w:rFonts w:ascii="Verdana" w:eastAsia="Verdana" w:hAnsi="Verdana" w:cs="Verdana"/>
          <w:b/>
          <w:sz w:val="20"/>
          <w:szCs w:val="20"/>
          <w:lang w:val="es-CO"/>
        </w:rPr>
      </w:pPr>
      <w:r w:rsidRPr="00502BF9">
        <w:rPr>
          <w:rFonts w:ascii="Verdana" w:eastAsia="Verdana" w:hAnsi="Verdana" w:cs="Verdana"/>
          <w:b/>
          <w:sz w:val="20"/>
          <w:szCs w:val="20"/>
          <w:lang w:val="es-CO"/>
        </w:rPr>
        <w:tab/>
      </w:r>
    </w:p>
    <w:sectPr w:rsidR="00502BF9" w:rsidRPr="00502BF9">
      <w:headerReference w:type="default" r:id="rId8"/>
      <w:footerReference w:type="default" r:id="rId9"/>
      <w:pgSz w:w="12240" w:h="15840"/>
      <w:pgMar w:top="1418" w:right="1701" w:bottom="851" w:left="1701" w:header="113" w:footer="141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039C0" w:rsidRDefault="00F039C0">
      <w:r>
        <w:separator/>
      </w:r>
    </w:p>
  </w:endnote>
  <w:endnote w:type="continuationSeparator" w:id="0">
    <w:p w:rsidR="00F039C0" w:rsidRDefault="00F03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panose1 w:val="02000503000000020004"/>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4C6B" w:rsidRDefault="00462C2E">
    <w:pPr>
      <w:rPr>
        <w:rFonts w:ascii="Verdana" w:eastAsia="Verdana" w:hAnsi="Verdana" w:cs="Verdana"/>
        <w:b/>
        <w:sz w:val="20"/>
        <w:szCs w:val="20"/>
      </w:rPr>
    </w:pPr>
    <w:r>
      <w:rPr>
        <w:noProof/>
      </w:rPr>
      <w:drawing>
        <wp:anchor distT="0" distB="0" distL="114300" distR="114300" simplePos="0" relativeHeight="251657215" behindDoc="1" locked="0" layoutInCell="1" hidden="0" allowOverlap="1" wp14:anchorId="24305A26" wp14:editId="6DFF2404">
          <wp:simplePos x="0" y="0"/>
          <wp:positionH relativeFrom="column">
            <wp:posOffset>4948132</wp:posOffset>
          </wp:positionH>
          <wp:positionV relativeFrom="paragraph">
            <wp:posOffset>-383752</wp:posOffset>
          </wp:positionV>
          <wp:extent cx="1685925" cy="1685925"/>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50000"/>
                  </a:blip>
                  <a:srcRect/>
                  <a:stretch>
                    <a:fillRect/>
                  </a:stretch>
                </pic:blipFill>
                <pic:spPr>
                  <a:xfrm>
                    <a:off x="0" y="0"/>
                    <a:ext cx="1685925" cy="1685925"/>
                  </a:xfrm>
                  <a:prstGeom prst="rect">
                    <a:avLst/>
                  </a:prstGeom>
                  <a:ln/>
                </pic:spPr>
              </pic:pic>
            </a:graphicData>
          </a:graphic>
        </wp:anchor>
      </w:drawing>
    </w:r>
  </w:p>
  <w:p w:rsidR="001D4C6B" w:rsidRDefault="00000000">
    <w:pPr>
      <w:rPr>
        <w:rFonts w:ascii="Verdana" w:eastAsia="Verdana" w:hAnsi="Verdana" w:cs="Verdana"/>
        <w:b/>
        <w:sz w:val="20"/>
        <w:szCs w:val="20"/>
      </w:rPr>
    </w:pPr>
    <w:r>
      <w:rPr>
        <w:rFonts w:ascii="Verdana" w:eastAsia="Verdana" w:hAnsi="Verdana" w:cs="Verdana"/>
        <w:b/>
        <w:sz w:val="20"/>
        <w:szCs w:val="20"/>
      </w:rPr>
      <w:fldChar w:fldCharType="begin"/>
    </w:r>
    <w:r>
      <w:rPr>
        <w:rFonts w:ascii="Verdana" w:eastAsia="Verdana" w:hAnsi="Verdana" w:cs="Verdana"/>
        <w:b/>
        <w:sz w:val="20"/>
        <w:szCs w:val="20"/>
      </w:rPr>
      <w:instrText>PAGE</w:instrText>
    </w:r>
    <w:r>
      <w:rPr>
        <w:rFonts w:ascii="Verdana" w:eastAsia="Verdana" w:hAnsi="Verdana" w:cs="Verdana"/>
        <w:b/>
        <w:sz w:val="20"/>
        <w:szCs w:val="20"/>
      </w:rPr>
      <w:fldChar w:fldCharType="separate"/>
    </w:r>
    <w:r w:rsidR="00983E3E">
      <w:rPr>
        <w:rFonts w:ascii="Verdana" w:eastAsia="Verdana" w:hAnsi="Verdana" w:cs="Verdana"/>
        <w:b/>
        <w:noProof/>
        <w:sz w:val="20"/>
        <w:szCs w:val="20"/>
      </w:rPr>
      <w:t>1</w:t>
    </w:r>
    <w:r>
      <w:rPr>
        <w:rFonts w:ascii="Verdana" w:eastAsia="Verdana" w:hAnsi="Verdana" w:cs="Verdana"/>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039C0" w:rsidRDefault="00F039C0">
      <w:r>
        <w:separator/>
      </w:r>
    </w:p>
  </w:footnote>
  <w:footnote w:type="continuationSeparator" w:id="0">
    <w:p w:rsidR="00F039C0" w:rsidRDefault="00F039C0">
      <w:r>
        <w:continuationSeparator/>
      </w:r>
    </w:p>
  </w:footnote>
  <w:footnote w:id="1">
    <w:p w:rsidR="001D4C6B" w:rsidRPr="00462C2E" w:rsidRDefault="00000000">
      <w:pPr>
        <w:jc w:val="both"/>
        <w:rPr>
          <w:rFonts w:ascii="Verdana" w:eastAsia="Verdana" w:hAnsi="Verdana" w:cs="Verdana"/>
          <w:sz w:val="10"/>
          <w:szCs w:val="10"/>
          <w:lang w:val="es-CO"/>
        </w:rPr>
      </w:pPr>
      <w:r>
        <w:rPr>
          <w:vertAlign w:val="superscript"/>
        </w:rPr>
        <w:footnoteRef/>
      </w:r>
      <w:r w:rsidRPr="00462C2E">
        <w:rPr>
          <w:rFonts w:ascii="Verdana" w:eastAsia="Verdana" w:hAnsi="Verdana" w:cs="Verdana"/>
          <w:sz w:val="20"/>
          <w:szCs w:val="20"/>
          <w:lang w:val="es-CO"/>
        </w:rPr>
        <w:t xml:space="preserve"> Para más información sobre nuestro trabajo pueden visitar la página web: www.dejusticia.org</w:t>
      </w:r>
    </w:p>
  </w:footnote>
  <w:footnote w:id="2">
    <w:p w:rsidR="001D4C6B" w:rsidRPr="00462C2E" w:rsidRDefault="00000000">
      <w:pPr>
        <w:rPr>
          <w:rFonts w:ascii="Verdana" w:eastAsia="Verdana" w:hAnsi="Verdana" w:cs="Verdana"/>
          <w:sz w:val="20"/>
          <w:szCs w:val="20"/>
          <w:lang w:val="es-CO"/>
        </w:rPr>
      </w:pPr>
      <w:r>
        <w:rPr>
          <w:vertAlign w:val="superscript"/>
        </w:rPr>
        <w:footnoteRef/>
      </w:r>
      <w:r w:rsidRPr="00462C2E">
        <w:rPr>
          <w:rFonts w:ascii="Verdana" w:eastAsia="Verdana" w:hAnsi="Verdana" w:cs="Verdana"/>
          <w:sz w:val="20"/>
          <w:szCs w:val="20"/>
          <w:lang w:val="es-CO"/>
        </w:rPr>
        <w:t xml:space="preserve"> Véase Ley 418 de 1997 y la sentencia SL3675-2021. </w:t>
      </w:r>
    </w:p>
  </w:footnote>
  <w:footnote w:id="3">
    <w:p w:rsidR="001D4C6B" w:rsidRPr="00462C2E" w:rsidRDefault="00000000">
      <w:pPr>
        <w:rPr>
          <w:rFonts w:ascii="Verdana" w:eastAsia="Verdana" w:hAnsi="Verdana" w:cs="Verdana"/>
          <w:sz w:val="20"/>
          <w:szCs w:val="20"/>
          <w:lang w:val="es-CO"/>
        </w:rPr>
      </w:pPr>
      <w:r>
        <w:rPr>
          <w:vertAlign w:val="superscript"/>
        </w:rPr>
        <w:footnoteRef/>
      </w:r>
      <w:r w:rsidRPr="00462C2E">
        <w:rPr>
          <w:rFonts w:ascii="Verdana" w:eastAsia="Verdana" w:hAnsi="Verdana" w:cs="Verdana"/>
          <w:sz w:val="20"/>
          <w:szCs w:val="20"/>
          <w:lang w:val="es-CO"/>
        </w:rPr>
        <w:t xml:space="preserve"> </w:t>
      </w:r>
      <w:r w:rsidRPr="00462C2E">
        <w:rPr>
          <w:rFonts w:ascii="Verdana" w:eastAsia="Verdana" w:hAnsi="Verdana" w:cs="Verdana"/>
          <w:sz w:val="20"/>
          <w:szCs w:val="20"/>
          <w:highlight w:val="white"/>
          <w:lang w:val="es-CO"/>
        </w:rPr>
        <w:t xml:space="preserve">Programas como: “Mi casa ya” y “Casa Mía” buscan que las víctimas del conflicto armado tengan vivienda propia. </w:t>
      </w:r>
    </w:p>
  </w:footnote>
  <w:footnote w:id="4">
    <w:p w:rsidR="001D4C6B" w:rsidRPr="00462C2E" w:rsidRDefault="00000000">
      <w:pPr>
        <w:jc w:val="both"/>
        <w:rPr>
          <w:rFonts w:ascii="Verdana" w:eastAsia="Verdana" w:hAnsi="Verdana" w:cs="Verdana"/>
          <w:sz w:val="20"/>
          <w:szCs w:val="20"/>
          <w:lang w:val="es-CO"/>
        </w:rPr>
      </w:pPr>
      <w:r>
        <w:rPr>
          <w:vertAlign w:val="superscript"/>
        </w:rPr>
        <w:footnoteRef/>
      </w:r>
      <w:r w:rsidRPr="00462C2E">
        <w:rPr>
          <w:rFonts w:ascii="Verdana" w:eastAsia="Verdana" w:hAnsi="Verdana" w:cs="Verdana"/>
          <w:sz w:val="20"/>
          <w:szCs w:val="20"/>
          <w:lang w:val="es-CO"/>
        </w:rPr>
        <w:t xml:space="preserve"> La Ley 1448 de 2011 establece que las Instituciones de Educación Superior (IES) deben definir los procesos de selección, admisión y matrícula que posibiliten a las víctimas acceder a los programas académicos. En el año 2013, el Ministerio de Educación Nacional, ICETEX y La Unidad para las Víctimas constituyeron el Convenio de Cooperación 389 con el fin de materializar la Ley y se creó el “Fondo de Reparación para el Acceso, Permanencia y Graduación en Educación Superior para Víctimas del Conflicto Armado en Colombia”. Este fondo ofrece créditos 100% </w:t>
      </w:r>
      <w:proofErr w:type="spellStart"/>
      <w:r w:rsidRPr="00462C2E">
        <w:rPr>
          <w:rFonts w:ascii="Verdana" w:eastAsia="Verdana" w:hAnsi="Verdana" w:cs="Verdana"/>
          <w:sz w:val="20"/>
          <w:szCs w:val="20"/>
          <w:lang w:val="es-CO"/>
        </w:rPr>
        <w:t>condonables</w:t>
      </w:r>
      <w:proofErr w:type="spellEnd"/>
      <w:r w:rsidRPr="00462C2E">
        <w:rPr>
          <w:rFonts w:ascii="Verdana" w:eastAsia="Verdana" w:hAnsi="Verdana" w:cs="Verdana"/>
          <w:sz w:val="20"/>
          <w:szCs w:val="20"/>
          <w:lang w:val="es-CO"/>
        </w:rPr>
        <w:t xml:space="preserve"> para adelantar programas en los niveles técnico, tecnológico y profesional hasta por once Salarios Mínimos Mensuales Legales Vigentes del valor total de la matrícula del periodo académico y, además, ofrece un recurso de sostenimiento por uno punto cinco salarios mínimos mensuales legales vigentes  por semestre.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D4C6B" w:rsidRDefault="001D4C6B">
    <w:pPr>
      <w:pBdr>
        <w:top w:val="nil"/>
        <w:left w:val="nil"/>
        <w:bottom w:val="nil"/>
        <w:right w:val="nil"/>
        <w:between w:val="nil"/>
      </w:pBdr>
      <w:tabs>
        <w:tab w:val="center" w:pos="4419"/>
        <w:tab w:val="right" w:pos="8838"/>
        <w:tab w:val="right" w:pos="8818"/>
      </w:tabs>
      <w:jc w:val="right"/>
      <w:rPr>
        <w:color w:val="000000"/>
      </w:rPr>
    </w:pPr>
  </w:p>
  <w:p w:rsidR="001D4C6B" w:rsidRDefault="00000000">
    <w:pPr>
      <w:pBdr>
        <w:top w:val="nil"/>
        <w:left w:val="nil"/>
        <w:bottom w:val="nil"/>
        <w:right w:val="nil"/>
        <w:between w:val="nil"/>
      </w:pBdr>
      <w:jc w:val="right"/>
    </w:pPr>
    <w:r>
      <w:rPr>
        <w:noProof/>
      </w:rPr>
      <w:drawing>
        <wp:anchor distT="0" distB="0" distL="0" distR="0" simplePos="0" relativeHeight="251658240" behindDoc="1" locked="0" layoutInCell="1" hidden="0" allowOverlap="1">
          <wp:simplePos x="0" y="0"/>
          <wp:positionH relativeFrom="column">
            <wp:posOffset>-602168</wp:posOffset>
          </wp:positionH>
          <wp:positionV relativeFrom="paragraph">
            <wp:posOffset>241300</wp:posOffset>
          </wp:positionV>
          <wp:extent cx="3084195" cy="396875"/>
          <wp:effectExtent l="0" t="0" r="0" b="0"/>
          <wp:wrapNone/>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084195" cy="396875"/>
                  </a:xfrm>
                  <a:prstGeom prst="rect">
                    <a:avLst/>
                  </a:prstGeom>
                  <a:ln/>
                </pic:spPr>
              </pic:pic>
            </a:graphicData>
          </a:graphic>
        </wp:anchor>
      </w:drawing>
    </w:r>
    <w:r>
      <w:rPr>
        <w:noProof/>
      </w:rPr>
      <w:drawing>
        <wp:anchor distT="0" distB="0" distL="0" distR="0" simplePos="0" relativeHeight="251659264" behindDoc="1" locked="0" layoutInCell="1" hidden="0" allowOverlap="1">
          <wp:simplePos x="0" y="0"/>
          <wp:positionH relativeFrom="column">
            <wp:posOffset>3960050</wp:posOffset>
          </wp:positionH>
          <wp:positionV relativeFrom="paragraph">
            <wp:posOffset>213360</wp:posOffset>
          </wp:positionV>
          <wp:extent cx="2308225" cy="538480"/>
          <wp:effectExtent l="0" t="0" r="0" b="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308225" cy="538480"/>
                  </a:xfrm>
                  <a:prstGeom prst="rect">
                    <a:avLst/>
                  </a:prstGeom>
                  <a:ln/>
                </pic:spPr>
              </pic:pic>
            </a:graphicData>
          </a:graphic>
        </wp:anchor>
      </w:drawing>
    </w:r>
  </w:p>
  <w:p w:rsidR="001D4C6B" w:rsidRDefault="001D4C6B">
    <w:pPr>
      <w:pBdr>
        <w:top w:val="nil"/>
        <w:left w:val="nil"/>
        <w:bottom w:val="nil"/>
        <w:right w:val="nil"/>
        <w:between w:val="nil"/>
      </w:pBdr>
      <w:jc w:val="right"/>
    </w:pPr>
  </w:p>
  <w:p w:rsidR="001D4C6B" w:rsidRDefault="001D4C6B">
    <w:pPr>
      <w:pBdr>
        <w:top w:val="nil"/>
        <w:left w:val="nil"/>
        <w:bottom w:val="nil"/>
        <w:right w:val="nil"/>
        <w:between w:val="nil"/>
      </w:pBdr>
      <w:jc w:val="right"/>
    </w:pPr>
  </w:p>
  <w:p w:rsidR="001D4C6B" w:rsidRDefault="001D4C6B">
    <w:pPr>
      <w:pBdr>
        <w:top w:val="nil"/>
        <w:left w:val="nil"/>
        <w:bottom w:val="nil"/>
        <w:right w:val="nil"/>
        <w:between w:val="nil"/>
      </w:pBdr>
      <w:jc w:val="right"/>
    </w:pPr>
  </w:p>
  <w:p w:rsidR="001D4C6B" w:rsidRDefault="001D4C6B">
    <w:pPr>
      <w:pBdr>
        <w:top w:val="nil"/>
        <w:left w:val="nil"/>
        <w:bottom w:val="nil"/>
        <w:right w:val="nil"/>
        <w:between w:val="nil"/>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C6087"/>
    <w:multiLevelType w:val="multilevel"/>
    <w:tmpl w:val="A7168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FE22555"/>
    <w:multiLevelType w:val="multilevel"/>
    <w:tmpl w:val="BE1CC2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CFD2F5A"/>
    <w:multiLevelType w:val="multilevel"/>
    <w:tmpl w:val="91722B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C1D2ABE"/>
    <w:multiLevelType w:val="hybridMultilevel"/>
    <w:tmpl w:val="5D66A76E"/>
    <w:lvl w:ilvl="0" w:tplc="D4DEFDB2">
      <w:start w:val="1"/>
      <w:numFmt w:val="decimal"/>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828284148">
    <w:abstractNumId w:val="2"/>
  </w:num>
  <w:num w:numId="2" w16cid:durableId="1769236006">
    <w:abstractNumId w:val="1"/>
  </w:num>
  <w:num w:numId="3" w16cid:durableId="1930113469">
    <w:abstractNumId w:val="0"/>
  </w:num>
  <w:num w:numId="4" w16cid:durableId="7063770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C6B"/>
    <w:rsid w:val="001D4C6B"/>
    <w:rsid w:val="00330D3D"/>
    <w:rsid w:val="00462C2E"/>
    <w:rsid w:val="00502BF9"/>
    <w:rsid w:val="00953EC1"/>
    <w:rsid w:val="00983E3E"/>
    <w:rsid w:val="00F039C0"/>
    <w:rsid w:val="00F96A1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47A26"/>
  <w15:docId w15:val="{730833AC-9A22-B14F-A0BC-119E0414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styleId="Hipervnculo">
    <w:name w:val="Hyperlink"/>
    <w:rPr>
      <w:u w:val="single"/>
    </w:rPr>
  </w:style>
  <w:style w:type="table" w:customStyle="1" w:styleId="TableNormal3">
    <w:name w:val="Table Normal"/>
    <w:tblPr>
      <w:tblInd w:w="0" w:type="dxa"/>
      <w:tblCellMar>
        <w:top w:w="0" w:type="dxa"/>
        <w:left w:w="0" w:type="dxa"/>
        <w:bottom w:w="0" w:type="dxa"/>
        <w:right w:w="0" w:type="dxa"/>
      </w:tblCellMar>
    </w:tblPr>
  </w:style>
  <w:style w:type="paragraph" w:styleId="Encabezado">
    <w:name w:val="header"/>
    <w:pPr>
      <w:tabs>
        <w:tab w:val="center" w:pos="4419"/>
        <w:tab w:val="right" w:pos="8838"/>
      </w:tabs>
    </w:pPr>
    <w:rPr>
      <w:rFonts w:cs="Arial Unicode MS"/>
      <w:color w:val="000000"/>
      <w:u w:color="000000"/>
    </w:rPr>
  </w:style>
  <w:style w:type="paragraph" w:styleId="NormalWeb">
    <w:name w:val="Normal (Web)"/>
    <w:pPr>
      <w:spacing w:before="100" w:after="100"/>
    </w:pPr>
    <w:rPr>
      <w:rFonts w:cs="Arial Unicode MS"/>
      <w:color w:val="000000"/>
      <w:u w:color="000000"/>
    </w:rPr>
  </w:style>
  <w:style w:type="character" w:customStyle="1" w:styleId="Ninguno">
    <w:name w:val="Ninguno"/>
    <w:rPr>
      <w:lang w:val="es-ES_tradnl"/>
    </w:rPr>
  </w:style>
  <w:style w:type="paragraph" w:styleId="Piedepgina">
    <w:name w:val="footer"/>
    <w:pPr>
      <w:tabs>
        <w:tab w:val="center" w:pos="4419"/>
        <w:tab w:val="right" w:pos="8838"/>
      </w:tabs>
    </w:pPr>
    <w:rPr>
      <w:rFonts w:cs="Arial Unicode MS"/>
      <w:color w:val="000000"/>
      <w:u w:color="000000"/>
    </w:rPr>
  </w:style>
  <w:style w:type="paragraph" w:customStyle="1" w:styleId="Cuerpo">
    <w:name w:val="Cuerpo"/>
    <w:rPr>
      <w:color w:val="000000"/>
      <w:u w:color="000000"/>
    </w:rPr>
  </w:style>
  <w:style w:type="paragraph" w:styleId="Sinespaciado">
    <w:name w:val="No Spacing"/>
    <w:rPr>
      <w:rFonts w:ascii="Helvetica Neue" w:eastAsia="Helvetica Neue" w:hAnsi="Helvetica Neue" w:cs="Helvetica Neue"/>
      <w:color w:val="000000"/>
      <w:sz w:val="22"/>
      <w:szCs w:val="22"/>
      <w:u w:color="000000"/>
    </w:rPr>
  </w:style>
  <w:style w:type="paragraph" w:styleId="Prrafodelista">
    <w:name w:val="List Paragraph"/>
    <w:pPr>
      <w:spacing w:after="160" w:line="259" w:lineRule="auto"/>
      <w:ind w:left="720"/>
    </w:pPr>
    <w:rPr>
      <w:rFonts w:ascii="Helvetica Neue" w:hAnsi="Helvetica Neue" w:cs="Arial Unicode MS"/>
      <w:color w:val="000000"/>
      <w:sz w:val="22"/>
      <w:szCs w:val="22"/>
      <w:u w:color="000000"/>
    </w:rPr>
  </w:style>
  <w:style w:type="numbering" w:customStyle="1" w:styleId="Estiloimportado1">
    <w:name w:val="Estilo importado 1"/>
  </w:style>
  <w:style w:type="numbering" w:customStyle="1" w:styleId="Estiloimportado2">
    <w:name w:val="Estilo importado 2"/>
  </w:style>
  <w:style w:type="paragraph" w:customStyle="1" w:styleId="Predeterminado">
    <w:name w:val="Predeterminado"/>
    <w:rPr>
      <w:rFonts w:ascii="Helvetica Neue" w:eastAsia="Helvetica Neue" w:hAnsi="Helvetica Neue" w:cs="Helvetica Neue"/>
      <w:color w:val="000000"/>
      <w:sz w:val="22"/>
      <w:szCs w:val="22"/>
    </w:rPr>
  </w:style>
  <w:style w:type="paragraph" w:styleId="Textonotapie">
    <w:name w:val="footnote text"/>
    <w:rPr>
      <w:color w:val="000000"/>
      <w:u w:color="000000"/>
    </w:rPr>
  </w:style>
  <w:style w:type="character" w:customStyle="1" w:styleId="Hyperlink0">
    <w:name w:val="Hyperlink.0"/>
    <w:basedOn w:val="Hipervnculo"/>
    <w:rPr>
      <w:color w:val="0000FF"/>
      <w:u w:val="single" w:color="0000FF"/>
    </w:rPr>
  </w:style>
  <w:style w:type="character" w:styleId="Refdenotaalpie">
    <w:name w:val="footnote reference"/>
    <w:basedOn w:val="Ninguno"/>
    <w:rPr>
      <w:vertAlign w:val="superscript"/>
      <w:lang w:val="es-ES_tradnl"/>
    </w:rPr>
  </w:style>
  <w:style w:type="numbering" w:customStyle="1" w:styleId="Estiloimportado3">
    <w:name w:val="Estilo importado 3"/>
  </w:style>
  <w:style w:type="character" w:customStyle="1" w:styleId="Hyperlink1">
    <w:name w:val="Hyperlink.1"/>
    <w:basedOn w:val="Hyperlink0"/>
    <w:rPr>
      <w:color w:val="000000"/>
      <w:u w:val="single" w:color="000000"/>
      <w:lang w:val="es-ES_tradnl"/>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lang w:val="en-US" w:eastAsia="en-US"/>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51764A"/>
    <w:rPr>
      <w:sz w:val="18"/>
      <w:szCs w:val="18"/>
    </w:rPr>
  </w:style>
  <w:style w:type="character" w:customStyle="1" w:styleId="TextodegloboCar">
    <w:name w:val="Texto de globo Car"/>
    <w:basedOn w:val="Fuentedeprrafopredeter"/>
    <w:link w:val="Textodeglobo"/>
    <w:uiPriority w:val="99"/>
    <w:semiHidden/>
    <w:rsid w:val="0051764A"/>
    <w:rPr>
      <w:sz w:val="18"/>
      <w:szCs w:val="18"/>
      <w:lang w:val="en-US"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styleId="Tablaconcuadrcula">
    <w:name w:val="Table Grid"/>
    <w:basedOn w:val="Tablanormal"/>
    <w:uiPriority w:val="39"/>
    <w:rsid w:val="00462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Neue"/>
        <a:ea typeface="Helvetica Neue"/>
        <a:cs typeface="Helvetica Neue"/>
      </a:majorFont>
      <a:minorFont>
        <a:latin typeface="Helvetica Neue"/>
        <a:ea typeface="Helvetica Neue"/>
        <a:cs typeface="Helvetica Neue"/>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x7coc16aE+iupyvHNdUk3JLQ2w==">CgMxLjAaHwoBMBIaChgICVIUChJ0YWJsZS5kdTg2aWVkeWRlODU4AHIhMW5yREV5WEFKVEYzWkswbTBCQjB3U2U1LWI2V3JndEVX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dd248d4efb54fc5bf0b0047e1a70ba1">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54a185e515d7a1427d9071b78a4d178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Dejusticia</Contributor>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6BFB425-A746-4169-889B-D31517BA69D9}"/>
</file>

<file path=customXml/itemProps3.xml><?xml version="1.0" encoding="utf-8"?>
<ds:datastoreItem xmlns:ds="http://schemas.openxmlformats.org/officeDocument/2006/customXml" ds:itemID="{0C434BCB-3DFE-492E-A0D7-4B46B940291C}"/>
</file>

<file path=customXml/itemProps4.xml><?xml version="1.0" encoding="utf-8"?>
<ds:datastoreItem xmlns:ds="http://schemas.openxmlformats.org/officeDocument/2006/customXml" ds:itemID="{7929BE77-BD04-47A3-A6DB-27FFDDD555AB}"/>
</file>

<file path=docProps/app.xml><?xml version="1.0" encoding="utf-8"?>
<Properties xmlns="http://schemas.openxmlformats.org/officeDocument/2006/extended-properties" xmlns:vt="http://schemas.openxmlformats.org/officeDocument/2006/docPropsVTypes">
  <Template>Normal.dotm</Template>
  <TotalTime>5</TotalTime>
  <Pages>10</Pages>
  <Words>3885</Words>
  <Characters>21373</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Juanita Rosales</dc:creator>
  <cp:lastModifiedBy>Paola Molano Ayala</cp:lastModifiedBy>
  <cp:revision>4</cp:revision>
  <cp:lastPrinted>2025-07-03T21:41:00Z</cp:lastPrinted>
  <dcterms:created xsi:type="dcterms:W3CDTF">2025-07-03T21:41:00Z</dcterms:created>
  <dcterms:modified xsi:type="dcterms:W3CDTF">2025-07-03T21:46:00Z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