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39C2" w:rsidRDefault="00000000">
      <w:pPr>
        <w:spacing w:line="276" w:lineRule="auto"/>
        <w:jc w:val="both"/>
        <w:rPr>
          <w:rFonts w:ascii="Times New Roman" w:eastAsia="Times New Roman" w:hAnsi="Times New Roman" w:cs="Times New Roman"/>
          <w:b/>
          <w:sz w:val="20"/>
          <w:szCs w:val="20"/>
          <w:highlight w:val="yellow"/>
        </w:rPr>
      </w:pPr>
      <w:r>
        <w:rPr>
          <w:rFonts w:ascii="Times New Roman" w:eastAsia="Times New Roman" w:hAnsi="Times New Roman" w:cs="Times New Roman"/>
          <w:b/>
          <w:sz w:val="20"/>
          <w:szCs w:val="20"/>
        </w:rPr>
        <w:t xml:space="preserve">OHCHR: Call for inputs on women, girls and enforced disappearances (concept note for CED General Comment </w:t>
      </w:r>
      <w:proofErr w:type="spellStart"/>
      <w:r>
        <w:rPr>
          <w:rFonts w:ascii="Times New Roman" w:eastAsia="Times New Roman" w:hAnsi="Times New Roman" w:cs="Times New Roman"/>
          <w:b/>
          <w:sz w:val="20"/>
          <w:szCs w:val="20"/>
        </w:rPr>
        <w:t>n</w:t>
      </w:r>
      <w:proofErr w:type="spellEnd"/>
      <w:r>
        <w:rPr>
          <w:rFonts w:ascii="Times New Roman" w:eastAsia="Times New Roman" w:hAnsi="Times New Roman" w:cs="Times New Roman"/>
          <w:b/>
          <w:sz w:val="20"/>
          <w:szCs w:val="20"/>
        </w:rPr>
        <w:t>°2)</w:t>
      </w:r>
    </w:p>
    <w:p w:rsidR="00AB39C2" w:rsidRDefault="00000000">
      <w:pPr>
        <w:spacing w:line="276"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Commentary by AsyLex Regarding Switzerland</w:t>
      </w:r>
    </w:p>
    <w:p w:rsidR="00AB39C2" w:rsidRDefault="00AB39C2">
      <w:pPr>
        <w:spacing w:line="276" w:lineRule="auto"/>
        <w:rPr>
          <w:rFonts w:ascii="Times New Roman" w:eastAsia="Times New Roman" w:hAnsi="Times New Roman" w:cs="Times New Roman"/>
          <w:sz w:val="20"/>
          <w:szCs w:val="20"/>
        </w:rPr>
      </w:pPr>
    </w:p>
    <w:p w:rsidR="00AB39C2" w:rsidRDefault="00000000">
      <w:pP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Date: </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14 July 2025</w:t>
      </w:r>
    </w:p>
    <w:p w:rsidR="00AB39C2" w:rsidRDefault="00000000">
      <w:pPr>
        <w:spacing w:line="276"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Contact:</w:t>
      </w:r>
      <w:r>
        <w:rPr>
          <w:rFonts w:ascii="Times New Roman" w:eastAsia="Times New Roman" w:hAnsi="Times New Roman" w:cs="Times New Roman"/>
          <w:b/>
          <w:sz w:val="20"/>
          <w:szCs w:val="20"/>
        </w:rPr>
        <w:tab/>
        <w:t>international@asylex.ch</w:t>
      </w:r>
    </w:p>
    <w:p w:rsidR="00AB39C2" w:rsidRDefault="00000000">
      <w:pPr>
        <w:spacing w:line="276" w:lineRule="auto"/>
        <w:rPr>
          <w:rFonts w:ascii="Times New Roman" w:eastAsia="Times New Roman" w:hAnsi="Times New Roman" w:cs="Times New Roman"/>
          <w:i/>
          <w:sz w:val="20"/>
          <w:szCs w:val="20"/>
        </w:rPr>
      </w:pPr>
      <w:r>
        <w:rPr>
          <w:rFonts w:ascii="Times New Roman" w:eastAsia="Times New Roman" w:hAnsi="Times New Roman" w:cs="Times New Roman"/>
          <w:b/>
          <w:sz w:val="20"/>
          <w:szCs w:val="20"/>
        </w:rPr>
        <w:t xml:space="preserve">Word Count: </w:t>
      </w:r>
      <w:r>
        <w:rPr>
          <w:rFonts w:ascii="Times New Roman" w:eastAsia="Times New Roman" w:hAnsi="Times New Roman" w:cs="Times New Roman"/>
          <w:b/>
          <w:sz w:val="20"/>
          <w:szCs w:val="20"/>
        </w:rPr>
        <w:tab/>
        <w:t>2538 (Footnotes excluded)</w:t>
      </w:r>
    </w:p>
    <w:p w:rsidR="00AB39C2" w:rsidRDefault="00AB39C2">
      <w:pPr>
        <w:spacing w:line="276" w:lineRule="auto"/>
        <w:rPr>
          <w:rFonts w:ascii="Times New Roman" w:eastAsia="Times New Roman" w:hAnsi="Times New Roman" w:cs="Times New Roman"/>
          <w:i/>
          <w:sz w:val="20"/>
          <w:szCs w:val="20"/>
        </w:rPr>
      </w:pPr>
    </w:p>
    <w:p w:rsidR="00AB39C2" w:rsidRDefault="00000000">
      <w:pPr>
        <w:numPr>
          <w:ilvl w:val="0"/>
          <w:numId w:val="2"/>
        </w:numPr>
        <w:pBdr>
          <w:top w:val="nil"/>
          <w:left w:val="nil"/>
          <w:bottom w:val="nil"/>
          <w:right w:val="nil"/>
          <w:between w:val="nil"/>
        </w:pBdr>
        <w:spacing w:line="276"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About the Commenting Organization</w:t>
      </w:r>
    </w:p>
    <w:p w:rsidR="00AB39C2" w:rsidRDefault="00000000">
      <w:pPr>
        <w:spacing w:line="276"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AsyLex is an independent Swiss NGO offering free online legal support to asylum seekers and refugees. Since 2017, it has supported over 15 '000 individuals in navigating the Swiss asylum system, regardless of origin, religion, gender, age, family situation, financial means or prospect of success.</w:t>
      </w:r>
    </w:p>
    <w:p w:rsidR="00AB39C2" w:rsidRDefault="00000000">
      <w:pPr>
        <w:spacing w:line="276" w:lineRule="auto"/>
        <w:jc w:val="both"/>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white"/>
        </w:rPr>
        <w:t>Around 150 trained volunteers, coordinated by a core office team of 16, provide specialized assistance in areas such as family reunification, detention, criminal law, social assistance and international litigation. Through its Rights in Exile platform, AsyLex also serves displaced persons globally by offering access to legal information, local legal practitioners, and a space for collaborative knowledge exchange. Internationally, AsyLex represents individuals before UN human rights bodies including the CCPR, CRC, CERD, CAT, CED and CEDAW.</w:t>
      </w:r>
      <w:r>
        <w:rPr>
          <w:rFonts w:ascii="Times New Roman" w:eastAsia="Times New Roman" w:hAnsi="Times New Roman" w:cs="Times New Roman"/>
          <w:sz w:val="20"/>
          <w:szCs w:val="20"/>
          <w:highlight w:val="yellow"/>
        </w:rPr>
        <w:br/>
      </w:r>
    </w:p>
    <w:p w:rsidR="00AB39C2" w:rsidRDefault="00000000">
      <w:pPr>
        <w:numPr>
          <w:ilvl w:val="0"/>
          <w:numId w:val="2"/>
        </w:numPr>
        <w:spacing w:line="276"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Focus of the Contribution to the Committee’s General Comment No. 2 </w:t>
      </w:r>
    </w:p>
    <w:p w:rsidR="00AB39C2" w:rsidRDefault="00000000">
      <w:pPr>
        <w:spacing w:after="24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We welcome the Committee on Enforced Disappearances (‘Committee’)’s call for input on its upcoming General Comment No. 2 on “Women, Girls and Enforced Disappearances.” We appreciate the opportunity to contribute by sharing our practical experience and concerns regarding the situation of women and girls affected by gender-based enforced disappearance in the context of forced migration.</w:t>
      </w:r>
    </w:p>
    <w:p w:rsidR="00AB39C2" w:rsidRDefault="00000000">
      <w:pPr>
        <w:spacing w:before="240" w:after="24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Women face specific risks regarding enforced disappearance due to gender-based discrimination and gender-specific vulnerabilities. They are disappeared for reasons such as challenging gender norms, suffer indirect and gendered consequences of the disappearance of their male relatives, are exposed to sexual and gender-based violence (SGBV) at the hands of their abductors, and are confronted with gendered obstacles to accessing justice. All such vulnerabilities are further exacerbated for women in forced migration, due to legal uncertainty, lack of protection, heightened exposure to violence and exploitation, and limited access to justice, redress, and reparation.</w:t>
      </w:r>
    </w:p>
    <w:p w:rsidR="00AB39C2" w:rsidRDefault="00000000">
      <w:pPr>
        <w:spacing w:before="240" w:after="24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We would therefore welcome if the draft be expanded to include dedicated language addressing the specific and intersectional risks to women in situations of forced migration, as the concept note currently only makes limited reference to women in the context of forced migration.</w:t>
      </w:r>
      <w:r>
        <w:rPr>
          <w:rFonts w:ascii="Times New Roman" w:eastAsia="Times New Roman" w:hAnsi="Times New Roman" w:cs="Times New Roman"/>
          <w:color w:val="1D1C1D"/>
          <w:sz w:val="20"/>
          <w:szCs w:val="20"/>
          <w:vertAlign w:val="superscript"/>
        </w:rPr>
        <w:footnoteReference w:id="1"/>
      </w:r>
      <w:r>
        <w:rPr>
          <w:rFonts w:ascii="Times New Roman" w:eastAsia="Times New Roman" w:hAnsi="Times New Roman" w:cs="Times New Roman"/>
          <w:sz w:val="20"/>
          <w:szCs w:val="20"/>
        </w:rPr>
        <w:t xml:space="preserve"> This input aims to support the drafting of such language by providing concrete examples and suggestions on different sections of the current concept note. </w:t>
      </w:r>
    </w:p>
    <w:p w:rsidR="00AB39C2" w:rsidRDefault="00000000">
      <w:pPr>
        <w:numPr>
          <w:ilvl w:val="0"/>
          <w:numId w:val="1"/>
        </w:numPr>
        <w:spacing w:line="276" w:lineRule="auto"/>
        <w:jc w:val="both"/>
        <w:rPr>
          <w:rFonts w:ascii="Times New Roman" w:eastAsia="Times New Roman" w:hAnsi="Times New Roman" w:cs="Times New Roman"/>
          <w:b/>
          <w:i/>
          <w:color w:val="1D1C1D"/>
          <w:sz w:val="20"/>
          <w:szCs w:val="20"/>
        </w:rPr>
      </w:pPr>
      <w:r>
        <w:rPr>
          <w:rFonts w:ascii="Times New Roman" w:eastAsia="Times New Roman" w:hAnsi="Times New Roman" w:cs="Times New Roman"/>
          <w:b/>
          <w:i/>
          <w:color w:val="1D1C1D"/>
          <w:sz w:val="20"/>
          <w:szCs w:val="20"/>
        </w:rPr>
        <w:t xml:space="preserve">Section </w:t>
      </w:r>
      <w:proofErr w:type="spellStart"/>
      <w:r>
        <w:rPr>
          <w:rFonts w:ascii="Times New Roman" w:eastAsia="Times New Roman" w:hAnsi="Times New Roman" w:cs="Times New Roman"/>
          <w:b/>
          <w:i/>
          <w:color w:val="1D1C1D"/>
          <w:sz w:val="20"/>
          <w:szCs w:val="20"/>
        </w:rPr>
        <w:t>i</w:t>
      </w:r>
      <w:proofErr w:type="spellEnd"/>
      <w:r>
        <w:rPr>
          <w:rFonts w:ascii="Times New Roman" w:eastAsia="Times New Roman" w:hAnsi="Times New Roman" w:cs="Times New Roman"/>
          <w:b/>
          <w:i/>
          <w:color w:val="1D1C1D"/>
          <w:sz w:val="20"/>
          <w:szCs w:val="20"/>
        </w:rPr>
        <w:t>. Prevention – The Specific Prevention Needs for Women in Forced Migration</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The Prevention section addresses the need of “detecting situations of risk and eradicating the structural and social causes that perpetuate the practice of enforced disappearances such as discrimination and systematic violence against women” (Para. 22) and to address enforced disappearance of women and girls with a “comprehensive </w:t>
      </w:r>
      <w:r>
        <w:rPr>
          <w:rFonts w:ascii="Times New Roman" w:eastAsia="Times New Roman" w:hAnsi="Times New Roman" w:cs="Times New Roman"/>
          <w:color w:val="1D1C1D"/>
          <w:sz w:val="20"/>
          <w:szCs w:val="20"/>
        </w:rPr>
        <w:lastRenderedPageBreak/>
        <w:t xml:space="preserve">perspective that combines criminal action with prevention and protection policies with a gender perspective” (Para. 25). </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A comprehensive understanding of the specific situations of risk for women in forced migration is essential to draw up preventive measures that may mitigate the dangers of women falling victim to enforced disappearance. This includes all steps of a woman’s flight–from the migration route to a final asylum decision. </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b/>
          <w:i/>
          <w:color w:val="1D1C1D"/>
          <w:sz w:val="20"/>
          <w:szCs w:val="20"/>
        </w:rPr>
        <w:t>1(A) Need for Safe Pathways to Prevent Enforced Disappearance on Irregular Migration Routes</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We are highly concerned with the dangers women face on migration routes, which include enforced disappearance, SGBV, and trafficking in persons, especially for the purpose of sexual exploitation, labour exploitation and domestic servitude.</w:t>
      </w:r>
      <w:r>
        <w:rPr>
          <w:rFonts w:ascii="Times New Roman" w:eastAsia="Times New Roman" w:hAnsi="Times New Roman" w:cs="Times New Roman"/>
          <w:color w:val="1D1C1D"/>
          <w:sz w:val="20"/>
          <w:szCs w:val="20"/>
          <w:vertAlign w:val="superscript"/>
        </w:rPr>
        <w:footnoteReference w:id="2"/>
      </w:r>
      <w:r>
        <w:rPr>
          <w:rFonts w:ascii="Times New Roman" w:eastAsia="Times New Roman" w:hAnsi="Times New Roman" w:cs="Times New Roman"/>
          <w:color w:val="1D1C1D"/>
          <w:sz w:val="20"/>
          <w:szCs w:val="20"/>
          <w:vertAlign w:val="superscript"/>
        </w:rPr>
        <w:t xml:space="preserve"> </w:t>
      </w:r>
      <w:r>
        <w:rPr>
          <w:rFonts w:ascii="Times New Roman" w:eastAsia="Times New Roman" w:hAnsi="Times New Roman" w:cs="Times New Roman"/>
          <w:color w:val="1D1C1D"/>
          <w:sz w:val="20"/>
          <w:szCs w:val="20"/>
        </w:rPr>
        <w:t>As protection mechanisms are largely absent on irregular routes, these dangers are especially acute.</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To address this protection gap and contribute to preventing situations of enforced migration on irregular migration routes, we perceive it essential to stress the importance of safe pathways, such as resettlement, humanitarian visas, family reunification, and other complementary legal channels, as they offer vital alternatives to these dangerous journeys. </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Rather than seeing efforts to expand safe pathways, however, we are increasingly confronted with their global decline–UNHCR warns that resettlement quotas in 2025 will be the lowest in two decades.</w:t>
      </w:r>
      <w:r>
        <w:rPr>
          <w:rFonts w:ascii="Times New Roman" w:eastAsia="Times New Roman" w:hAnsi="Times New Roman" w:cs="Times New Roman"/>
          <w:color w:val="1D1C1D"/>
          <w:sz w:val="20"/>
          <w:szCs w:val="20"/>
          <w:vertAlign w:val="superscript"/>
        </w:rPr>
        <w:footnoteReference w:id="3"/>
      </w:r>
      <w:r>
        <w:rPr>
          <w:rFonts w:ascii="Times New Roman" w:eastAsia="Times New Roman" w:hAnsi="Times New Roman" w:cs="Times New Roman"/>
          <w:color w:val="1D1C1D"/>
          <w:sz w:val="20"/>
          <w:szCs w:val="20"/>
          <w:vertAlign w:val="superscript"/>
        </w:rPr>
        <w:t xml:space="preserve"> </w:t>
      </w:r>
      <w:r>
        <w:rPr>
          <w:rFonts w:ascii="Times New Roman" w:eastAsia="Times New Roman" w:hAnsi="Times New Roman" w:cs="Times New Roman"/>
          <w:color w:val="1D1C1D"/>
          <w:sz w:val="20"/>
          <w:szCs w:val="20"/>
        </w:rPr>
        <w:t>In Switzerland, where AsyLex works primarily, refugee resettlement has been effectively suspended since 2024, with only drastically reduced quotas planned for the coming years.</w:t>
      </w:r>
      <w:r>
        <w:rPr>
          <w:rFonts w:ascii="Times New Roman" w:eastAsia="Times New Roman" w:hAnsi="Times New Roman" w:cs="Times New Roman"/>
          <w:color w:val="1D1C1D"/>
          <w:sz w:val="20"/>
          <w:szCs w:val="20"/>
          <w:vertAlign w:val="superscript"/>
        </w:rPr>
        <w:footnoteReference w:id="4"/>
      </w:r>
      <w:r>
        <w:rPr>
          <w:rFonts w:ascii="Times New Roman" w:eastAsia="Times New Roman" w:hAnsi="Times New Roman" w:cs="Times New Roman"/>
          <w:color w:val="1D1C1D"/>
          <w:sz w:val="20"/>
          <w:szCs w:val="20"/>
        </w:rPr>
        <w:t xml:space="preserve"> Further, the Swiss Federal Council’s proposal for Switzerland to voluntarily participate in the solidarity mechanism of the EU Asylum Pact was rejected by the National Council in June 2025.</w:t>
      </w:r>
      <w:r>
        <w:rPr>
          <w:rFonts w:ascii="Times New Roman" w:eastAsia="Times New Roman" w:hAnsi="Times New Roman" w:cs="Times New Roman"/>
          <w:color w:val="1D1C1D"/>
          <w:sz w:val="20"/>
          <w:szCs w:val="20"/>
          <w:vertAlign w:val="superscript"/>
        </w:rPr>
        <w:footnoteReference w:id="5"/>
      </w:r>
      <w:r>
        <w:rPr>
          <w:rFonts w:ascii="Times New Roman" w:eastAsia="Times New Roman" w:hAnsi="Times New Roman" w:cs="Times New Roman"/>
          <w:color w:val="1D1C1D"/>
          <w:sz w:val="20"/>
          <w:szCs w:val="20"/>
        </w:rPr>
        <w:t xml:space="preserve"> While the final decision is still to be made, inconsistent commitments to safe pathways, including relocation and resettlement, are highly worrying, and effectively reflect a lack of commitment to safe passage. </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As this decline significantly curtails safe options for women and girls who are most vulnerable to harm on irregular migration routes, </w:t>
      </w:r>
      <w:r>
        <w:rPr>
          <w:rFonts w:ascii="Times New Roman" w:eastAsia="Times New Roman" w:hAnsi="Times New Roman" w:cs="Times New Roman"/>
          <w:b/>
          <w:color w:val="1D1C1D"/>
          <w:sz w:val="20"/>
          <w:szCs w:val="20"/>
        </w:rPr>
        <w:t>we would suggest including migration routes as an area of high risk, and safe pathways as an effective tool for prevention</w:t>
      </w:r>
      <w:r>
        <w:rPr>
          <w:rFonts w:ascii="Times New Roman" w:eastAsia="Times New Roman" w:hAnsi="Times New Roman" w:cs="Times New Roman"/>
          <w:color w:val="1D1C1D"/>
          <w:sz w:val="20"/>
          <w:szCs w:val="20"/>
        </w:rPr>
        <w:t xml:space="preserve"> in the Committee's Commentary.</w:t>
      </w:r>
    </w:p>
    <w:p w:rsidR="00AB39C2" w:rsidRDefault="00000000">
      <w:pPr>
        <w:spacing w:before="240" w:after="240"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Moreover, even where safe pathways exist, the lack of remote possibilities for applying are highly problematic: women from countries in which no diplomatic missions of countries that could provide protection exist, such as Afghanistan, Palestine (Gaza) and Sudan, must travel to third countries to access embassies. The journey itself exposes women and girls to severe risks of violence, disappearance, and exploitation. This danger could be mitigated if states considered using new technologies to assess eligibility remotely—without requiring physical presence—thereby reducing the exposure of vulnerable women to such risks.</w:t>
      </w:r>
    </w:p>
    <w:p w:rsidR="00AB39C2" w:rsidRDefault="00000000">
      <w:pPr>
        <w:spacing w:before="240" w:after="240"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It is therefore also necessary to design safe pathways in a manner that specifically addresses and minimises the unique vulnerabilities of women and girls, ensuring they are not further exposed to enforced disappearance or other forms of gender-based violence during the process. </w:t>
      </w:r>
      <w:r>
        <w:rPr>
          <w:rFonts w:ascii="Times New Roman" w:eastAsia="Times New Roman" w:hAnsi="Times New Roman" w:cs="Times New Roman"/>
          <w:b/>
          <w:color w:val="1D1C1D"/>
          <w:sz w:val="20"/>
          <w:szCs w:val="20"/>
        </w:rPr>
        <w:t>We suggest the Committee include the need for a gender-sensitive lens in application procedures to safe pathways as a preventive measure</w:t>
      </w:r>
      <w:r>
        <w:rPr>
          <w:rFonts w:ascii="Times New Roman" w:eastAsia="Times New Roman" w:hAnsi="Times New Roman" w:cs="Times New Roman"/>
          <w:color w:val="1D1C1D"/>
          <w:sz w:val="20"/>
          <w:szCs w:val="20"/>
        </w:rPr>
        <w:t>.</w:t>
      </w:r>
    </w:p>
    <w:p w:rsidR="00AB39C2" w:rsidRDefault="00000000">
      <w:pPr>
        <w:spacing w:before="240" w:after="240" w:line="276" w:lineRule="auto"/>
        <w:jc w:val="both"/>
        <w:rPr>
          <w:rFonts w:ascii="Times New Roman" w:eastAsia="Times New Roman" w:hAnsi="Times New Roman" w:cs="Times New Roman"/>
          <w:b/>
          <w:i/>
          <w:color w:val="1D1C1D"/>
          <w:sz w:val="20"/>
          <w:szCs w:val="20"/>
        </w:rPr>
      </w:pPr>
      <w:r>
        <w:rPr>
          <w:rFonts w:ascii="Times New Roman" w:eastAsia="Times New Roman" w:hAnsi="Times New Roman" w:cs="Times New Roman"/>
          <w:b/>
          <w:i/>
          <w:color w:val="1D1C1D"/>
          <w:sz w:val="20"/>
          <w:szCs w:val="20"/>
        </w:rPr>
        <w:t>1(B) A Need to Safeguard the Non-Refoulement Principle More Effectively to Prevent Enforced Disappearance Upon Deportation</w:t>
      </w:r>
    </w:p>
    <w:p w:rsidR="00AB39C2" w:rsidRDefault="00000000">
      <w:pPr>
        <w:spacing w:line="276" w:lineRule="auto"/>
        <w:jc w:val="both"/>
        <w:rPr>
          <w:rFonts w:ascii="Times New Roman" w:eastAsia="Times New Roman" w:hAnsi="Times New Roman" w:cs="Times New Roman"/>
          <w:i/>
          <w:color w:val="1D1C1D"/>
          <w:sz w:val="20"/>
          <w:szCs w:val="20"/>
        </w:rPr>
      </w:pPr>
      <w:r>
        <w:rPr>
          <w:rFonts w:ascii="Times New Roman" w:eastAsia="Times New Roman" w:hAnsi="Times New Roman" w:cs="Times New Roman"/>
          <w:color w:val="1D1C1D"/>
          <w:sz w:val="20"/>
          <w:szCs w:val="20"/>
        </w:rPr>
        <w:lastRenderedPageBreak/>
        <w:t xml:space="preserve">Art. 16 of the Convention holds that signatory parties shall not expel persons to another state where there are substantial grounds for believing that they would be in danger of being subjected to enforced disappearance. In order to determine whether there are such grounds, all relevant considerations shall be undertaken by the competent authorities, including, where applicable, the existence in the state concerned of a consistent pattern of gross, flagrant or mass violations of human rights or of serious violations of international humanitarian law. </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In spite of Switzerland having ratified the Convention, AsyLex regularly represents clients whose individual risk of refoulement with regards to enforced disappearance is insufficiently considered and/or who are to be deported to countries where systematic human rights violations, including enforced disappearance, are well documented. </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When asylum seeking women are deported to contexts in which they face a real risk of enforced disappearance, they are also exposed to gender-specific risks, such as SGBV during disappearance. We therefore deem it highly relevant for the Commentary to </w:t>
      </w:r>
      <w:r>
        <w:rPr>
          <w:rFonts w:ascii="Times New Roman" w:eastAsia="Times New Roman" w:hAnsi="Times New Roman" w:cs="Times New Roman"/>
          <w:b/>
          <w:color w:val="1D1C1D"/>
          <w:sz w:val="20"/>
          <w:szCs w:val="20"/>
        </w:rPr>
        <w:t>address the need for rigorous assessments of women asylum seekers’ real risks of falling victim to enforced disappearance upon deportation</w:t>
      </w:r>
      <w:r>
        <w:rPr>
          <w:rFonts w:ascii="Times New Roman" w:eastAsia="Times New Roman" w:hAnsi="Times New Roman" w:cs="Times New Roman"/>
          <w:color w:val="1D1C1D"/>
          <w:sz w:val="20"/>
          <w:szCs w:val="20"/>
        </w:rPr>
        <w:t xml:space="preserve"> and suggest </w:t>
      </w:r>
      <w:r>
        <w:rPr>
          <w:rFonts w:ascii="Times New Roman" w:eastAsia="Times New Roman" w:hAnsi="Times New Roman" w:cs="Times New Roman"/>
          <w:b/>
          <w:color w:val="1D1C1D"/>
          <w:sz w:val="20"/>
          <w:szCs w:val="20"/>
        </w:rPr>
        <w:t>including the need for such assessments, as well as legalisation in the country of asylum, as crucial preventive measures</w:t>
      </w:r>
      <w:r>
        <w:rPr>
          <w:rFonts w:ascii="Times New Roman" w:eastAsia="Times New Roman" w:hAnsi="Times New Roman" w:cs="Times New Roman"/>
          <w:color w:val="1D1C1D"/>
          <w:sz w:val="20"/>
          <w:szCs w:val="20"/>
        </w:rPr>
        <w:t>.</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i/>
          <w:color w:val="1D1C1D"/>
          <w:sz w:val="20"/>
          <w:szCs w:val="20"/>
        </w:rPr>
        <w:t>Insufficient Assessment of Individual Risk of Enforced Disappearance Upon Deportation</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AsyLex represents clients whose well-founded fear of falling victim to enforced disappearance due to their personal situation is assessed insufficiently. This includes women who have been threatened with both enforced disappearance and SGBV in their country of origin. </w:t>
      </w:r>
    </w:p>
    <w:p w:rsidR="00AB39C2" w:rsidRDefault="00000000">
      <w:pPr>
        <w:spacing w:line="276" w:lineRule="auto"/>
        <w:jc w:val="both"/>
        <w:rPr>
          <w:rFonts w:ascii="Times New Roman" w:eastAsia="Times New Roman" w:hAnsi="Times New Roman" w:cs="Times New Roman"/>
          <w:i/>
          <w:color w:val="1D1C1D"/>
          <w:sz w:val="20"/>
          <w:szCs w:val="20"/>
        </w:rPr>
      </w:pPr>
      <w:r>
        <w:rPr>
          <w:rFonts w:ascii="Times New Roman" w:eastAsia="Times New Roman" w:hAnsi="Times New Roman" w:cs="Times New Roman"/>
          <w:color w:val="1D1C1D"/>
          <w:sz w:val="20"/>
          <w:szCs w:val="20"/>
        </w:rPr>
        <w:t xml:space="preserve">Most recently, AsyLex brought one such case to the attention of the Committee in the form of an individual communication. Case No. 8/2025 concerns a woman from Burundi whose father had been targeted by the </w:t>
      </w:r>
      <w:proofErr w:type="spellStart"/>
      <w:r>
        <w:rPr>
          <w:rFonts w:ascii="Times New Roman" w:eastAsia="Times New Roman" w:hAnsi="Times New Roman" w:cs="Times New Roman"/>
          <w:color w:val="1D1C1D"/>
          <w:sz w:val="20"/>
          <w:szCs w:val="20"/>
        </w:rPr>
        <w:t>Imbonerakure</w:t>
      </w:r>
      <w:proofErr w:type="spellEnd"/>
      <w:r>
        <w:rPr>
          <w:rFonts w:ascii="Times New Roman" w:eastAsia="Times New Roman" w:hAnsi="Times New Roman" w:cs="Times New Roman"/>
          <w:color w:val="1D1C1D"/>
          <w:sz w:val="20"/>
          <w:szCs w:val="20"/>
        </w:rPr>
        <w:t xml:space="preserve">, Burundi’s ruling party’s youth militia, and arbitrarily imprisoned and held incommunicado without formal charges or due process for three years. One year after his enforced disappearance, her mother was abducted and detained without charges for three days, during which she was exposed to torture and severe sexual violence. Shortly after her release, she died due to the torture she suffered in detention. AsyLex’ client herself was threatened at gunpoint with the same fate as her mother – a threat of disappearance, SGBV and death. Due to the real risk of enforced disappearance and further gender-based violence, she fled to Switzerland, where she applied for asylum. However, her asylum claim was rejected. Only the interim measures issued by the Committee on 10 July 2025, after AsyLex had submitted an individual communication on her behalf, currently prevent deportation to Burundi, where she would face a real risk of enforced disappearance. </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i/>
          <w:color w:val="1D1C1D"/>
          <w:sz w:val="20"/>
          <w:szCs w:val="20"/>
        </w:rPr>
        <w:t>Deportation to Countries Where Systematic Enforced Disappearance Persists</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In addition to insufficient individual assessments of the potential risk of enforced disappearance a woman may face upon deportation, AsyLex is highly concerned that Switzerland carries out forced deportations to states with a documented record of enforced disappearance such as Sri Lanka, Iraq, and Ethiopia. In the case of Ethiopia, for example, which is well-known for wide-spread and well-documented practice of enforced disappearance,</w:t>
      </w:r>
      <w:r>
        <w:rPr>
          <w:rFonts w:ascii="Times New Roman" w:eastAsia="Times New Roman" w:hAnsi="Times New Roman" w:cs="Times New Roman"/>
          <w:color w:val="1D1C1D"/>
          <w:sz w:val="20"/>
          <w:szCs w:val="20"/>
          <w:vertAlign w:val="superscript"/>
        </w:rPr>
        <w:footnoteReference w:id="6"/>
      </w:r>
      <w:r>
        <w:rPr>
          <w:rFonts w:ascii="Times New Roman" w:eastAsia="Times New Roman" w:hAnsi="Times New Roman" w:cs="Times New Roman"/>
          <w:color w:val="1D1C1D"/>
          <w:sz w:val="20"/>
          <w:szCs w:val="20"/>
        </w:rPr>
        <w:t xml:space="preserve"> AsyLex has intervened in multiple cases of forced deportations. In 2021, only last-minute interim measures from the Committee on the Elimination of Discrimination against Women prevented one of our female clients from deportation to Ethiopia on a collective removal flight.</w:t>
      </w:r>
      <w:r>
        <w:rPr>
          <w:rFonts w:ascii="Times New Roman" w:eastAsia="Times New Roman" w:hAnsi="Times New Roman" w:cs="Times New Roman"/>
          <w:color w:val="1D1C1D"/>
          <w:sz w:val="20"/>
          <w:szCs w:val="20"/>
          <w:vertAlign w:val="superscript"/>
        </w:rPr>
        <w:footnoteReference w:id="7"/>
      </w:r>
      <w:r>
        <w:rPr>
          <w:rFonts w:ascii="Times New Roman" w:eastAsia="Times New Roman" w:hAnsi="Times New Roman" w:cs="Times New Roman"/>
          <w:color w:val="1D1C1D"/>
          <w:sz w:val="20"/>
          <w:szCs w:val="20"/>
        </w:rPr>
        <w:t xml:space="preserve"> The deportation was about to take place although the risk of her being subjected to severe SGBV, including enforced disappearance, could not be excluded. Despite these warning signs, forced deportations to Ethiopia continue, including a recent flight in February 2025.</w:t>
      </w:r>
    </w:p>
    <w:p w:rsidR="00AB39C2" w:rsidRDefault="00000000">
      <w:pPr>
        <w:spacing w:before="240" w:after="240" w:line="276" w:lineRule="auto"/>
        <w:jc w:val="both"/>
        <w:rPr>
          <w:rFonts w:ascii="Times New Roman" w:eastAsia="Times New Roman" w:hAnsi="Times New Roman" w:cs="Times New Roman"/>
          <w:i/>
          <w:color w:val="1D1C1D"/>
          <w:sz w:val="20"/>
          <w:szCs w:val="20"/>
        </w:rPr>
      </w:pPr>
      <w:r>
        <w:rPr>
          <w:rFonts w:ascii="Times New Roman" w:eastAsia="Times New Roman" w:hAnsi="Times New Roman" w:cs="Times New Roman"/>
          <w:i/>
          <w:color w:val="1D1C1D"/>
          <w:sz w:val="20"/>
          <w:szCs w:val="20"/>
        </w:rPr>
        <w:t xml:space="preserve">Deportations To Dublin Member States Where Women Face “Short-Term Enforced Disappearance” </w:t>
      </w:r>
    </w:p>
    <w:p w:rsidR="00AB39C2" w:rsidRDefault="00000000">
      <w:pPr>
        <w:spacing w:before="240" w:after="240"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lastRenderedPageBreak/>
        <w:t>As has been clarified by the Committee on numerous occasions, enforced disappearances do not require a temporal limitation.</w:t>
      </w:r>
      <w:r>
        <w:rPr>
          <w:rFonts w:ascii="Times New Roman" w:eastAsia="Times New Roman" w:hAnsi="Times New Roman" w:cs="Times New Roman"/>
          <w:color w:val="1D1C1D"/>
          <w:sz w:val="20"/>
          <w:szCs w:val="20"/>
          <w:vertAlign w:val="superscript"/>
        </w:rPr>
        <w:footnoteReference w:id="8"/>
      </w:r>
      <w:r>
        <w:rPr>
          <w:rFonts w:ascii="Times New Roman" w:eastAsia="Times New Roman" w:hAnsi="Times New Roman" w:cs="Times New Roman"/>
          <w:color w:val="1D1C1D"/>
          <w:sz w:val="20"/>
          <w:szCs w:val="20"/>
        </w:rPr>
        <w:t xml:space="preserve"> In other words, as soon as a person is deprived of liberty by state authorities, which refuse to disclose their fate or whereabouts, it is considered that that person is being subjected to an enforced disappearance. If such enforced disappearances are limited in time, but meet the constitutive elements of the definition, they are referred to as “short-term enforced disappearances.”</w:t>
      </w:r>
      <w:r>
        <w:rPr>
          <w:rFonts w:ascii="Times New Roman" w:eastAsia="Times New Roman" w:hAnsi="Times New Roman" w:cs="Times New Roman"/>
          <w:color w:val="1D1C1D"/>
          <w:sz w:val="20"/>
          <w:szCs w:val="20"/>
          <w:vertAlign w:val="superscript"/>
        </w:rPr>
        <w:footnoteReference w:id="9"/>
      </w:r>
      <w:r>
        <w:rPr>
          <w:rFonts w:ascii="Times New Roman" w:eastAsia="Times New Roman" w:hAnsi="Times New Roman" w:cs="Times New Roman"/>
          <w:color w:val="1D1C1D"/>
          <w:sz w:val="20"/>
          <w:szCs w:val="20"/>
          <w:vertAlign w:val="superscript"/>
        </w:rPr>
        <w:br/>
      </w:r>
      <w:r>
        <w:rPr>
          <w:rFonts w:ascii="Times New Roman" w:eastAsia="Times New Roman" w:hAnsi="Times New Roman" w:cs="Times New Roman"/>
          <w:color w:val="1D1C1D"/>
          <w:sz w:val="20"/>
          <w:szCs w:val="20"/>
          <w:vertAlign w:val="superscript"/>
        </w:rPr>
        <w:br/>
      </w:r>
      <w:r>
        <w:rPr>
          <w:rFonts w:ascii="Times New Roman" w:eastAsia="Times New Roman" w:hAnsi="Times New Roman" w:cs="Times New Roman"/>
          <w:color w:val="1D1C1D"/>
          <w:sz w:val="20"/>
          <w:szCs w:val="20"/>
        </w:rPr>
        <w:t>Alarmingly, Switzerland carries out deportations to Dublin member states in which asylum seekers regularly fall victim to short-term enforced disappearances at the hands of migration and state authorities, such as Croatia, Romania, and Bulgaria.</w:t>
      </w:r>
      <w:r>
        <w:rPr>
          <w:rFonts w:ascii="Times New Roman" w:eastAsia="Times New Roman" w:hAnsi="Times New Roman" w:cs="Times New Roman"/>
          <w:color w:val="1D1C1D"/>
          <w:sz w:val="20"/>
          <w:szCs w:val="20"/>
          <w:vertAlign w:val="superscript"/>
        </w:rPr>
        <w:footnoteReference w:id="10"/>
      </w:r>
      <w:r>
        <w:rPr>
          <w:rFonts w:ascii="Times New Roman" w:eastAsia="Times New Roman" w:hAnsi="Times New Roman" w:cs="Times New Roman"/>
          <w:color w:val="1D1C1D"/>
          <w:sz w:val="20"/>
          <w:szCs w:val="20"/>
        </w:rPr>
        <w:t xml:space="preserve"> Refugees and asylum seekers are detained at borders, transferred incommunicado under inhumane conditions, and held in secret detention facilities without access to legal counsel or contact with the outside world.</w:t>
      </w:r>
      <w:r>
        <w:rPr>
          <w:rFonts w:ascii="Times New Roman" w:eastAsia="Times New Roman" w:hAnsi="Times New Roman" w:cs="Times New Roman"/>
          <w:color w:val="1D1C1D"/>
          <w:sz w:val="20"/>
          <w:szCs w:val="20"/>
          <w:vertAlign w:val="superscript"/>
        </w:rPr>
        <w:footnoteReference w:id="11"/>
      </w:r>
      <w:r>
        <w:rPr>
          <w:rFonts w:ascii="Times New Roman" w:eastAsia="Times New Roman" w:hAnsi="Times New Roman" w:cs="Times New Roman"/>
          <w:color w:val="1D1C1D"/>
          <w:sz w:val="20"/>
          <w:szCs w:val="20"/>
        </w:rPr>
        <w:t xml:space="preserve"> For instance, two young girls, aged five and three, were detained separately in a cold room for five hours without information or food, later enduring violence while witnessing their father’s torture. Other clients reported sexual violence at the hands of Croatian border guards.</w:t>
      </w:r>
      <w:r>
        <w:rPr>
          <w:rFonts w:ascii="Times New Roman" w:eastAsia="Times New Roman" w:hAnsi="Times New Roman" w:cs="Times New Roman"/>
          <w:color w:val="1D1C1D"/>
          <w:sz w:val="20"/>
          <w:szCs w:val="20"/>
          <w:vertAlign w:val="superscript"/>
        </w:rPr>
        <w:footnoteReference w:id="12"/>
      </w:r>
      <w:r>
        <w:rPr>
          <w:rFonts w:ascii="Times New Roman" w:eastAsia="Times New Roman" w:hAnsi="Times New Roman" w:cs="Times New Roman"/>
          <w:color w:val="1D1C1D"/>
          <w:sz w:val="20"/>
          <w:szCs w:val="20"/>
        </w:rPr>
        <w:t xml:space="preserve"> While refugees and asylum seekers are thus especially vulnerable to short-term enforced disappearance due to limited knowledge of their rights, lack of support networks, and absence of legal protection, women and girls face additional gendered risks of exploitation, sexual violence, and human trafficking in these conditions.</w:t>
      </w:r>
    </w:p>
    <w:p w:rsidR="00AB39C2" w:rsidRDefault="00000000">
      <w:pPr>
        <w:spacing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Such cases illustrate the lack of thorough individual assessments regarding the risk of enforced disappearance upon deportation, which–in addition to violating Art. 16 of the Convention–essentially constitutes a failure to prevent enforced disappearance. We would thus highly recommend </w:t>
      </w:r>
      <w:r>
        <w:rPr>
          <w:rFonts w:ascii="Times New Roman" w:eastAsia="Times New Roman" w:hAnsi="Times New Roman" w:cs="Times New Roman"/>
          <w:b/>
          <w:color w:val="1D1C1D"/>
          <w:sz w:val="20"/>
          <w:szCs w:val="20"/>
        </w:rPr>
        <w:t xml:space="preserve">including the need for gender-sensitive risk assessments with regard to enforced disappearance in all asylum procedures </w:t>
      </w:r>
      <w:r>
        <w:rPr>
          <w:rFonts w:ascii="Times New Roman" w:eastAsia="Times New Roman" w:hAnsi="Times New Roman" w:cs="Times New Roman"/>
          <w:color w:val="1D1C1D"/>
          <w:sz w:val="20"/>
          <w:szCs w:val="20"/>
        </w:rPr>
        <w:t xml:space="preserve">and the need to </w:t>
      </w:r>
      <w:r>
        <w:rPr>
          <w:rFonts w:ascii="Times New Roman" w:eastAsia="Times New Roman" w:hAnsi="Times New Roman" w:cs="Times New Roman"/>
          <w:b/>
          <w:color w:val="1D1C1D"/>
          <w:sz w:val="20"/>
          <w:szCs w:val="20"/>
        </w:rPr>
        <w:t>refrain from deporting women to countries in which they face real risk of enforced disappearance, so as to prevent their enforced disappearance</w:t>
      </w:r>
      <w:r>
        <w:rPr>
          <w:rFonts w:ascii="Times New Roman" w:eastAsia="Times New Roman" w:hAnsi="Times New Roman" w:cs="Times New Roman"/>
          <w:color w:val="1D1C1D"/>
          <w:sz w:val="20"/>
          <w:szCs w:val="20"/>
        </w:rPr>
        <w:t>.</w:t>
      </w:r>
    </w:p>
    <w:p w:rsidR="00AB39C2" w:rsidRDefault="00000000">
      <w:pPr>
        <w:numPr>
          <w:ilvl w:val="0"/>
          <w:numId w:val="1"/>
        </w:numPr>
        <w:spacing w:line="276" w:lineRule="auto"/>
        <w:jc w:val="both"/>
        <w:rPr>
          <w:rFonts w:ascii="Times New Roman" w:eastAsia="Times New Roman" w:hAnsi="Times New Roman" w:cs="Times New Roman"/>
          <w:b/>
          <w:i/>
          <w:color w:val="1D1C1D"/>
          <w:sz w:val="20"/>
          <w:szCs w:val="20"/>
        </w:rPr>
      </w:pPr>
      <w:r>
        <w:rPr>
          <w:rFonts w:ascii="Times New Roman" w:eastAsia="Times New Roman" w:hAnsi="Times New Roman" w:cs="Times New Roman"/>
          <w:b/>
          <w:i/>
          <w:color w:val="1D1C1D"/>
          <w:sz w:val="20"/>
          <w:szCs w:val="20"/>
        </w:rPr>
        <w:t>Section ii. Investigation and Prosecution – Heightened Obstacles to Reporting Enforced Disappearance for Women in Forced Migration</w:t>
      </w:r>
    </w:p>
    <w:p w:rsidR="00AB39C2" w:rsidRDefault="00000000">
      <w:pPr>
        <w:spacing w:after="240"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The concept note’s section on investigation and prosecution reiterates the duties states have with regard to investigating, prosecuting and punishing violations of human rights and international humanitarian law (Para. 26), as well as the need to incorporate a gender and intersectionality perspective in such processes (Para. 28). </w:t>
      </w:r>
    </w:p>
    <w:p w:rsidR="00AB39C2" w:rsidRDefault="00000000">
      <w:pPr>
        <w:spacing w:after="240"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Women in forced migration face intersectional difficulties in reporting and having their claims effectively investigated: especially when committed by migration or other state authorities, they face issues reporting enforced disappearances and SGBV due to their legal status, and are further believed less due to the “a negative view of the credibility of women and girl victims/survivors”.</w:t>
      </w:r>
      <w:r>
        <w:rPr>
          <w:rFonts w:ascii="Times New Roman" w:eastAsia="Times New Roman" w:hAnsi="Times New Roman" w:cs="Times New Roman"/>
          <w:color w:val="1D1C1D"/>
          <w:sz w:val="20"/>
          <w:szCs w:val="20"/>
          <w:vertAlign w:val="superscript"/>
        </w:rPr>
        <w:footnoteReference w:id="13"/>
      </w:r>
      <w:r>
        <w:rPr>
          <w:rFonts w:ascii="Times New Roman" w:eastAsia="Times New Roman" w:hAnsi="Times New Roman" w:cs="Times New Roman"/>
          <w:color w:val="1D1C1D"/>
          <w:sz w:val="20"/>
          <w:szCs w:val="20"/>
        </w:rPr>
        <w:t xml:space="preserve"> Further, they often face a disproportionate burden of responsibility in the eyes of authorities when reporting SGBV–in the case of one woman from Iran, for example, the Swiss Federal Administrative Court reprimanded her for not having addressed national authorities in Iran after being sexually abused by a judge.</w:t>
      </w:r>
      <w:r>
        <w:rPr>
          <w:rFonts w:ascii="Times New Roman" w:eastAsia="Times New Roman" w:hAnsi="Times New Roman" w:cs="Times New Roman"/>
          <w:color w:val="1D1C1D"/>
          <w:sz w:val="20"/>
          <w:szCs w:val="20"/>
          <w:vertAlign w:val="superscript"/>
        </w:rPr>
        <w:footnoteReference w:id="14"/>
      </w:r>
    </w:p>
    <w:p w:rsidR="00AB39C2" w:rsidRDefault="00000000">
      <w:pPr>
        <w:spacing w:after="240"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lastRenderedPageBreak/>
        <w:t>AsyLex observes that many victims remain unaware of their right to report, often because their enforced disappearance was perpetrated by state authorities or due to a lack of access to legal assistance and information about their rights.</w:t>
      </w:r>
      <w:r>
        <w:rPr>
          <w:rFonts w:ascii="Times New Roman" w:eastAsia="Times New Roman" w:hAnsi="Times New Roman" w:cs="Times New Roman"/>
          <w:color w:val="1D1C1D"/>
          <w:sz w:val="20"/>
          <w:szCs w:val="20"/>
          <w:vertAlign w:val="superscript"/>
        </w:rPr>
        <w:footnoteReference w:id="15"/>
      </w:r>
      <w:r>
        <w:rPr>
          <w:rFonts w:ascii="Times New Roman" w:eastAsia="Times New Roman" w:hAnsi="Times New Roman" w:cs="Times New Roman"/>
          <w:color w:val="1D1C1D"/>
          <w:sz w:val="20"/>
          <w:szCs w:val="20"/>
        </w:rPr>
        <w:t xml:space="preserve"> Even when complaints are filed, AsyLex has documented numerous cases where competent authorities fail to take action. This problem is especially acute in countries like Croatia, where authorities have a well-documented history of neglecting investigations into human rights abuses, with complaints </w:t>
      </w:r>
      <w:r>
        <w:rPr>
          <w:rFonts w:ascii="Times New Roman" w:eastAsia="Times New Roman" w:hAnsi="Times New Roman" w:cs="Times New Roman"/>
          <w:sz w:val="20"/>
          <w:szCs w:val="20"/>
          <w:highlight w:val="white"/>
        </w:rPr>
        <w:t>against civil servants by criminal prosecution bodies being rejected in more than 95% of cases.</w:t>
      </w:r>
      <w:r>
        <w:rPr>
          <w:rFonts w:ascii="Times New Roman" w:eastAsia="Times New Roman" w:hAnsi="Times New Roman" w:cs="Times New Roman"/>
          <w:sz w:val="20"/>
          <w:szCs w:val="20"/>
          <w:highlight w:val="white"/>
          <w:vertAlign w:val="superscript"/>
        </w:rPr>
        <w:footnoteReference w:id="16"/>
      </w:r>
      <w:r>
        <w:rPr>
          <w:rFonts w:ascii="Times New Roman" w:eastAsia="Times New Roman" w:hAnsi="Times New Roman" w:cs="Times New Roman"/>
          <w:sz w:val="20"/>
          <w:szCs w:val="20"/>
          <w:highlight w:val="white"/>
          <w:vertAlign w:val="superscript"/>
        </w:rPr>
        <w:t xml:space="preserve"> </w:t>
      </w:r>
      <w:r>
        <w:rPr>
          <w:rFonts w:ascii="Times New Roman" w:eastAsia="Times New Roman" w:hAnsi="Times New Roman" w:cs="Times New Roman"/>
          <w:color w:val="1D1C1D"/>
          <w:sz w:val="20"/>
          <w:szCs w:val="20"/>
        </w:rPr>
        <w:t>The Council of Europe’s Committee for the Prevention of Torture has condemned Croatia for systematically failing to investigate allegations of torture and ill-treatment against migrants. Moreover, the European Court of Human Rights has ruled against Croatia for its failure to conduct effective investigations, highlighting the ongoing absence of effective remedies.</w:t>
      </w:r>
      <w:r>
        <w:rPr>
          <w:rFonts w:ascii="Times New Roman" w:eastAsia="Times New Roman" w:hAnsi="Times New Roman" w:cs="Times New Roman"/>
          <w:color w:val="1D1C1D"/>
          <w:sz w:val="20"/>
          <w:szCs w:val="20"/>
          <w:vertAlign w:val="superscript"/>
        </w:rPr>
        <w:footnoteReference w:id="17"/>
      </w:r>
      <w:r>
        <w:rPr>
          <w:rFonts w:ascii="Times New Roman" w:eastAsia="Times New Roman" w:hAnsi="Times New Roman" w:cs="Times New Roman"/>
          <w:color w:val="1D1C1D"/>
          <w:sz w:val="20"/>
          <w:szCs w:val="20"/>
        </w:rPr>
        <w:t xml:space="preserve"> There is a specific gendered dynamic to the lack of remedies, as disregarded complaints often concern women who are victims of SGBV at the hands of authorities.</w:t>
      </w:r>
      <w:r>
        <w:rPr>
          <w:rFonts w:ascii="Times New Roman" w:eastAsia="Times New Roman" w:hAnsi="Times New Roman" w:cs="Times New Roman"/>
          <w:color w:val="1D1C1D"/>
          <w:sz w:val="20"/>
          <w:szCs w:val="20"/>
          <w:vertAlign w:val="superscript"/>
        </w:rPr>
        <w:footnoteReference w:id="18"/>
      </w:r>
    </w:p>
    <w:p w:rsidR="00AB39C2" w:rsidRDefault="00000000">
      <w:pPr>
        <w:spacing w:after="240" w:line="276" w:lineRule="auto"/>
        <w:jc w:val="both"/>
        <w:rPr>
          <w:rFonts w:ascii="Times New Roman" w:eastAsia="Times New Roman" w:hAnsi="Times New Roman" w:cs="Times New Roman"/>
          <w:i/>
          <w:color w:val="1D1C1D"/>
          <w:sz w:val="20"/>
          <w:szCs w:val="20"/>
        </w:rPr>
      </w:pPr>
      <w:r>
        <w:rPr>
          <w:rFonts w:ascii="Times New Roman" w:eastAsia="Times New Roman" w:hAnsi="Times New Roman" w:cs="Times New Roman"/>
          <w:sz w:val="20"/>
          <w:szCs w:val="20"/>
        </w:rPr>
        <w:t>We suggest the Commentary include the</w:t>
      </w:r>
      <w:r>
        <w:rPr>
          <w:rFonts w:ascii="Times New Roman" w:eastAsia="Times New Roman" w:hAnsi="Times New Roman" w:cs="Times New Roman"/>
          <w:b/>
          <w:sz w:val="20"/>
          <w:szCs w:val="20"/>
        </w:rPr>
        <w:t xml:space="preserve"> specific obstacles women in forced migration face when trying to access reporting mechanisms and effective investigation due to the intersection of their situation of forced migration and gender</w:t>
      </w:r>
      <w:r>
        <w:rPr>
          <w:rFonts w:ascii="Times New Roman" w:eastAsia="Times New Roman" w:hAnsi="Times New Roman" w:cs="Times New Roman"/>
          <w:sz w:val="20"/>
          <w:szCs w:val="20"/>
        </w:rPr>
        <w:t>.</w:t>
      </w:r>
    </w:p>
    <w:p w:rsidR="00AB39C2" w:rsidRDefault="00000000">
      <w:pPr>
        <w:numPr>
          <w:ilvl w:val="0"/>
          <w:numId w:val="1"/>
        </w:numPr>
        <w:spacing w:line="276" w:lineRule="auto"/>
        <w:jc w:val="both"/>
        <w:rPr>
          <w:rFonts w:ascii="Times New Roman" w:eastAsia="Times New Roman" w:hAnsi="Times New Roman" w:cs="Times New Roman"/>
          <w:b/>
          <w:i/>
          <w:color w:val="1D1C1D"/>
          <w:sz w:val="20"/>
          <w:szCs w:val="20"/>
        </w:rPr>
      </w:pPr>
      <w:r>
        <w:rPr>
          <w:rFonts w:ascii="Times New Roman" w:eastAsia="Times New Roman" w:hAnsi="Times New Roman" w:cs="Times New Roman"/>
          <w:b/>
          <w:i/>
          <w:color w:val="1D1C1D"/>
          <w:sz w:val="20"/>
          <w:szCs w:val="20"/>
        </w:rPr>
        <w:t>Section vi. Repair – Deportation With no Means of Rehabilitation</w:t>
      </w:r>
    </w:p>
    <w:p w:rsidR="00AB39C2" w:rsidRDefault="00000000">
      <w:pPr>
        <w:spacing w:before="240" w:after="240"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Article 24(4) of the Convention obliges states parties to ensure, within their legal systems, that victims of enforced disappearance have the right to obtain reparation and prompt, fair, and adequate compensation. The concept note clarifies the different elements compensation entails, including rehabilitation, satisfaction and guarantees of non-repetition.</w:t>
      </w:r>
    </w:p>
    <w:p w:rsidR="00AB39C2" w:rsidRDefault="00000000">
      <w:pPr>
        <w:spacing w:before="240" w:after="240"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Women whose asylum claim is rejected after having experienced enforced disappearance, and who are–against the non-refoulement principle as enshrined in Art. 16 of the Convention–deported to countries where they cannot rehabilitate effectively due to </w:t>
      </w:r>
      <w:proofErr w:type="spellStart"/>
      <w:r>
        <w:rPr>
          <w:rFonts w:ascii="Times New Roman" w:eastAsia="Times New Roman" w:hAnsi="Times New Roman" w:cs="Times New Roman"/>
          <w:color w:val="1D1C1D"/>
          <w:sz w:val="20"/>
          <w:szCs w:val="20"/>
        </w:rPr>
        <w:t>retraumatisation</w:t>
      </w:r>
      <w:proofErr w:type="spellEnd"/>
      <w:r>
        <w:rPr>
          <w:rFonts w:ascii="Times New Roman" w:eastAsia="Times New Roman" w:hAnsi="Times New Roman" w:cs="Times New Roman"/>
          <w:color w:val="1D1C1D"/>
          <w:sz w:val="20"/>
          <w:szCs w:val="20"/>
        </w:rPr>
        <w:t xml:space="preserve"> and a lack of psychological support, are denied their right under Art. 24(4) of the Convention. </w:t>
      </w:r>
    </w:p>
    <w:p w:rsidR="00AB39C2" w:rsidRDefault="00000000">
      <w:pPr>
        <w:spacing w:before="240" w:after="240"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 xml:space="preserve">AsyLex is concerned that Switzerland carries out deportations without an adequate individual assessment of whether direct and indirect victims of enforced disappearance will have access to rehabilitation services, legal remedies, or other forms of reparation in the country of return. In countries such as Ethiopia, Iraq, and Sri Lanka—where reparation mechanisms are weak, inaccessible, or entirely absent—there is a serious risk that returnees will be denied their right to redress and recovery from trauma. </w:t>
      </w:r>
    </w:p>
    <w:p w:rsidR="00AB39C2" w:rsidRDefault="00000000">
      <w:pPr>
        <w:spacing w:before="240" w:after="240" w:line="276" w:lineRule="auto"/>
        <w:jc w:val="both"/>
        <w:rPr>
          <w:rFonts w:ascii="Times New Roman" w:eastAsia="Times New Roman" w:hAnsi="Times New Roman" w:cs="Times New Roman"/>
          <w:color w:val="1D1C1D"/>
          <w:sz w:val="20"/>
          <w:szCs w:val="20"/>
        </w:rPr>
      </w:pPr>
      <w:r>
        <w:rPr>
          <w:rFonts w:ascii="Times New Roman" w:eastAsia="Times New Roman" w:hAnsi="Times New Roman" w:cs="Times New Roman"/>
          <w:color w:val="1D1C1D"/>
          <w:sz w:val="20"/>
          <w:szCs w:val="20"/>
        </w:rPr>
        <w:t>The concern of insufficient assessment is further acute in the context of the Dublin system and the use of so-called “safe third countries,” where asylum claims are often dismissed without thorough individual examination. This practice is particularly harmful to asylum seekers with complex trauma related to enforced disappearance—especially when the violation occurred in the very country to which they are being returned</w:t>
      </w:r>
    </w:p>
    <w:p w:rsidR="00AB39C2" w:rsidRDefault="00000000">
      <w:pPr>
        <w:spacing w:before="240" w:after="240" w:line="276" w:lineRule="auto"/>
        <w:jc w:val="both"/>
        <w:rPr>
          <w:rFonts w:ascii="Times New Roman" w:eastAsia="Times New Roman" w:hAnsi="Times New Roman" w:cs="Times New Roman"/>
          <w:b/>
          <w:color w:val="1D1C1D"/>
          <w:sz w:val="20"/>
          <w:szCs w:val="20"/>
        </w:rPr>
      </w:pPr>
      <w:r>
        <w:rPr>
          <w:rFonts w:ascii="Times New Roman" w:eastAsia="Times New Roman" w:hAnsi="Times New Roman" w:cs="Times New Roman"/>
          <w:color w:val="1D1C1D"/>
          <w:sz w:val="20"/>
          <w:szCs w:val="20"/>
        </w:rPr>
        <w:t xml:space="preserve">We thus suggest the Commentary </w:t>
      </w:r>
      <w:r>
        <w:rPr>
          <w:rFonts w:ascii="Times New Roman" w:eastAsia="Times New Roman" w:hAnsi="Times New Roman" w:cs="Times New Roman"/>
          <w:b/>
          <w:color w:val="1D1C1D"/>
          <w:sz w:val="20"/>
          <w:szCs w:val="20"/>
        </w:rPr>
        <w:t>include the need for incorporating a risk and rehabilitation assessment in asylum procedures</w:t>
      </w:r>
      <w:r>
        <w:rPr>
          <w:rFonts w:ascii="Times New Roman" w:eastAsia="Times New Roman" w:hAnsi="Times New Roman" w:cs="Times New Roman"/>
          <w:color w:val="1D1C1D"/>
          <w:sz w:val="20"/>
          <w:szCs w:val="20"/>
        </w:rPr>
        <w:t>. In cases where return would expose victims to environments without access to justice, psychosocial support, or legal remedies, providing victims with</w:t>
      </w:r>
      <w:r>
        <w:rPr>
          <w:rFonts w:ascii="Times New Roman" w:eastAsia="Times New Roman" w:hAnsi="Times New Roman" w:cs="Times New Roman"/>
          <w:b/>
          <w:color w:val="1D1C1D"/>
          <w:sz w:val="20"/>
          <w:szCs w:val="20"/>
        </w:rPr>
        <w:t xml:space="preserve"> protection status may be the only viable means of fulfilling the state’s obligation to provide effective reparation</w:t>
      </w:r>
      <w:r>
        <w:rPr>
          <w:rFonts w:ascii="Times New Roman" w:eastAsia="Times New Roman" w:hAnsi="Times New Roman" w:cs="Times New Roman"/>
          <w:color w:val="1D1C1D"/>
          <w:sz w:val="20"/>
          <w:szCs w:val="20"/>
        </w:rPr>
        <w:t xml:space="preserve"> under Article 24(4).</w:t>
      </w:r>
    </w:p>
    <w:sectPr w:rsidR="00AB39C2">
      <w:headerReference w:type="default" r:id="rId8"/>
      <w:footerReference w:type="default" r:id="rId9"/>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1B0E" w:rsidRDefault="00FE1B0E">
      <w:pPr>
        <w:spacing w:after="0" w:line="240" w:lineRule="auto"/>
      </w:pPr>
      <w:r>
        <w:separator/>
      </w:r>
    </w:p>
  </w:endnote>
  <w:endnote w:type="continuationSeparator" w:id="0">
    <w:p w:rsidR="00FE1B0E" w:rsidRDefault="00FE1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2C3E81A-1C50-0648-920A-C6813D85BD8F}"/>
    <w:embedBold r:id="rId2" w:fontKey="{F4C24425-6519-024C-836A-849EA0732C65}"/>
    <w:embedItalic r:id="rId3" w:fontKey="{C2DD2F6E-3B3F-3844-B90D-356A09AB3F22}"/>
    <w:embedBoldItalic r:id="rId4" w:fontKey="{0EC2E341-B535-B441-9C08-BC3C0AF5BDF1}"/>
  </w:font>
  <w:font w:name="Aptos">
    <w:panose1 w:val="020B0004020202020204"/>
    <w:charset w:val="00"/>
    <w:family w:val="swiss"/>
    <w:pitch w:val="variable"/>
    <w:sig w:usb0="20000287" w:usb1="00000003" w:usb2="00000000" w:usb3="00000000" w:csb0="0000019F" w:csb1="00000000"/>
    <w:embedRegular r:id="rId5" w:fontKey="{CC95CAEC-C6E2-214F-9F10-C61A7052FE1A}"/>
    <w:embedBold r:id="rId6" w:fontKey="{F1F135C3-9429-DE48-B860-05A19E668E6A}"/>
    <w:embedItalic r:id="rId7" w:fontKey="{57B5D2D5-BF89-4C44-9351-2CB95AE2C1AF}"/>
  </w:font>
  <w:font w:name="Play">
    <w:charset w:val="00"/>
    <w:family w:val="auto"/>
    <w:pitch w:val="default"/>
    <w:embedRegular r:id="rId8" w:fontKey="{57C2A6B2-D9FF-7243-9C6A-0ECEBAEC2F38}"/>
  </w:font>
  <w:font w:name="Aptos Display">
    <w:panose1 w:val="020B0004020202020204"/>
    <w:charset w:val="00"/>
    <w:family w:val="swiss"/>
    <w:pitch w:val="variable"/>
    <w:sig w:usb0="20000287" w:usb1="00000003" w:usb2="00000000" w:usb3="00000000" w:csb0="0000019F" w:csb1="00000000"/>
    <w:embedRegular r:id="rId9" w:fontKey="{E3065404-A703-424A-AD0D-BA291E9C7A90}"/>
  </w:font>
  <w:font w:name="Arial">
    <w:panose1 w:val="020B0604020202020204"/>
    <w:charset w:val="00"/>
    <w:family w:val="swiss"/>
    <w:pitch w:val="variable"/>
    <w:sig w:usb0="E0002EFF" w:usb1="C000785B" w:usb2="00000009" w:usb3="00000000" w:csb0="000001FF" w:csb1="00000000"/>
    <w:embedRegular r:id="rId10" w:fontKey="{A1A76A3C-ED11-1A41-A906-4524D71F688C}"/>
    <w:embedItalic r:id="rId11" w:fontKey="{93511C2B-A12B-2743-98A2-8EB13F9098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39C2" w:rsidRDefault="00AB39C2">
    <w:pPr>
      <w:jc w:val="right"/>
      <w:rPr>
        <w:rFonts w:ascii="Times New Roman" w:eastAsia="Times New Roman" w:hAnsi="Times New Roman" w:cs="Times New Roman"/>
        <w:sz w:val="20"/>
        <w:szCs w:val="20"/>
      </w:rPr>
    </w:pPr>
  </w:p>
  <w:p w:rsidR="00AB39C2" w:rsidRDefault="0000000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PAGE</w:instrText>
    </w:r>
    <w:r>
      <w:rPr>
        <w:rFonts w:ascii="Times New Roman" w:eastAsia="Times New Roman" w:hAnsi="Times New Roman" w:cs="Times New Roman"/>
        <w:sz w:val="20"/>
        <w:szCs w:val="20"/>
      </w:rPr>
      <w:fldChar w:fldCharType="separate"/>
    </w:r>
    <w:r w:rsidR="002B229E">
      <w:rPr>
        <w:rFonts w:ascii="Times New Roman" w:eastAsia="Times New Roman" w:hAnsi="Times New Roman" w:cs="Times New Roman"/>
        <w:noProof/>
        <w:sz w:val="20"/>
        <w:szCs w:val="20"/>
      </w:rPr>
      <w:t>1</w:t>
    </w:r>
    <w:r>
      <w:rPr>
        <w:rFonts w:ascii="Times New Roman" w:eastAsia="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1B0E" w:rsidRDefault="00FE1B0E">
      <w:pPr>
        <w:spacing w:after="0" w:line="240" w:lineRule="auto"/>
      </w:pPr>
      <w:r>
        <w:separator/>
      </w:r>
    </w:p>
  </w:footnote>
  <w:footnote w:type="continuationSeparator" w:id="0">
    <w:p w:rsidR="00FE1B0E" w:rsidRDefault="00FE1B0E">
      <w:pPr>
        <w:spacing w:after="0" w:line="240" w:lineRule="auto"/>
      </w:pPr>
      <w:r>
        <w:continuationSeparator/>
      </w:r>
    </w:p>
  </w:footnote>
  <w:footnote w:id="1">
    <w:p w:rsidR="00AB39C2" w:rsidRPr="002B229E" w:rsidRDefault="00000000">
      <w:pPr>
        <w:spacing w:after="0" w:line="240" w:lineRule="auto"/>
        <w:rPr>
          <w:rFonts w:ascii="Arial" w:eastAsia="Arial" w:hAnsi="Arial" w:cs="Arial"/>
          <w:sz w:val="14"/>
          <w:szCs w:val="14"/>
        </w:rPr>
      </w:pPr>
      <w:r w:rsidRPr="002B229E">
        <w:rPr>
          <w:rFonts w:ascii="Arial" w:hAnsi="Arial" w:cs="Arial"/>
          <w:sz w:val="14"/>
          <w:szCs w:val="14"/>
          <w:vertAlign w:val="superscript"/>
        </w:rPr>
        <w:footnoteRef/>
      </w:r>
      <w:r w:rsidRPr="002B229E">
        <w:rPr>
          <w:rFonts w:ascii="Arial" w:eastAsia="Arial" w:hAnsi="Arial" w:cs="Arial"/>
          <w:sz w:val="14"/>
          <w:szCs w:val="14"/>
        </w:rPr>
        <w:t xml:space="preserve"> Concept Note, Para. 3. &amp; Para. 5.</w:t>
      </w:r>
    </w:p>
  </w:footnote>
  <w:footnote w:id="2">
    <w:p w:rsidR="00AB39C2" w:rsidRPr="002B229E" w:rsidRDefault="00000000">
      <w:pPr>
        <w:spacing w:after="0" w:line="240" w:lineRule="auto"/>
        <w:jc w:val="both"/>
        <w:rPr>
          <w:rFonts w:ascii="Arial" w:hAnsi="Arial" w:cs="Arial"/>
          <w:sz w:val="14"/>
          <w:szCs w:val="14"/>
        </w:rPr>
      </w:pPr>
      <w:r w:rsidRPr="002B229E">
        <w:rPr>
          <w:rFonts w:ascii="Arial" w:hAnsi="Arial" w:cs="Arial"/>
          <w:sz w:val="14"/>
          <w:szCs w:val="14"/>
          <w:vertAlign w:val="superscript"/>
        </w:rPr>
        <w:footnoteRef/>
      </w:r>
      <w:r w:rsidRPr="002B229E">
        <w:rPr>
          <w:rFonts w:ascii="Arial" w:hAnsi="Arial" w:cs="Arial"/>
          <w:sz w:val="14"/>
          <w:szCs w:val="14"/>
        </w:rPr>
        <w:t xml:space="preserve"> UN Women. Policy Brief: </w:t>
      </w:r>
      <w:r w:rsidRPr="002B229E">
        <w:rPr>
          <w:rFonts w:ascii="Arial" w:eastAsia="Arial" w:hAnsi="Arial" w:cs="Arial"/>
          <w:sz w:val="14"/>
          <w:szCs w:val="14"/>
        </w:rPr>
        <w:t xml:space="preserve">From Evidence </w:t>
      </w:r>
      <w:proofErr w:type="gramStart"/>
      <w:r w:rsidRPr="002B229E">
        <w:rPr>
          <w:rFonts w:ascii="Arial" w:eastAsia="Arial" w:hAnsi="Arial" w:cs="Arial"/>
          <w:sz w:val="14"/>
          <w:szCs w:val="14"/>
        </w:rPr>
        <w:t>to  Action</w:t>
      </w:r>
      <w:proofErr w:type="gramEnd"/>
      <w:r w:rsidRPr="002B229E">
        <w:rPr>
          <w:rFonts w:ascii="Arial" w:eastAsia="Arial" w:hAnsi="Arial" w:cs="Arial"/>
          <w:sz w:val="14"/>
          <w:szCs w:val="14"/>
        </w:rPr>
        <w:t>: Tackling Gender-Based Violence,</w:t>
      </w:r>
      <w:r w:rsidRPr="002B229E">
        <w:rPr>
          <w:rFonts w:ascii="Arial" w:hAnsi="Arial" w:cs="Arial"/>
          <w:sz w:val="14"/>
          <w:szCs w:val="14"/>
        </w:rPr>
        <w:t xml:space="preserve"> p. 2. (2021). Available at: &lt;</w:t>
      </w:r>
      <w:hyperlink r:id="rId1">
        <w:r w:rsidRPr="002B229E">
          <w:rPr>
            <w:rFonts w:ascii="Arial" w:hAnsi="Arial" w:cs="Arial"/>
            <w:color w:val="1155CC"/>
            <w:sz w:val="14"/>
            <w:szCs w:val="14"/>
            <w:u w:val="single"/>
          </w:rPr>
          <w:t>https://www.unwomen.org/en/digital-library/publications/2021/10/policy-brief-from-evidence-to-action-tackling-gbv-against-migrant-women-and-girls</w:t>
        </w:r>
      </w:hyperlink>
      <w:r w:rsidRPr="002B229E">
        <w:rPr>
          <w:rFonts w:ascii="Arial" w:hAnsi="Arial" w:cs="Arial"/>
          <w:sz w:val="14"/>
          <w:szCs w:val="14"/>
        </w:rPr>
        <w:t>&gt;</w:t>
      </w:r>
    </w:p>
  </w:footnote>
  <w:footnote w:id="3">
    <w:p w:rsidR="00AB39C2" w:rsidRPr="002B229E" w:rsidRDefault="00000000">
      <w:pPr>
        <w:spacing w:after="0" w:line="240" w:lineRule="auto"/>
        <w:jc w:val="both"/>
        <w:rPr>
          <w:rFonts w:ascii="Arial" w:hAnsi="Arial" w:cs="Arial"/>
          <w:sz w:val="14"/>
          <w:szCs w:val="14"/>
        </w:rPr>
      </w:pPr>
      <w:r w:rsidRPr="002B229E">
        <w:rPr>
          <w:rFonts w:ascii="Arial" w:hAnsi="Arial" w:cs="Arial"/>
          <w:sz w:val="14"/>
          <w:szCs w:val="14"/>
          <w:vertAlign w:val="superscript"/>
        </w:rPr>
        <w:footnoteRef/>
      </w:r>
      <w:r w:rsidRPr="002B229E">
        <w:rPr>
          <w:rFonts w:ascii="Arial" w:hAnsi="Arial" w:cs="Arial"/>
          <w:sz w:val="14"/>
          <w:szCs w:val="14"/>
        </w:rPr>
        <w:t xml:space="preserve"> UN. Briefing Note: UN Refugee Agency estimates 2.5 million people need resettlement. (24 June 2025). Available at: &lt;</w:t>
      </w:r>
      <w:hyperlink r:id="rId2">
        <w:r w:rsidRPr="002B229E">
          <w:rPr>
            <w:rFonts w:ascii="Arial" w:hAnsi="Arial" w:cs="Arial"/>
            <w:color w:val="1155CC"/>
            <w:sz w:val="14"/>
            <w:szCs w:val="14"/>
            <w:u w:val="single"/>
          </w:rPr>
          <w:t>https://www.unhcr.org/news/briefing-notes/un-refugee-agency-estimates-2-5-million-people-need-resettlement</w:t>
        </w:r>
      </w:hyperlink>
      <w:r w:rsidRPr="002B229E">
        <w:rPr>
          <w:rFonts w:ascii="Arial" w:hAnsi="Arial" w:cs="Arial"/>
          <w:sz w:val="14"/>
          <w:szCs w:val="14"/>
        </w:rPr>
        <w:t>&gt;</w:t>
      </w:r>
    </w:p>
  </w:footnote>
  <w:footnote w:id="4">
    <w:p w:rsidR="00AB39C2" w:rsidRPr="002B229E" w:rsidRDefault="00000000">
      <w:pPr>
        <w:spacing w:after="0" w:line="240" w:lineRule="auto"/>
        <w:jc w:val="both"/>
        <w:rPr>
          <w:rFonts w:ascii="Arial" w:eastAsia="Arial" w:hAnsi="Arial" w:cs="Arial"/>
          <w:sz w:val="14"/>
          <w:szCs w:val="14"/>
        </w:rPr>
      </w:pPr>
      <w:r w:rsidRPr="002B229E">
        <w:rPr>
          <w:rFonts w:ascii="Arial" w:hAnsi="Arial" w:cs="Arial"/>
          <w:sz w:val="14"/>
          <w:szCs w:val="14"/>
          <w:vertAlign w:val="superscript"/>
        </w:rPr>
        <w:footnoteRef/>
      </w:r>
      <w:r w:rsidRPr="002B229E">
        <w:rPr>
          <w:rFonts w:ascii="Arial" w:eastAsia="Arial" w:hAnsi="Arial" w:cs="Arial"/>
          <w:sz w:val="14"/>
          <w:szCs w:val="14"/>
        </w:rPr>
        <w:t xml:space="preserve"> State Secretariat for Migration. </w:t>
      </w:r>
      <w:r w:rsidRPr="002B229E">
        <w:rPr>
          <w:rFonts w:ascii="Arial" w:eastAsia="Arial" w:hAnsi="Arial" w:cs="Arial"/>
          <w:sz w:val="14"/>
          <w:szCs w:val="14"/>
          <w:highlight w:val="white"/>
        </w:rPr>
        <w:t>Resettlement programmes since 2013. Available at: &lt;</w:t>
      </w:r>
      <w:hyperlink r:id="rId3">
        <w:r w:rsidRPr="002B229E">
          <w:rPr>
            <w:rFonts w:ascii="Arial" w:eastAsia="Arial" w:hAnsi="Arial" w:cs="Arial"/>
            <w:color w:val="1155CC"/>
            <w:sz w:val="14"/>
            <w:szCs w:val="14"/>
            <w:u w:val="single"/>
          </w:rPr>
          <w:t>https://www.sem.admin.ch/sem/en/home/asyl/resettlement/programme.html</w:t>
        </w:r>
      </w:hyperlink>
      <w:r w:rsidRPr="002B229E">
        <w:rPr>
          <w:rFonts w:ascii="Arial" w:eastAsia="Arial" w:hAnsi="Arial" w:cs="Arial"/>
          <w:sz w:val="14"/>
          <w:szCs w:val="14"/>
        </w:rPr>
        <w:t>&gt;</w:t>
      </w:r>
    </w:p>
  </w:footnote>
  <w:footnote w:id="5">
    <w:p w:rsidR="00AB39C2" w:rsidRDefault="00000000">
      <w:pPr>
        <w:spacing w:after="0" w:line="240" w:lineRule="auto"/>
        <w:jc w:val="both"/>
        <w:rPr>
          <w:sz w:val="14"/>
          <w:szCs w:val="14"/>
        </w:rPr>
      </w:pPr>
      <w:r w:rsidRPr="002B229E">
        <w:rPr>
          <w:rFonts w:ascii="Arial" w:hAnsi="Arial" w:cs="Arial"/>
          <w:sz w:val="14"/>
          <w:szCs w:val="14"/>
          <w:vertAlign w:val="superscript"/>
        </w:rPr>
        <w:footnoteRef/>
      </w:r>
      <w:r w:rsidRPr="002B229E">
        <w:rPr>
          <w:rFonts w:ascii="Arial" w:hAnsi="Arial" w:cs="Arial"/>
          <w:sz w:val="14"/>
          <w:szCs w:val="14"/>
          <w:lang w:val="de-CH"/>
        </w:rPr>
        <w:t xml:space="preserve"> Schweizer Radio und Fernsehen. Press release: EU-Migrations- und </w:t>
      </w:r>
      <w:proofErr w:type="spellStart"/>
      <w:r w:rsidRPr="002B229E">
        <w:rPr>
          <w:rFonts w:ascii="Arial" w:hAnsi="Arial" w:cs="Arial"/>
          <w:sz w:val="14"/>
          <w:szCs w:val="14"/>
          <w:lang w:val="de-CH"/>
        </w:rPr>
        <w:t>Asylpakt</w:t>
      </w:r>
      <w:proofErr w:type="spellEnd"/>
      <w:r w:rsidRPr="002B229E">
        <w:rPr>
          <w:rFonts w:ascii="Arial" w:hAnsi="Arial" w:cs="Arial"/>
          <w:sz w:val="14"/>
          <w:szCs w:val="14"/>
          <w:lang w:val="de-CH"/>
        </w:rPr>
        <w:t xml:space="preserve"> – Nationalrat ist gegen freiwillige europäische Asyl-Solidarität. </w:t>
      </w:r>
      <w:r w:rsidRPr="002B229E">
        <w:rPr>
          <w:rFonts w:ascii="Arial" w:hAnsi="Arial" w:cs="Arial"/>
          <w:sz w:val="14"/>
          <w:szCs w:val="14"/>
        </w:rPr>
        <w:t>(19 June 2025). Available at: &lt;</w:t>
      </w:r>
      <w:hyperlink r:id="rId4">
        <w:r w:rsidRPr="002B229E">
          <w:rPr>
            <w:rFonts w:ascii="Arial" w:hAnsi="Arial" w:cs="Arial"/>
            <w:color w:val="1155CC"/>
            <w:sz w:val="14"/>
            <w:szCs w:val="14"/>
            <w:u w:val="single"/>
          </w:rPr>
          <w:t>https://www.srf.ch/news/schweiz/eu-migrations-und-asylpakt-nationalrat-ist-gegen-freiwillige-europaeische-asyl-solidaritaet</w:t>
        </w:r>
      </w:hyperlink>
      <w:r w:rsidRPr="002B229E">
        <w:rPr>
          <w:rFonts w:ascii="Arial" w:hAnsi="Arial" w:cs="Arial"/>
          <w:sz w:val="14"/>
          <w:szCs w:val="14"/>
        </w:rPr>
        <w:t>&gt;</w:t>
      </w:r>
    </w:p>
  </w:footnote>
  <w:footnote w:id="6">
    <w:p w:rsidR="00AB39C2" w:rsidRPr="002B229E" w:rsidRDefault="00000000">
      <w:pPr>
        <w:spacing w:after="0" w:line="240" w:lineRule="auto"/>
        <w:jc w:val="both"/>
        <w:rPr>
          <w:rFonts w:ascii="Arial" w:eastAsia="Arial" w:hAnsi="Arial" w:cs="Arial"/>
          <w:sz w:val="14"/>
          <w:szCs w:val="14"/>
        </w:rPr>
      </w:pPr>
      <w:r w:rsidRPr="002B229E">
        <w:rPr>
          <w:rFonts w:ascii="Arial" w:hAnsi="Arial" w:cs="Arial"/>
          <w:sz w:val="14"/>
          <w:szCs w:val="14"/>
          <w:vertAlign w:val="superscript"/>
        </w:rPr>
        <w:footnoteRef/>
      </w:r>
      <w:r w:rsidRPr="002B229E">
        <w:rPr>
          <w:rFonts w:ascii="Arial" w:hAnsi="Arial" w:cs="Arial"/>
          <w:sz w:val="14"/>
          <w:szCs w:val="14"/>
        </w:rPr>
        <w:t xml:space="preserve"> </w:t>
      </w:r>
      <w:r w:rsidRPr="002B229E">
        <w:rPr>
          <w:rFonts w:ascii="Arial" w:eastAsia="Arial" w:hAnsi="Arial" w:cs="Arial"/>
          <w:sz w:val="14"/>
          <w:szCs w:val="14"/>
        </w:rPr>
        <w:t>See, for example: Report of the Ethiopian Human Rights Commission (EHRC)/Office of the United Nations High Commissioner for Human Rights (OHCHR) Joint Investigation into Alleged Violations of International Human Rights, Humanitarian and Refugee Law Committed by all Parties to the Conflict in the Tigray Region of the Federal Democratic Republic of Ethiopia. (2021). Available at: &lt;</w:t>
      </w:r>
      <w:hyperlink r:id="rId5">
        <w:r w:rsidRPr="002B229E">
          <w:rPr>
            <w:rFonts w:ascii="Arial" w:eastAsia="Arial" w:hAnsi="Arial" w:cs="Arial"/>
            <w:color w:val="1155CC"/>
            <w:sz w:val="14"/>
            <w:szCs w:val="14"/>
            <w:u w:val="single"/>
          </w:rPr>
          <w:t>https://digitallibrary.un.org/record/3947207?v=pdf</w:t>
        </w:r>
      </w:hyperlink>
      <w:r w:rsidRPr="002B229E">
        <w:rPr>
          <w:rFonts w:ascii="Arial" w:eastAsia="Arial" w:hAnsi="Arial" w:cs="Arial"/>
          <w:sz w:val="14"/>
          <w:szCs w:val="14"/>
        </w:rPr>
        <w:t>&gt;</w:t>
      </w:r>
    </w:p>
  </w:footnote>
  <w:footnote w:id="7">
    <w:p w:rsidR="00AB39C2" w:rsidRDefault="00000000">
      <w:pPr>
        <w:spacing w:after="0" w:line="240" w:lineRule="auto"/>
        <w:rPr>
          <w:rFonts w:ascii="Arial" w:eastAsia="Arial" w:hAnsi="Arial" w:cs="Arial"/>
          <w:sz w:val="14"/>
          <w:szCs w:val="14"/>
        </w:rPr>
      </w:pPr>
      <w:r w:rsidRPr="002B229E">
        <w:rPr>
          <w:rFonts w:ascii="Arial" w:hAnsi="Arial" w:cs="Arial"/>
          <w:sz w:val="14"/>
          <w:szCs w:val="14"/>
          <w:vertAlign w:val="superscript"/>
        </w:rPr>
        <w:footnoteRef/>
      </w:r>
      <w:r w:rsidRPr="002B229E">
        <w:rPr>
          <w:rFonts w:ascii="Arial" w:hAnsi="Arial" w:cs="Arial"/>
          <w:sz w:val="14"/>
          <w:szCs w:val="14"/>
        </w:rPr>
        <w:t xml:space="preserve"> </w:t>
      </w:r>
      <w:r w:rsidRPr="002B229E">
        <w:rPr>
          <w:rFonts w:ascii="Arial" w:eastAsia="Arial" w:hAnsi="Arial" w:cs="Arial"/>
          <w:sz w:val="14"/>
          <w:szCs w:val="14"/>
        </w:rPr>
        <w:t>AsyLex. Press Release: LAST SECOND: United Nations Committees stop deportation of two clients to Ethiopia. (7 June 2021, updated 14 April 2022). Available at: &lt;</w:t>
      </w:r>
      <w:hyperlink r:id="rId6">
        <w:r w:rsidRPr="002B229E">
          <w:rPr>
            <w:rFonts w:ascii="Arial" w:eastAsia="Arial" w:hAnsi="Arial" w:cs="Arial"/>
            <w:color w:val="1155CC"/>
            <w:sz w:val="14"/>
            <w:szCs w:val="14"/>
            <w:u w:val="single"/>
          </w:rPr>
          <w:t>https://www.asylex.ch/post/paving-the-path-to-a-brighter-future</w:t>
        </w:r>
      </w:hyperlink>
      <w:r w:rsidRPr="002B229E">
        <w:rPr>
          <w:rFonts w:ascii="Arial" w:eastAsia="Arial" w:hAnsi="Arial" w:cs="Arial"/>
          <w:sz w:val="14"/>
          <w:szCs w:val="14"/>
        </w:rPr>
        <w:t>&gt;</w:t>
      </w:r>
    </w:p>
  </w:footnote>
  <w:footnote w:id="8">
    <w:p w:rsidR="00AB39C2" w:rsidRPr="002B229E" w:rsidRDefault="00000000">
      <w:pPr>
        <w:spacing w:after="0" w:line="240" w:lineRule="auto"/>
        <w:rPr>
          <w:rFonts w:ascii="Arial" w:hAnsi="Arial" w:cs="Arial"/>
          <w:sz w:val="14"/>
          <w:szCs w:val="14"/>
        </w:rPr>
      </w:pPr>
      <w:r w:rsidRPr="002B229E">
        <w:rPr>
          <w:rFonts w:ascii="Arial" w:hAnsi="Arial" w:cs="Arial"/>
          <w:sz w:val="14"/>
          <w:szCs w:val="14"/>
          <w:vertAlign w:val="superscript"/>
        </w:rPr>
        <w:footnoteRef/>
      </w:r>
      <w:r w:rsidRPr="002B229E">
        <w:rPr>
          <w:rFonts w:ascii="Arial" w:hAnsi="Arial" w:cs="Arial"/>
          <w:sz w:val="14"/>
          <w:szCs w:val="14"/>
        </w:rPr>
        <w:t xml:space="preserve"> Committee on Enforced Disappearances, </w:t>
      </w:r>
      <w:r w:rsidRPr="002B229E">
        <w:rPr>
          <w:rFonts w:ascii="Arial" w:hAnsi="Arial" w:cs="Arial"/>
          <w:i/>
          <w:sz w:val="14"/>
          <w:szCs w:val="14"/>
        </w:rPr>
        <w:t xml:space="preserve">Estela Deolinda </w:t>
      </w:r>
      <w:proofErr w:type="spellStart"/>
      <w:r w:rsidRPr="002B229E">
        <w:rPr>
          <w:rFonts w:ascii="Arial" w:hAnsi="Arial" w:cs="Arial"/>
          <w:i/>
          <w:sz w:val="14"/>
          <w:szCs w:val="14"/>
        </w:rPr>
        <w:t>Yrusta</w:t>
      </w:r>
      <w:proofErr w:type="spellEnd"/>
      <w:r w:rsidRPr="002B229E">
        <w:rPr>
          <w:rFonts w:ascii="Arial" w:hAnsi="Arial" w:cs="Arial"/>
          <w:i/>
          <w:sz w:val="14"/>
          <w:szCs w:val="14"/>
        </w:rPr>
        <w:t xml:space="preserve"> and Alejandra del Valle </w:t>
      </w:r>
      <w:proofErr w:type="spellStart"/>
      <w:r w:rsidRPr="002B229E">
        <w:rPr>
          <w:rFonts w:ascii="Arial" w:hAnsi="Arial" w:cs="Arial"/>
          <w:i/>
          <w:sz w:val="14"/>
          <w:szCs w:val="14"/>
        </w:rPr>
        <w:t>Yrusta</w:t>
      </w:r>
      <w:proofErr w:type="spellEnd"/>
      <w:r w:rsidRPr="002B229E">
        <w:rPr>
          <w:rFonts w:ascii="Arial" w:hAnsi="Arial" w:cs="Arial"/>
          <w:i/>
          <w:sz w:val="14"/>
          <w:szCs w:val="14"/>
        </w:rPr>
        <w:t xml:space="preserve"> v Argentina</w:t>
      </w:r>
      <w:r w:rsidRPr="002B229E">
        <w:rPr>
          <w:rFonts w:ascii="Arial" w:hAnsi="Arial" w:cs="Arial"/>
          <w:sz w:val="14"/>
          <w:szCs w:val="14"/>
        </w:rPr>
        <w:t>, Communication No. 1/2013, (CED/C/10/D/1/2013), 12 April 2016, para 10.3, Available at: &lt;</w:t>
      </w:r>
      <w:hyperlink r:id="rId7">
        <w:r w:rsidRPr="002B229E">
          <w:rPr>
            <w:rFonts w:ascii="Arial" w:hAnsi="Arial" w:cs="Arial"/>
            <w:color w:val="1155CC"/>
            <w:sz w:val="14"/>
            <w:szCs w:val="14"/>
            <w:u w:val="single"/>
          </w:rPr>
          <w:t>https://juris.ohchr.org/casedetails/2141/en-US</w:t>
        </w:r>
      </w:hyperlink>
      <w:r w:rsidRPr="002B229E">
        <w:rPr>
          <w:rFonts w:ascii="Arial" w:hAnsi="Arial" w:cs="Arial"/>
          <w:sz w:val="14"/>
          <w:szCs w:val="14"/>
        </w:rPr>
        <w:t>&gt; ; Committee on Enforced Disappearances and Working Group on Enforced or Involuntary Disappearances “Joint statement on so-called ‘short-term enforced disappearances’” (2024) CED/C/11, para 6. Available at: &lt;</w:t>
      </w:r>
      <w:hyperlink r:id="rId8">
        <w:r w:rsidRPr="002B229E">
          <w:rPr>
            <w:rFonts w:ascii="Arial" w:hAnsi="Arial" w:cs="Arial"/>
            <w:color w:val="1155CC"/>
            <w:sz w:val="14"/>
            <w:szCs w:val="14"/>
            <w:u w:val="single"/>
          </w:rPr>
          <w:t>https://digitallibrary.un.org/record/4069020?v=pdf</w:t>
        </w:r>
      </w:hyperlink>
      <w:r w:rsidRPr="002B229E">
        <w:rPr>
          <w:rFonts w:ascii="Arial" w:hAnsi="Arial" w:cs="Arial"/>
          <w:sz w:val="14"/>
          <w:szCs w:val="14"/>
        </w:rPr>
        <w:t>&gt;</w:t>
      </w:r>
    </w:p>
  </w:footnote>
  <w:footnote w:id="9">
    <w:p w:rsidR="00AB39C2" w:rsidRPr="002B229E" w:rsidRDefault="00000000">
      <w:pPr>
        <w:spacing w:after="0" w:line="240" w:lineRule="auto"/>
        <w:rPr>
          <w:rFonts w:ascii="Arial" w:eastAsia="Arial" w:hAnsi="Arial" w:cs="Arial"/>
          <w:sz w:val="14"/>
          <w:szCs w:val="14"/>
        </w:rPr>
      </w:pPr>
      <w:r w:rsidRPr="002B229E">
        <w:rPr>
          <w:rFonts w:ascii="Arial" w:hAnsi="Arial" w:cs="Arial"/>
          <w:sz w:val="14"/>
          <w:szCs w:val="14"/>
          <w:vertAlign w:val="superscript"/>
        </w:rPr>
        <w:footnoteRef/>
      </w:r>
      <w:r w:rsidRPr="002B229E">
        <w:rPr>
          <w:rFonts w:ascii="Arial" w:eastAsia="Arial" w:hAnsi="Arial" w:cs="Arial"/>
          <w:sz w:val="14"/>
          <w:szCs w:val="14"/>
        </w:rPr>
        <w:t xml:space="preserve"> </w:t>
      </w:r>
      <w:r w:rsidRPr="002B229E">
        <w:rPr>
          <w:rFonts w:ascii="Arial" w:hAnsi="Arial" w:cs="Arial"/>
          <w:sz w:val="14"/>
          <w:szCs w:val="14"/>
        </w:rPr>
        <w:t>Ibid.</w:t>
      </w:r>
    </w:p>
  </w:footnote>
  <w:footnote w:id="10">
    <w:p w:rsidR="00AB39C2" w:rsidRPr="002B229E" w:rsidRDefault="00000000">
      <w:pPr>
        <w:spacing w:after="0" w:line="240" w:lineRule="auto"/>
        <w:jc w:val="both"/>
        <w:rPr>
          <w:rFonts w:ascii="Arial" w:eastAsia="Arial" w:hAnsi="Arial" w:cs="Arial"/>
          <w:sz w:val="14"/>
          <w:szCs w:val="14"/>
        </w:rPr>
      </w:pPr>
      <w:r w:rsidRPr="002B229E">
        <w:rPr>
          <w:rFonts w:ascii="Arial" w:hAnsi="Arial" w:cs="Arial"/>
          <w:sz w:val="14"/>
          <w:szCs w:val="14"/>
          <w:vertAlign w:val="superscript"/>
        </w:rPr>
        <w:footnoteRef/>
      </w:r>
      <w:r w:rsidRPr="002B229E">
        <w:rPr>
          <w:rFonts w:ascii="Arial" w:eastAsia="Arial" w:hAnsi="Arial" w:cs="Arial"/>
          <w:sz w:val="14"/>
          <w:szCs w:val="14"/>
        </w:rPr>
        <w:t xml:space="preserve"> AsyLex, “Commentary by AsyLex regarding Switzerland on the call for inputs with a view to issuing a joint statement on the notion of short-term enforced disappearance” (2023). Available at : &lt;</w:t>
      </w:r>
      <w:hyperlink r:id="rId9">
        <w:r w:rsidRPr="002B229E">
          <w:rPr>
            <w:rFonts w:ascii="Arial" w:eastAsia="Arial" w:hAnsi="Arial" w:cs="Arial"/>
            <w:color w:val="1155CC"/>
            <w:sz w:val="14"/>
            <w:szCs w:val="14"/>
            <w:u w:val="single"/>
          </w:rPr>
          <w:t>https://www.ohchr.org/sites/default/files/documents/hrbodies/ced/cfis/short-term-disap/submission-short-term-ED-CED-WGEID-cso-asylex-en.pdf</w:t>
        </w:r>
      </w:hyperlink>
      <w:r w:rsidRPr="002B229E">
        <w:rPr>
          <w:rFonts w:ascii="Arial" w:eastAsia="Arial" w:hAnsi="Arial" w:cs="Arial"/>
          <w:sz w:val="14"/>
          <w:szCs w:val="14"/>
        </w:rPr>
        <w:t xml:space="preserve">&gt; </w:t>
      </w:r>
    </w:p>
  </w:footnote>
  <w:footnote w:id="11">
    <w:p w:rsidR="00AB39C2" w:rsidRPr="002B229E" w:rsidRDefault="00000000">
      <w:pPr>
        <w:spacing w:after="0" w:line="240" w:lineRule="auto"/>
        <w:jc w:val="both"/>
        <w:rPr>
          <w:rFonts w:ascii="Arial" w:eastAsia="Arial" w:hAnsi="Arial" w:cs="Arial"/>
          <w:sz w:val="14"/>
          <w:szCs w:val="14"/>
        </w:rPr>
      </w:pPr>
      <w:r w:rsidRPr="002B229E">
        <w:rPr>
          <w:rFonts w:ascii="Arial" w:hAnsi="Arial" w:cs="Arial"/>
          <w:sz w:val="14"/>
          <w:szCs w:val="14"/>
          <w:vertAlign w:val="superscript"/>
        </w:rPr>
        <w:footnoteRef/>
      </w:r>
      <w:r w:rsidRPr="002B229E">
        <w:rPr>
          <w:rFonts w:ascii="Arial" w:hAnsi="Arial" w:cs="Arial"/>
          <w:sz w:val="14"/>
          <w:szCs w:val="14"/>
        </w:rPr>
        <w:t xml:space="preserve"> </w:t>
      </w:r>
      <w:r w:rsidRPr="002B229E">
        <w:rPr>
          <w:rFonts w:ascii="Arial" w:eastAsia="Arial" w:hAnsi="Arial" w:cs="Arial"/>
          <w:sz w:val="14"/>
          <w:szCs w:val="14"/>
        </w:rPr>
        <w:t xml:space="preserve">AsyLex and Centre Peace for Studies, “Submission of Reliable Information Containing Well-Founded Indications That Torture is being Systematically Practised in the Republic of Croatia, in Violation of Art. 20 of the Convention Against Torture” (2025) para 35. </w:t>
      </w:r>
      <w:r w:rsidRPr="002B229E">
        <w:rPr>
          <w:rFonts w:ascii="Arial" w:hAnsi="Arial" w:cs="Arial"/>
          <w:sz w:val="14"/>
          <w:szCs w:val="14"/>
        </w:rPr>
        <w:t>Available at: &lt;</w:t>
      </w:r>
      <w:hyperlink r:id="rId10">
        <w:r w:rsidRPr="002B229E">
          <w:rPr>
            <w:rFonts w:ascii="Arial" w:hAnsi="Arial" w:cs="Arial"/>
            <w:color w:val="1155CC"/>
            <w:sz w:val="14"/>
            <w:szCs w:val="14"/>
            <w:u w:val="single"/>
          </w:rPr>
          <w:t>https://drive.google.com/file/d/1N-f3D6DMsIS0W-sbjTGTqDCo3pshN05y/view?usp=sharing</w:t>
        </w:r>
      </w:hyperlink>
      <w:r w:rsidRPr="002B229E">
        <w:rPr>
          <w:rFonts w:ascii="Arial" w:hAnsi="Arial" w:cs="Arial"/>
          <w:sz w:val="14"/>
          <w:szCs w:val="14"/>
        </w:rPr>
        <w:t>&gt;</w:t>
      </w:r>
      <w:r w:rsidRPr="002B229E">
        <w:rPr>
          <w:rFonts w:ascii="Arial" w:eastAsia="Arial" w:hAnsi="Arial" w:cs="Arial"/>
          <w:sz w:val="14"/>
          <w:szCs w:val="14"/>
        </w:rPr>
        <w:t>; see also Border Violence Monitoring Network, “Input to the Joint Statement on the Notion of Short-Term Enforced Disappearance,” 14 August 2023. Available at: &lt;</w:t>
      </w:r>
      <w:hyperlink r:id="rId11">
        <w:r w:rsidRPr="002B229E">
          <w:rPr>
            <w:rFonts w:ascii="Arial" w:eastAsia="Arial" w:hAnsi="Arial" w:cs="Arial"/>
            <w:color w:val="1155CC"/>
            <w:sz w:val="14"/>
            <w:szCs w:val="14"/>
            <w:u w:val="single"/>
          </w:rPr>
          <w:t>https://www.ohchr.org/sites/default/files/documents/hrbodies/ced/cfis/short-term-disap/submission-short-term-ED-CED-WGEID-cso-bvmn-en.pdf</w:t>
        </w:r>
      </w:hyperlink>
      <w:r w:rsidRPr="002B229E">
        <w:rPr>
          <w:rFonts w:ascii="Arial" w:eastAsia="Arial" w:hAnsi="Arial" w:cs="Arial"/>
          <w:sz w:val="14"/>
          <w:szCs w:val="14"/>
        </w:rPr>
        <w:t xml:space="preserve">&gt; </w:t>
      </w:r>
    </w:p>
  </w:footnote>
  <w:footnote w:id="12">
    <w:p w:rsidR="00AB39C2" w:rsidRPr="002B229E" w:rsidRDefault="00000000">
      <w:pPr>
        <w:spacing w:after="0" w:line="240" w:lineRule="auto"/>
        <w:rPr>
          <w:rFonts w:ascii="Arial" w:hAnsi="Arial" w:cs="Arial"/>
          <w:sz w:val="14"/>
          <w:szCs w:val="14"/>
        </w:rPr>
      </w:pPr>
      <w:r w:rsidRPr="002B229E">
        <w:rPr>
          <w:rFonts w:ascii="Arial" w:hAnsi="Arial" w:cs="Arial"/>
          <w:sz w:val="14"/>
          <w:szCs w:val="14"/>
          <w:vertAlign w:val="superscript"/>
        </w:rPr>
        <w:footnoteRef/>
      </w:r>
      <w:r w:rsidRPr="002B229E">
        <w:rPr>
          <w:rFonts w:ascii="Arial" w:hAnsi="Arial" w:cs="Arial"/>
          <w:sz w:val="14"/>
          <w:szCs w:val="14"/>
        </w:rPr>
        <w:t xml:space="preserve">  AsyLex and Centre for Peace Studies, “Submission of Reliable Information Containing Well-Founded Indications That Torture is being Systematically Practised in the Republic of Croatia, in Violation of Art. 20 of the Convention Against Torture” (2025) para 27-30.</w:t>
      </w:r>
    </w:p>
  </w:footnote>
  <w:footnote w:id="13">
    <w:p w:rsidR="00AB39C2" w:rsidRPr="002B229E" w:rsidRDefault="00000000">
      <w:pPr>
        <w:spacing w:after="0" w:line="240" w:lineRule="auto"/>
        <w:rPr>
          <w:sz w:val="14"/>
          <w:szCs w:val="14"/>
          <w:lang w:val="it-CH"/>
        </w:rPr>
      </w:pPr>
      <w:r w:rsidRPr="002B229E">
        <w:rPr>
          <w:rFonts w:ascii="Arial" w:hAnsi="Arial" w:cs="Arial"/>
          <w:sz w:val="14"/>
          <w:szCs w:val="14"/>
          <w:vertAlign w:val="superscript"/>
        </w:rPr>
        <w:footnoteRef/>
      </w:r>
      <w:r w:rsidRPr="002B229E">
        <w:rPr>
          <w:rFonts w:ascii="Arial" w:hAnsi="Arial" w:cs="Arial"/>
          <w:sz w:val="14"/>
          <w:szCs w:val="14"/>
          <w:lang w:val="it-CH"/>
        </w:rPr>
        <w:t xml:space="preserve"> </w:t>
      </w:r>
      <w:r w:rsidRPr="002B229E">
        <w:rPr>
          <w:rFonts w:ascii="Arial" w:hAnsi="Arial" w:cs="Arial"/>
          <w:sz w:val="14"/>
          <w:szCs w:val="14"/>
          <w:lang w:val="it-CH"/>
        </w:rPr>
        <w:t>Concept note, para. 6.</w:t>
      </w:r>
    </w:p>
  </w:footnote>
  <w:footnote w:id="14">
    <w:p w:rsidR="00AB39C2" w:rsidRPr="002B229E" w:rsidRDefault="00000000">
      <w:pPr>
        <w:spacing w:after="0" w:line="240" w:lineRule="auto"/>
        <w:rPr>
          <w:rFonts w:ascii="Arial" w:eastAsia="Arial" w:hAnsi="Arial" w:cs="Arial"/>
          <w:sz w:val="14"/>
          <w:szCs w:val="14"/>
        </w:rPr>
      </w:pPr>
      <w:r w:rsidRPr="002B229E">
        <w:rPr>
          <w:rFonts w:ascii="Arial" w:hAnsi="Arial" w:cs="Arial"/>
          <w:sz w:val="14"/>
          <w:szCs w:val="14"/>
          <w:vertAlign w:val="superscript"/>
        </w:rPr>
        <w:footnoteRef/>
      </w:r>
      <w:r w:rsidRPr="002B229E">
        <w:rPr>
          <w:rFonts w:ascii="Arial" w:eastAsia="Arial" w:hAnsi="Arial" w:cs="Arial"/>
          <w:sz w:val="14"/>
          <w:szCs w:val="14"/>
          <w:lang w:val="it-CH"/>
        </w:rPr>
        <w:t xml:space="preserve">  </w:t>
      </w:r>
      <w:r w:rsidRPr="002B229E">
        <w:rPr>
          <w:rFonts w:ascii="Arial" w:eastAsia="Arial" w:hAnsi="Arial" w:cs="Arial"/>
          <w:sz w:val="14"/>
          <w:szCs w:val="14"/>
          <w:lang w:val="it-CH"/>
        </w:rPr>
        <w:t xml:space="preserve">E-5129/2020, (18 December 2023). </w:t>
      </w:r>
      <w:r w:rsidRPr="002B229E">
        <w:rPr>
          <w:rFonts w:ascii="Arial" w:eastAsia="Arial" w:hAnsi="Arial" w:cs="Arial"/>
          <w:sz w:val="14"/>
          <w:szCs w:val="14"/>
        </w:rPr>
        <w:t>Available at: &lt;</w:t>
      </w:r>
      <w:hyperlink r:id="rId12">
        <w:r w:rsidRPr="002B229E">
          <w:rPr>
            <w:rFonts w:ascii="Arial" w:eastAsia="Arial" w:hAnsi="Arial" w:cs="Arial"/>
            <w:color w:val="1155CC"/>
            <w:sz w:val="14"/>
            <w:szCs w:val="14"/>
            <w:u w:val="single"/>
          </w:rPr>
          <w:t>https://bvger.weblaw.ch/cache?id=606fa0b5-04b9-44b0-9b47-6792887f2f50&amp;guiLanguage=fr&amp;q=E-5129%2F2020&amp;filters=%5B%5D&amp;sort-field=relevance&amp;sort-direction=relevance</w:t>
        </w:r>
      </w:hyperlink>
      <w:r w:rsidRPr="002B229E">
        <w:rPr>
          <w:rFonts w:ascii="Arial" w:eastAsia="Arial" w:hAnsi="Arial" w:cs="Arial"/>
          <w:sz w:val="14"/>
          <w:szCs w:val="14"/>
        </w:rPr>
        <w:t xml:space="preserve">&gt; </w:t>
      </w:r>
    </w:p>
  </w:footnote>
  <w:footnote w:id="15">
    <w:p w:rsidR="00AB39C2" w:rsidRPr="002B229E" w:rsidRDefault="00000000">
      <w:pPr>
        <w:spacing w:after="0" w:line="240" w:lineRule="auto"/>
        <w:rPr>
          <w:rFonts w:ascii="Arial" w:hAnsi="Arial" w:cs="Arial"/>
          <w:sz w:val="14"/>
          <w:szCs w:val="14"/>
        </w:rPr>
      </w:pPr>
      <w:r w:rsidRPr="002B229E">
        <w:rPr>
          <w:rFonts w:ascii="Arial" w:hAnsi="Arial" w:cs="Arial"/>
          <w:sz w:val="14"/>
          <w:szCs w:val="14"/>
          <w:vertAlign w:val="superscript"/>
        </w:rPr>
        <w:footnoteRef/>
      </w:r>
      <w:r w:rsidRPr="002B229E">
        <w:rPr>
          <w:rFonts w:ascii="Arial" w:hAnsi="Arial" w:cs="Arial"/>
          <w:sz w:val="14"/>
          <w:szCs w:val="14"/>
        </w:rPr>
        <w:t xml:space="preserve">  AsyLex and Centre for Peace Studies, “Submission of Reliable Information Containing Well-Founded Indications That Torture is being Systematically Practised in the Republic of Croatia, in Violation of Art. 20 of the Convention Against Torture” (2025) para 58-64.</w:t>
      </w:r>
    </w:p>
  </w:footnote>
  <w:footnote w:id="16">
    <w:p w:rsidR="00AB39C2" w:rsidRPr="002B229E" w:rsidRDefault="00000000">
      <w:pPr>
        <w:spacing w:after="0" w:line="240" w:lineRule="auto"/>
        <w:jc w:val="both"/>
        <w:rPr>
          <w:rFonts w:ascii="Arial" w:eastAsia="Arial" w:hAnsi="Arial" w:cs="Arial"/>
          <w:sz w:val="14"/>
          <w:szCs w:val="14"/>
        </w:rPr>
      </w:pPr>
      <w:r w:rsidRPr="002B229E">
        <w:rPr>
          <w:rFonts w:ascii="Arial" w:hAnsi="Arial" w:cs="Arial"/>
          <w:sz w:val="14"/>
          <w:szCs w:val="14"/>
          <w:vertAlign w:val="superscript"/>
        </w:rPr>
        <w:footnoteRef/>
      </w:r>
      <w:r w:rsidRPr="002B229E">
        <w:rPr>
          <w:rFonts w:ascii="Arial" w:eastAsia="Arial" w:hAnsi="Arial" w:cs="Arial"/>
          <w:sz w:val="14"/>
          <w:szCs w:val="14"/>
        </w:rPr>
        <w:t xml:space="preserve"> Lidija Horvat, “Cruel, Inhuman and Degrading Treatment of Persons Deprived of their Liberty: Croatian Experience in the Context of International Human Rights Standards,” 2023. Doctoral Thesis, University of Zagreb, Faculty of Law, p. 232. Available at: &lt;</w:t>
      </w:r>
      <w:hyperlink r:id="rId13">
        <w:r w:rsidRPr="002B229E">
          <w:rPr>
            <w:rFonts w:ascii="Arial" w:eastAsia="Arial" w:hAnsi="Arial" w:cs="Arial"/>
            <w:color w:val="1155CC"/>
            <w:sz w:val="14"/>
            <w:szCs w:val="14"/>
            <w:u w:val="single"/>
          </w:rPr>
          <w:t>https://repozitorij.pravo.unizg.hr/islandora/object/pravo:5601</w:t>
        </w:r>
      </w:hyperlink>
      <w:r w:rsidRPr="002B229E">
        <w:rPr>
          <w:rFonts w:ascii="Arial" w:eastAsia="Arial" w:hAnsi="Arial" w:cs="Arial"/>
          <w:sz w:val="14"/>
          <w:szCs w:val="14"/>
        </w:rPr>
        <w:t xml:space="preserve">&gt;   </w:t>
      </w:r>
    </w:p>
  </w:footnote>
  <w:footnote w:id="17">
    <w:p w:rsidR="00AB39C2" w:rsidRPr="002B229E" w:rsidRDefault="00000000">
      <w:pPr>
        <w:spacing w:after="0" w:line="240" w:lineRule="auto"/>
        <w:rPr>
          <w:rFonts w:ascii="Arial" w:hAnsi="Arial" w:cs="Arial"/>
          <w:sz w:val="14"/>
          <w:szCs w:val="14"/>
        </w:rPr>
      </w:pPr>
      <w:r w:rsidRPr="002B229E">
        <w:rPr>
          <w:rFonts w:ascii="Arial" w:hAnsi="Arial" w:cs="Arial"/>
          <w:sz w:val="14"/>
          <w:szCs w:val="14"/>
          <w:vertAlign w:val="superscript"/>
        </w:rPr>
        <w:footnoteRef/>
      </w:r>
      <w:r w:rsidRPr="002B229E">
        <w:rPr>
          <w:rFonts w:ascii="Arial" w:hAnsi="Arial" w:cs="Arial"/>
          <w:sz w:val="14"/>
          <w:szCs w:val="14"/>
        </w:rPr>
        <w:t xml:space="preserve">  </w:t>
      </w:r>
      <w:r w:rsidRPr="002B229E">
        <w:rPr>
          <w:rFonts w:ascii="Arial" w:hAnsi="Arial" w:cs="Arial"/>
          <w:i/>
          <w:sz w:val="14"/>
          <w:szCs w:val="14"/>
        </w:rPr>
        <w:t>MH and others v Croatia</w:t>
      </w:r>
      <w:r w:rsidRPr="002B229E">
        <w:rPr>
          <w:rFonts w:ascii="Arial" w:hAnsi="Arial" w:cs="Arial"/>
          <w:sz w:val="14"/>
          <w:szCs w:val="14"/>
        </w:rPr>
        <w:t xml:space="preserve"> [2022] European Court of Human Rights No. 15670/18 and No. 43115/18.</w:t>
      </w:r>
    </w:p>
  </w:footnote>
  <w:footnote w:id="18">
    <w:p w:rsidR="00AB39C2" w:rsidRPr="002B229E" w:rsidRDefault="00000000">
      <w:pPr>
        <w:spacing w:after="0" w:line="240" w:lineRule="auto"/>
        <w:jc w:val="both"/>
        <w:rPr>
          <w:sz w:val="14"/>
          <w:szCs w:val="14"/>
        </w:rPr>
      </w:pPr>
      <w:r w:rsidRPr="002B229E">
        <w:rPr>
          <w:rFonts w:ascii="Arial" w:hAnsi="Arial" w:cs="Arial"/>
          <w:sz w:val="14"/>
          <w:szCs w:val="14"/>
          <w:vertAlign w:val="superscript"/>
        </w:rPr>
        <w:footnoteRef/>
      </w:r>
      <w:r w:rsidRPr="002B229E">
        <w:rPr>
          <w:rFonts w:ascii="Arial" w:hAnsi="Arial" w:cs="Arial"/>
          <w:sz w:val="14"/>
          <w:szCs w:val="14"/>
        </w:rPr>
        <w:t xml:space="preserve">  AsyLex and Centre for Peace Studies, “Submission of Reliable Information Containing Well-Founded Indications That Torture is being Systematically Practised in the Republic of Croatia, in Violation of Art. 20 of the Convention Against Torture” (2025) para 27-30.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39C2" w:rsidRDefault="00000000">
    <w:pPr>
      <w:spacing w:line="276" w:lineRule="auto"/>
    </w:pPr>
    <w:r>
      <w:rPr>
        <w:b/>
        <w:noProof/>
      </w:rPr>
      <w:drawing>
        <wp:inline distT="0" distB="0" distL="0" distR="0">
          <wp:extent cx="1595120" cy="581025"/>
          <wp:effectExtent l="0" t="0" r="0" b="0"/>
          <wp:docPr id="799123984" name="image1.png" descr="Ein Bild, das Schrift, Grafiken, Grafikdesign, Logo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Grafikdesign, Logo enthält.&#10;&#10;Automatisch generierte Beschreibung"/>
                  <pic:cNvPicPr preferRelativeResize="0"/>
                </pic:nvPicPr>
                <pic:blipFill>
                  <a:blip r:embed="rId1"/>
                  <a:srcRect l="5917"/>
                  <a:stretch>
                    <a:fillRect/>
                  </a:stretch>
                </pic:blipFill>
                <pic:spPr>
                  <a:xfrm>
                    <a:off x="0" y="0"/>
                    <a:ext cx="1595120" cy="58102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33BD1"/>
    <w:multiLevelType w:val="multilevel"/>
    <w:tmpl w:val="002AC7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AE14CE7"/>
    <w:multiLevelType w:val="multilevel"/>
    <w:tmpl w:val="04CA0C4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70354352">
    <w:abstractNumId w:val="0"/>
  </w:num>
  <w:num w:numId="2" w16cid:durableId="468785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9C2"/>
    <w:rsid w:val="002B229E"/>
    <w:rsid w:val="00AB39C2"/>
    <w:rsid w:val="00D70D79"/>
    <w:rsid w:val="00FE1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90040F9B-8A94-F944-BABE-E4D3BEC9D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paragraph" w:styleId="Heading7">
    <w:name w:val="heading 7"/>
    <w:link w:val="Heading7Char"/>
    <w:uiPriority w:val="9"/>
    <w:semiHidden/>
    <w:unhideWhenUsed/>
    <w:qFormat/>
    <w:rsid w:val="00D71A68"/>
    <w:pPr>
      <w:keepNext/>
      <w:keepLines/>
      <w:spacing w:before="40" w:after="0"/>
      <w:outlineLvl w:val="6"/>
    </w:pPr>
    <w:rPr>
      <w:rFonts w:eastAsiaTheme="majorEastAsia" w:cstheme="majorBidi"/>
      <w:color w:val="595959" w:themeColor="text1" w:themeTint="A6"/>
    </w:rPr>
  </w:style>
  <w:style w:type="paragraph" w:styleId="Heading8">
    <w:name w:val="heading 8"/>
    <w:link w:val="Heading8Char"/>
    <w:uiPriority w:val="9"/>
    <w:semiHidden/>
    <w:unhideWhenUsed/>
    <w:qFormat/>
    <w:rsid w:val="00D71A68"/>
    <w:pPr>
      <w:keepNext/>
      <w:keepLines/>
      <w:spacing w:after="0"/>
      <w:outlineLvl w:val="7"/>
    </w:pPr>
    <w:rPr>
      <w:rFonts w:eastAsiaTheme="majorEastAsia" w:cstheme="majorBidi"/>
      <w:i/>
      <w:iCs/>
      <w:color w:val="272727" w:themeColor="text1" w:themeTint="D8"/>
    </w:rPr>
  </w:style>
  <w:style w:type="paragraph" w:styleId="Heading9">
    <w:name w:val="heading 9"/>
    <w:link w:val="Heading9Char"/>
    <w:uiPriority w:val="9"/>
    <w:semiHidden/>
    <w:unhideWhenUsed/>
    <w:qFormat/>
    <w:rsid w:val="00D71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table" w:customStyle="1" w:styleId="TableNormal5">
    <w:name w:val="TableNormal5"/>
    <w:tblPr>
      <w:tblCellMar>
        <w:top w:w="0" w:type="dxa"/>
        <w:left w:w="0" w:type="dxa"/>
        <w:bottom w:w="0" w:type="dxa"/>
        <w:right w:w="0" w:type="dxa"/>
      </w:tblCellMar>
    </w:tblPr>
  </w:style>
  <w:style w:type="table" w:customStyle="1" w:styleId="TableNormal4">
    <w:name w:val="TableNormal4"/>
    <w:tblPr>
      <w:tblCellMar>
        <w:top w:w="0" w:type="dxa"/>
        <w:left w:w="0" w:type="dxa"/>
        <w:bottom w:w="0" w:type="dxa"/>
        <w:right w:w="0" w:type="dxa"/>
      </w:tblCellMar>
    </w:tblPr>
  </w:style>
  <w:style w:type="table" w:customStyle="1" w:styleId="TableNormal3">
    <w:name w:val="TableNormal3"/>
    <w:tblPr>
      <w:tblCellMar>
        <w:top w:w="0" w:type="dxa"/>
        <w:left w:w="0" w:type="dxa"/>
        <w:bottom w:w="0" w:type="dxa"/>
        <w:right w:w="0" w:type="dxa"/>
      </w:tblCellMar>
    </w:tblPr>
  </w:style>
  <w:style w:type="table" w:customStyle="1" w:styleId="TableNormal2">
    <w:name w:val="TableNormal2"/>
    <w:tblPr>
      <w:tblCellMar>
        <w:top w:w="0" w:type="dxa"/>
        <w:left w:w="0" w:type="dxa"/>
        <w:bottom w:w="0" w:type="dxa"/>
        <w:right w:w="0" w:type="dxa"/>
      </w:tblCellMar>
    </w:tblPr>
  </w:style>
  <w:style w:type="table" w:customStyle="1" w:styleId="TableNormal1">
    <w:name w:val="TableNormal1"/>
    <w:tblPr>
      <w:tblCellMar>
        <w:top w:w="0" w:type="dxa"/>
        <w:left w:w="0" w:type="dxa"/>
        <w:bottom w:w="0" w:type="dxa"/>
        <w:right w:w="0" w:type="dxa"/>
      </w:tblCellMar>
    </w:tblPr>
  </w:style>
  <w:style w:type="character" w:customStyle="1" w:styleId="berschrift1Zchn">
    <w:name w:val="Überschrift 1 Zchn"/>
    <w:basedOn w:val="DefaultParagraphFont"/>
    <w:uiPriority w:val="9"/>
    <w:rsid w:val="00D71A6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DefaultParagraphFont"/>
    <w:uiPriority w:val="9"/>
    <w:rsid w:val="00D71A6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DefaultParagraphFont"/>
    <w:uiPriority w:val="9"/>
    <w:semiHidden/>
    <w:rsid w:val="00D71A68"/>
    <w:rPr>
      <w:rFonts w:eastAsiaTheme="majorEastAsia" w:cstheme="majorBidi"/>
      <w:color w:val="0F4761" w:themeColor="accent1" w:themeShade="BF"/>
      <w:sz w:val="28"/>
      <w:szCs w:val="28"/>
    </w:rPr>
  </w:style>
  <w:style w:type="character" w:customStyle="1" w:styleId="berschrift4Zchn">
    <w:name w:val="Überschrift 4 Zchn"/>
    <w:basedOn w:val="DefaultParagraphFont"/>
    <w:uiPriority w:val="9"/>
    <w:semiHidden/>
    <w:rsid w:val="00D71A68"/>
    <w:rPr>
      <w:rFonts w:eastAsiaTheme="majorEastAsia" w:cstheme="majorBidi"/>
      <w:i/>
      <w:iCs/>
      <w:color w:val="0F4761" w:themeColor="accent1" w:themeShade="BF"/>
    </w:rPr>
  </w:style>
  <w:style w:type="character" w:customStyle="1" w:styleId="berschrift5Zchn">
    <w:name w:val="Überschrift 5 Zchn"/>
    <w:basedOn w:val="DefaultParagraphFont"/>
    <w:uiPriority w:val="9"/>
    <w:semiHidden/>
    <w:rsid w:val="00D71A68"/>
    <w:rPr>
      <w:rFonts w:eastAsiaTheme="majorEastAsia" w:cstheme="majorBidi"/>
      <w:color w:val="0F4761" w:themeColor="accent1" w:themeShade="BF"/>
    </w:rPr>
  </w:style>
  <w:style w:type="character" w:customStyle="1" w:styleId="berschrift6Zchn">
    <w:name w:val="Überschrift 6 Zchn"/>
    <w:basedOn w:val="DefaultParagraphFont"/>
    <w:uiPriority w:val="9"/>
    <w:semiHidden/>
    <w:rsid w:val="00D71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A68"/>
    <w:rPr>
      <w:rFonts w:eastAsiaTheme="majorEastAsia" w:cstheme="majorBidi"/>
      <w:color w:val="272727" w:themeColor="text1" w:themeTint="D8"/>
    </w:rPr>
  </w:style>
  <w:style w:type="character" w:customStyle="1" w:styleId="TitelZchn">
    <w:name w:val="Titel Zchn"/>
    <w:basedOn w:val="DefaultParagraphFont"/>
    <w:uiPriority w:val="10"/>
    <w:rsid w:val="00D71A68"/>
    <w:rPr>
      <w:rFonts w:asciiTheme="majorHAnsi" w:eastAsiaTheme="majorEastAsia" w:hAnsiTheme="majorHAnsi" w:cstheme="majorBidi"/>
      <w:spacing w:val="-10"/>
      <w:kern w:val="28"/>
      <w:sz w:val="56"/>
      <w:szCs w:val="56"/>
    </w:rPr>
  </w:style>
  <w:style w:type="character" w:customStyle="1" w:styleId="UntertitelZchn">
    <w:name w:val="Untertitel Zchn"/>
    <w:basedOn w:val="DefaultParagraphFont"/>
    <w:uiPriority w:val="11"/>
    <w:rsid w:val="00D71A68"/>
    <w:rPr>
      <w:rFonts w:eastAsiaTheme="majorEastAsia" w:cstheme="majorBidi"/>
      <w:color w:val="595959" w:themeColor="text1" w:themeTint="A6"/>
      <w:spacing w:val="15"/>
      <w:sz w:val="28"/>
      <w:szCs w:val="28"/>
    </w:rPr>
  </w:style>
  <w:style w:type="paragraph" w:styleId="Quote">
    <w:name w:val="Quote"/>
    <w:link w:val="QuoteChar"/>
    <w:uiPriority w:val="29"/>
    <w:qFormat/>
    <w:rsid w:val="00D71A68"/>
    <w:pPr>
      <w:spacing w:before="160"/>
      <w:jc w:val="center"/>
    </w:pPr>
    <w:rPr>
      <w:i/>
      <w:iCs/>
      <w:color w:val="404040" w:themeColor="text1" w:themeTint="BF"/>
    </w:rPr>
  </w:style>
  <w:style w:type="character" w:customStyle="1" w:styleId="QuoteChar">
    <w:name w:val="Quote Char"/>
    <w:basedOn w:val="DefaultParagraphFont"/>
    <w:link w:val="Quote"/>
    <w:uiPriority w:val="29"/>
    <w:rsid w:val="00D71A68"/>
    <w:rPr>
      <w:i/>
      <w:iCs/>
      <w:color w:val="404040" w:themeColor="text1" w:themeTint="BF"/>
    </w:rPr>
  </w:style>
  <w:style w:type="paragraph" w:styleId="ListParagraph">
    <w:name w:val="List Paragraph"/>
    <w:uiPriority w:val="34"/>
    <w:qFormat/>
    <w:rsid w:val="00D71A68"/>
    <w:pPr>
      <w:ind w:left="720"/>
      <w:contextualSpacing/>
    </w:pPr>
  </w:style>
  <w:style w:type="character" w:styleId="IntenseEmphasis">
    <w:name w:val="Intense Emphasis"/>
    <w:basedOn w:val="DefaultParagraphFont"/>
    <w:uiPriority w:val="21"/>
    <w:qFormat/>
    <w:rsid w:val="00D71A68"/>
    <w:rPr>
      <w:i/>
      <w:iCs/>
      <w:color w:val="0F4761" w:themeColor="accent1" w:themeShade="BF"/>
    </w:rPr>
  </w:style>
  <w:style w:type="paragraph" w:styleId="IntenseQuote">
    <w:name w:val="Intense Quote"/>
    <w:link w:val="IntenseQuoteChar"/>
    <w:uiPriority w:val="30"/>
    <w:qFormat/>
    <w:rsid w:val="00D71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A68"/>
    <w:rPr>
      <w:i/>
      <w:iCs/>
      <w:color w:val="0F4761" w:themeColor="accent1" w:themeShade="BF"/>
    </w:rPr>
  </w:style>
  <w:style w:type="character" w:styleId="IntenseReference">
    <w:name w:val="Intense Reference"/>
    <w:basedOn w:val="DefaultParagraphFont"/>
    <w:uiPriority w:val="32"/>
    <w:qFormat/>
    <w:rsid w:val="00D71A68"/>
    <w:rPr>
      <w:b/>
      <w:bCs/>
      <w:smallCaps/>
      <w:color w:val="0F4761" w:themeColor="accent1" w:themeShade="BF"/>
      <w:spacing w:val="5"/>
    </w:rPr>
  </w:style>
  <w:style w:type="character" w:styleId="Hyperlink">
    <w:name w:val="Hyperlink"/>
    <w:basedOn w:val="DefaultParagraphFont"/>
    <w:uiPriority w:val="99"/>
    <w:unhideWhenUsed/>
    <w:rsid w:val="00D71A68"/>
    <w:rPr>
      <w:color w:val="467886" w:themeColor="hyperlink"/>
      <w:u w:val="single"/>
    </w:rPr>
  </w:style>
  <w:style w:type="character" w:styleId="UnresolvedMention">
    <w:name w:val="Unresolved Mention"/>
    <w:basedOn w:val="DefaultParagraphFont"/>
    <w:uiPriority w:val="99"/>
    <w:semiHidden/>
    <w:unhideWhenUsed/>
    <w:rsid w:val="00D71A68"/>
    <w:rPr>
      <w:color w:val="605E5C"/>
      <w:shd w:val="clear" w:color="auto" w:fill="E1DFDD"/>
    </w:rPr>
  </w:style>
  <w:style w:type="paragraph" w:styleId="Subtitle">
    <w:name w:val="Subtitle"/>
    <w:basedOn w:val="Normal"/>
    <w:next w:val="Normal"/>
    <w:uiPriority w:val="11"/>
    <w:qFormat/>
    <w:pPr>
      <w:pBdr>
        <w:top w:val="nil"/>
        <w:left w:val="nil"/>
        <w:bottom w:val="nil"/>
        <w:right w:val="nil"/>
        <w:between w:val="nil"/>
      </w:pBdr>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8" Type="http://schemas.openxmlformats.org/officeDocument/2006/relationships/hyperlink" Target="https://digitallibrary.un.org/record/4069020?v=pdf" TargetMode="External"/><Relationship Id="rId13" Type="http://schemas.openxmlformats.org/officeDocument/2006/relationships/hyperlink" Target="https://repozitorij.pravo.unizg.hr/islandora/object/pravo:5601" TargetMode="External"/><Relationship Id="rId3" Type="http://schemas.openxmlformats.org/officeDocument/2006/relationships/hyperlink" Target="https://www.sem.admin.ch/sem/en/home/asyl/resettlement/programme.html" TargetMode="External"/><Relationship Id="rId7" Type="http://schemas.openxmlformats.org/officeDocument/2006/relationships/hyperlink" Target="https://juris.ohchr.org/casedetails/2141/en-US" TargetMode="External"/><Relationship Id="rId12" Type="http://schemas.openxmlformats.org/officeDocument/2006/relationships/hyperlink" Target="https://bvger.weblaw.ch/cache?id=606fa0b5-04b9-44b0-9b47-6792887f2f50&amp;guiLanguage=fr&amp;q=E-5129%2F2020&amp;filters=%5B%5D&amp;sort-field=relevance&amp;sort-direction=relevance" TargetMode="External"/><Relationship Id="rId2" Type="http://schemas.openxmlformats.org/officeDocument/2006/relationships/hyperlink" Target="https://www.unhcr.org/news/briefing-notes/un-refugee-agency-estimates-2-5-million-people-need-resettlement" TargetMode="External"/><Relationship Id="rId1" Type="http://schemas.openxmlformats.org/officeDocument/2006/relationships/hyperlink" Target="https://www.unwomen.org/en/digital-library/publications/2021/10/policy-brief-from-evidence-to-action-tackling-gbv-against-migrant-women-and-girls" TargetMode="External"/><Relationship Id="rId6" Type="http://schemas.openxmlformats.org/officeDocument/2006/relationships/hyperlink" Target="https://www.asylex.ch/post/paving-the-path-to-a-brighter-future" TargetMode="External"/><Relationship Id="rId11" Type="http://schemas.openxmlformats.org/officeDocument/2006/relationships/hyperlink" Target="https://www.ohchr.org/sites/default/files/documents/hrbodies/ced/cfis/short-term-disap/submission-short-term-ED-CED-WGEID-cso-bvmn-en.pdf" TargetMode="External"/><Relationship Id="rId5" Type="http://schemas.openxmlformats.org/officeDocument/2006/relationships/hyperlink" Target="https://digitallibrary.un.org/record/3947207?v=pdf" TargetMode="External"/><Relationship Id="rId10" Type="http://schemas.openxmlformats.org/officeDocument/2006/relationships/hyperlink" Target="https://drive.google.com/file/d/1N-f3D6DMsIS0W-sbjTGTqDCo3pshN05y/view?usp=sharing" TargetMode="External"/><Relationship Id="rId4" Type="http://schemas.openxmlformats.org/officeDocument/2006/relationships/hyperlink" Target="https://www.srf.ch/news/schweiz/eu-migrations-und-asylpakt-nationalrat-ist-gegen-freiwillige-europaeische-asyl-solidaritaet" TargetMode="External"/><Relationship Id="rId9" Type="http://schemas.openxmlformats.org/officeDocument/2006/relationships/hyperlink" Target="https://www.ohchr.org/sites/default/files/documents/hrbodies/ced/cfis/short-term-disap/submission-short-term-ED-CED-WGEID-cso-asylex-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ddMEzlde7j68VUuLjNyt6IBdNg==">CgMxLjA4AGonChRzdWdnZXN0LjFxOTh1bHNtb2lsaBIPTGVuYSBTY2h1bHRoZXNzaicKFHN1Z2dlc3Qua2kyOWhkcm9tbjlpEg9MZW5hIFNjaHVsdGhlc3NqJwoUc3VnZ2VzdC42ZzI4b2htaThybjkSD0xlbmEgU2NodWx0aGVzc3IhMVRYVVA3YWRCdkIydFlqZGFpc0U5RGV5X2h6R2UwNEJ0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1dd248d4efb54fc5bf0b0047e1a70ba1">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54a185e515d7a1427d9071b78a4d178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CSOs</Category>
    <Filename xmlns="d42e65b2-cf21-49c1-b27d-d23f90380c0e" xsi:nil="true"/>
    <Doctype xmlns="d42e65b2-cf21-49c1-b27d-d23f90380c0e">input</Doctype>
    <Contributor xmlns="d42e65b2-cf21-49c1-b27d-d23f90380c0e">AsyLex</Contributor>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A9A438-CAA0-4600-AABD-20445D43292F}"/>
</file>

<file path=customXml/itemProps3.xml><?xml version="1.0" encoding="utf-8"?>
<ds:datastoreItem xmlns:ds="http://schemas.openxmlformats.org/officeDocument/2006/customXml" ds:itemID="{DC2292ED-B467-4419-82BB-8F906C78AF70}"/>
</file>

<file path=customXml/itemProps4.xml><?xml version="1.0" encoding="utf-8"?>
<ds:datastoreItem xmlns:ds="http://schemas.openxmlformats.org/officeDocument/2006/customXml" ds:itemID="{46707C67-5062-4EAA-B374-5B089FD1F508}"/>
</file>

<file path=docProps/app.xml><?xml version="1.0" encoding="utf-8"?>
<Properties xmlns="http://schemas.openxmlformats.org/officeDocument/2006/extended-properties" xmlns:vt="http://schemas.openxmlformats.org/officeDocument/2006/docPropsVTypes">
  <Template>Normal.dotm</Template>
  <TotalTime>3</TotalTime>
  <Pages>5</Pages>
  <Words>2655</Words>
  <Characters>14872</Characters>
  <Application>Microsoft Office Word</Application>
  <DocSecurity>0</DocSecurity>
  <Lines>260</Lines>
  <Paragraphs>85</Paragraphs>
  <ScaleCrop>false</ScaleCrop>
  <Company/>
  <LinksUpToDate>false</LinksUpToDate>
  <CharactersWithSpaces>17442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Velez Colorado</dc:creator>
  <cp:lastModifiedBy>AsyLex Fifteen</cp:lastModifiedBy>
  <cp:revision>1</cp:revision>
  <dcterms:created xsi:type="dcterms:W3CDTF">2024-01-25T10:15:00Z</dcterms:created>
  <dcterms:modified xsi:type="dcterms:W3CDTF">2025-07-14T10:09:00Z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916a5169-c643-4766-839f-71fc824f29cd</vt:lpwstr>
  </property>
  <property fmtid="{D5CDD505-2E9C-101B-9397-08002B2CF9AE}" pid="3" name="ContentTypeId">
    <vt:lpwstr>0x0101009D953D6983EF5F4EB0B6A5354F975E96</vt:lpwstr>
  </property>
  <property fmtid="{D5CDD505-2E9C-101B-9397-08002B2CF9AE}" pid="4" name="MediaServiceImageTags">
    <vt:lpwstr/>
  </property>
</Properties>
</file>