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33412" w:rsidRDefault="00933412">
      <w:pPr>
        <w:jc w:val="both"/>
        <w:rPr>
          <w:rFonts w:ascii="Times New Roman" w:eastAsia="Times New Roman" w:hAnsi="Times New Roman" w:cs="Times New Roman"/>
          <w:i/>
          <w:sz w:val="24"/>
          <w:szCs w:val="24"/>
        </w:rPr>
      </w:pPr>
    </w:p>
    <w:p w14:paraId="00000002" w14:textId="77777777" w:rsidR="00933412"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Submitted by:</w:t>
      </w:r>
    </w:p>
    <w:p w14:paraId="00000003" w14:textId="77777777" w:rsidR="00933412" w:rsidRPr="007741F9" w:rsidRDefault="00000000">
      <w:pPr>
        <w:numPr>
          <w:ilvl w:val="0"/>
          <w:numId w:val="1"/>
        </w:num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 xml:space="preserve">Thomas Craemer, Associate Professor, School of Public Policy, University of Connecticut </w:t>
      </w:r>
    </w:p>
    <w:p w14:paraId="00000004" w14:textId="77777777" w:rsidR="00933412" w:rsidRPr="007741F9" w:rsidRDefault="00000000">
      <w:pPr>
        <w:numPr>
          <w:ilvl w:val="0"/>
          <w:numId w:val="1"/>
        </w:num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Antar Rashiq Keith, Founder and Immediate Past Chair, Democrats Abroad Global Reparations Task Force</w:t>
      </w:r>
    </w:p>
    <w:p w14:paraId="00000006" w14:textId="77777777" w:rsidR="00933412" w:rsidRPr="007741F9" w:rsidRDefault="00933412">
      <w:pPr>
        <w:jc w:val="both"/>
        <w:rPr>
          <w:rFonts w:ascii="Times New Roman" w:eastAsia="Times New Roman" w:hAnsi="Times New Roman" w:cs="Times New Roman"/>
          <w:sz w:val="24"/>
          <w:szCs w:val="24"/>
          <w:lang w:val="en-US"/>
        </w:rPr>
      </w:pPr>
    </w:p>
    <w:p w14:paraId="00000007" w14:textId="77777777" w:rsidR="00933412" w:rsidRPr="007741F9" w:rsidRDefault="00000000">
      <w:pPr>
        <w:jc w:val="both"/>
        <w:rPr>
          <w:rFonts w:ascii="Times New Roman" w:eastAsia="Times New Roman" w:hAnsi="Times New Roman" w:cs="Times New Roman"/>
          <w:i/>
          <w:sz w:val="24"/>
          <w:szCs w:val="24"/>
          <w:lang w:val="en-US"/>
        </w:rPr>
      </w:pPr>
      <w:r w:rsidRPr="007741F9">
        <w:rPr>
          <w:rFonts w:ascii="Times New Roman" w:eastAsia="Times New Roman" w:hAnsi="Times New Roman" w:cs="Times New Roman"/>
          <w:i/>
          <w:sz w:val="24"/>
          <w:szCs w:val="24"/>
          <w:lang w:val="en-US"/>
        </w:rPr>
        <w:t>Contact:</w:t>
      </w:r>
    </w:p>
    <w:p w14:paraId="00000008" w14:textId="03FDBD2E" w:rsidR="00933412" w:rsidRPr="007741F9" w:rsidRDefault="00000000">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Thomas Craemer, 827B East 161</w:t>
      </w:r>
      <w:r w:rsidRPr="007741F9">
        <w:rPr>
          <w:rFonts w:ascii="Times New Roman" w:eastAsia="Times New Roman" w:hAnsi="Times New Roman" w:cs="Times New Roman"/>
          <w:sz w:val="24"/>
          <w:szCs w:val="24"/>
          <w:vertAlign w:val="superscript"/>
          <w:lang w:val="en-US"/>
        </w:rPr>
        <w:t>st</w:t>
      </w:r>
      <w:r w:rsidRPr="007741F9">
        <w:rPr>
          <w:rFonts w:ascii="Times New Roman" w:eastAsia="Times New Roman" w:hAnsi="Times New Roman" w:cs="Times New Roman"/>
          <w:sz w:val="24"/>
          <w:szCs w:val="24"/>
          <w:lang w:val="en-US"/>
        </w:rPr>
        <w:t xml:space="preserve"> Street, Bronx, NY 10459, USA</w:t>
      </w:r>
    </w:p>
    <w:p w14:paraId="00000009" w14:textId="56E6B363" w:rsidR="00933412" w:rsidRPr="007741F9" w:rsidRDefault="00000000">
      <w:pPr>
        <w:jc w:val="both"/>
        <w:rPr>
          <w:rFonts w:ascii="Times New Roman" w:eastAsia="Times New Roman" w:hAnsi="Times New Roman" w:cs="Times New Roman"/>
          <w:sz w:val="24"/>
          <w:szCs w:val="24"/>
          <w:lang w:val="de-DE"/>
        </w:rPr>
      </w:pPr>
      <w:r w:rsidRPr="007741F9">
        <w:rPr>
          <w:rFonts w:ascii="Times New Roman" w:eastAsia="Times New Roman" w:hAnsi="Times New Roman" w:cs="Times New Roman"/>
          <w:sz w:val="24"/>
          <w:szCs w:val="24"/>
          <w:lang w:val="de-DE"/>
        </w:rPr>
        <w:t xml:space="preserve">Email: </w:t>
      </w:r>
      <w:r w:rsidRPr="007741F9">
        <w:rPr>
          <w:rFonts w:ascii="Times New Roman" w:eastAsia="Times New Roman" w:hAnsi="Times New Roman" w:cs="Times New Roman"/>
          <w:color w:val="386573"/>
          <w:sz w:val="24"/>
          <w:szCs w:val="24"/>
          <w:lang w:val="de-DE"/>
        </w:rPr>
        <w:t>thomas.craemer@uconn.edu</w:t>
      </w:r>
      <w:r w:rsidRPr="007741F9">
        <w:rPr>
          <w:rFonts w:ascii="Times New Roman" w:eastAsia="Times New Roman" w:hAnsi="Times New Roman" w:cs="Times New Roman"/>
          <w:sz w:val="24"/>
          <w:szCs w:val="24"/>
          <w:lang w:val="de-DE"/>
        </w:rPr>
        <w:t xml:space="preserve"> </w:t>
      </w:r>
    </w:p>
    <w:p w14:paraId="0000000A" w14:textId="5E625E1C" w:rsidR="00933412" w:rsidRDefault="007741F9">
      <w:pPr>
        <w:jc w:val="both"/>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lang w:val="de-DE"/>
        </w:rPr>
        <w:t xml:space="preserve">CC: </w:t>
      </w:r>
      <w:r w:rsidRPr="007741F9">
        <w:rPr>
          <w:rFonts w:ascii="Times New Roman" w:eastAsia="Times New Roman" w:hAnsi="Times New Roman" w:cs="Times New Roman"/>
          <w:sz w:val="24"/>
          <w:szCs w:val="24"/>
          <w:lang w:val="de-DE"/>
        </w:rPr>
        <w:t xml:space="preserve">Antar </w:t>
      </w:r>
      <w:r>
        <w:rPr>
          <w:rFonts w:ascii="Times New Roman" w:eastAsia="Times New Roman" w:hAnsi="Times New Roman" w:cs="Times New Roman"/>
          <w:sz w:val="24"/>
          <w:szCs w:val="24"/>
          <w:lang w:val="de-DE"/>
        </w:rPr>
        <w:t xml:space="preserve">Rashiq </w:t>
      </w:r>
      <w:r w:rsidRPr="007741F9">
        <w:rPr>
          <w:rFonts w:ascii="Times New Roman" w:eastAsia="Times New Roman" w:hAnsi="Times New Roman" w:cs="Times New Roman"/>
          <w:sz w:val="24"/>
          <w:szCs w:val="24"/>
          <w:lang w:val="de-DE"/>
        </w:rPr>
        <w:t>Keith, Funkenburgstraße 16, 40105 Leipzig, Saxony, Germany</w:t>
      </w:r>
    </w:p>
    <w:p w14:paraId="4D3F428C" w14:textId="1A7B8A2A" w:rsidR="007741F9" w:rsidRDefault="007741F9">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Email: antar.keith@gmail.com</w:t>
      </w:r>
    </w:p>
    <w:p w14:paraId="7DF41629" w14:textId="77777777" w:rsidR="007741F9" w:rsidRPr="007741F9" w:rsidRDefault="007741F9">
      <w:pPr>
        <w:jc w:val="both"/>
        <w:rPr>
          <w:rFonts w:ascii="Times New Roman" w:eastAsia="Times New Roman" w:hAnsi="Times New Roman" w:cs="Times New Roman"/>
          <w:sz w:val="24"/>
          <w:szCs w:val="24"/>
          <w:lang w:val="en-US"/>
        </w:rPr>
      </w:pPr>
    </w:p>
    <w:p w14:paraId="0000000B" w14:textId="77777777" w:rsidR="00933412" w:rsidRPr="007741F9" w:rsidRDefault="00000000">
      <w:pPr>
        <w:jc w:val="right"/>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November 7, 2025</w:t>
      </w:r>
    </w:p>
    <w:p w14:paraId="0000000C" w14:textId="77777777" w:rsidR="00933412" w:rsidRPr="007741F9" w:rsidRDefault="00933412">
      <w:pPr>
        <w:jc w:val="both"/>
        <w:rPr>
          <w:rFonts w:ascii="Times New Roman" w:eastAsia="Times New Roman" w:hAnsi="Times New Roman" w:cs="Times New Roman"/>
          <w:sz w:val="24"/>
          <w:szCs w:val="24"/>
          <w:lang w:val="en-US"/>
        </w:rPr>
      </w:pPr>
    </w:p>
    <w:p w14:paraId="0000000D" w14:textId="77777777" w:rsidR="00933412" w:rsidRPr="007741F9" w:rsidRDefault="00000000">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 xml:space="preserve">The 2001 Durban Declaration and </w:t>
      </w:r>
      <w:proofErr w:type="spellStart"/>
      <w:r w:rsidRPr="007741F9">
        <w:rPr>
          <w:rFonts w:ascii="Times New Roman" w:eastAsia="Times New Roman" w:hAnsi="Times New Roman" w:cs="Times New Roman"/>
          <w:sz w:val="24"/>
          <w:szCs w:val="24"/>
          <w:lang w:val="en-US"/>
        </w:rPr>
        <w:t>Programme</w:t>
      </w:r>
      <w:proofErr w:type="spellEnd"/>
      <w:r w:rsidRPr="007741F9">
        <w:rPr>
          <w:rFonts w:ascii="Times New Roman" w:eastAsia="Times New Roman" w:hAnsi="Times New Roman" w:cs="Times New Roman"/>
          <w:sz w:val="24"/>
          <w:szCs w:val="24"/>
          <w:lang w:val="en-US"/>
        </w:rPr>
        <w:t xml:space="preserve"> of Action acknowledged that slavery and the so-called “Transatlantic Slave Trade” (Maafa/</w:t>
      </w:r>
      <w:proofErr w:type="spellStart"/>
      <w:r w:rsidRPr="007741F9">
        <w:rPr>
          <w:rFonts w:ascii="Times New Roman" w:eastAsia="Times New Roman" w:hAnsi="Times New Roman" w:cs="Times New Roman"/>
          <w:sz w:val="24"/>
          <w:szCs w:val="24"/>
          <w:lang w:val="en-US"/>
        </w:rPr>
        <w:t>Maangamizi</w:t>
      </w:r>
      <w:proofErr w:type="spellEnd"/>
      <w:r w:rsidRPr="007741F9">
        <w:rPr>
          <w:rFonts w:ascii="Times New Roman" w:eastAsia="Times New Roman" w:hAnsi="Times New Roman" w:cs="Times New Roman"/>
          <w:sz w:val="24"/>
          <w:szCs w:val="24"/>
          <w:lang w:val="en-US"/>
        </w:rPr>
        <w:t>) were crimes against humanity. State obligations to make reparations for these and subsequent harms exist under international law, including under the ICERD. How to quantify the damages and determine eligibility for reparations, however, remains controversial—particularly in the U.S. context.</w:t>
      </w:r>
    </w:p>
    <w:p w14:paraId="0000000E" w14:textId="77777777" w:rsidR="00933412" w:rsidRPr="007741F9" w:rsidRDefault="00933412">
      <w:pPr>
        <w:jc w:val="both"/>
        <w:rPr>
          <w:rFonts w:ascii="Times New Roman" w:eastAsia="Times New Roman" w:hAnsi="Times New Roman" w:cs="Times New Roman"/>
          <w:sz w:val="24"/>
          <w:szCs w:val="24"/>
          <w:lang w:val="en-US"/>
        </w:rPr>
      </w:pPr>
    </w:p>
    <w:p w14:paraId="0000000F" w14:textId="77777777" w:rsidR="00933412" w:rsidRPr="007741F9" w:rsidRDefault="00000000">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 xml:space="preserve">To address these challenges, we propose a lineage-by-atrocity model that would assist in documenting the compounding harms of enslavement and racial discrimination as they persist to this day, and ensuring the requisite repair to impacted individuals and communities. In such a model, eligibility determinations would involve identifying individuals who were victimized by a given historic injustice committed by, or with the tacit consent of, the US federal government, or by identifying the last link in that individual’s chain of rightful heirs (i.e., legal, not necessarily biological descendants). This framework would allow for comprehensive action to address the myriad expressions of anti-Black discrimination in the US, including the particularly abhorrent character of US chattel enslavement. </w:t>
      </w:r>
    </w:p>
    <w:p w14:paraId="00000010" w14:textId="77777777" w:rsidR="00933412" w:rsidRPr="007741F9" w:rsidRDefault="00933412">
      <w:pPr>
        <w:jc w:val="both"/>
        <w:rPr>
          <w:rFonts w:ascii="Times New Roman" w:eastAsia="Times New Roman" w:hAnsi="Times New Roman" w:cs="Times New Roman"/>
          <w:sz w:val="24"/>
          <w:szCs w:val="24"/>
          <w:lang w:val="en-US"/>
        </w:rPr>
      </w:pPr>
    </w:p>
    <w:p w14:paraId="00000011" w14:textId="77777777" w:rsidR="00933412" w:rsidRPr="007741F9" w:rsidRDefault="00000000">
      <w:pPr>
        <w:jc w:val="both"/>
        <w:rPr>
          <w:rFonts w:ascii="Times" w:eastAsia="Times" w:hAnsi="Times" w:cs="Times"/>
          <w:sz w:val="24"/>
          <w:szCs w:val="24"/>
          <w:lang w:val="en-US"/>
        </w:rPr>
      </w:pPr>
      <w:r w:rsidRPr="007741F9">
        <w:rPr>
          <w:rFonts w:ascii="Times" w:eastAsia="Times" w:hAnsi="Times" w:cs="Times"/>
          <w:sz w:val="24"/>
          <w:szCs w:val="24"/>
          <w:lang w:val="en-US"/>
        </w:rPr>
        <w:t xml:space="preserve">Building on </w:t>
      </w:r>
      <w:r w:rsidRPr="007741F9">
        <w:rPr>
          <w:rFonts w:ascii="Times New Roman" w:eastAsia="Times New Roman" w:hAnsi="Times New Roman" w:cs="Times New Roman"/>
          <w:sz w:val="24"/>
          <w:szCs w:val="24"/>
          <w:lang w:val="en-US"/>
        </w:rPr>
        <w:t xml:space="preserve">David H. Swinton’s analysis in Richard F. America’s ground-breaking edited volume </w:t>
      </w:r>
      <w:r w:rsidRPr="007741F9">
        <w:rPr>
          <w:rFonts w:ascii="Times New Roman" w:eastAsia="Times New Roman" w:hAnsi="Times New Roman" w:cs="Times New Roman"/>
          <w:i/>
          <w:sz w:val="24"/>
          <w:szCs w:val="24"/>
          <w:lang w:val="en-US"/>
        </w:rPr>
        <w:t>The Wealth of Races</w:t>
      </w:r>
      <w:r w:rsidRPr="007741F9">
        <w:rPr>
          <w:rFonts w:ascii="Times" w:eastAsia="Times" w:hAnsi="Times" w:cs="Times"/>
          <w:sz w:val="24"/>
          <w:szCs w:val="24"/>
          <w:lang w:val="en-US"/>
        </w:rPr>
        <w:t xml:space="preserve">, we have begun estimating the financial losses due to the US legacy of enslavement and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 in the following areas:</w:t>
      </w:r>
    </w:p>
    <w:p w14:paraId="00000012" w14:textId="77777777" w:rsidR="00933412" w:rsidRPr="007741F9" w:rsidRDefault="00933412">
      <w:pPr>
        <w:jc w:val="both"/>
        <w:rPr>
          <w:rFonts w:ascii="Times" w:eastAsia="Times" w:hAnsi="Times" w:cs="Times"/>
          <w:sz w:val="24"/>
          <w:szCs w:val="24"/>
          <w:lang w:val="en-US"/>
        </w:rPr>
      </w:pPr>
    </w:p>
    <w:p w14:paraId="00000013"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Unpaid wages during US enslavement,</w:t>
      </w:r>
    </w:p>
    <w:p w14:paraId="00000014"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Lost freedom during US enslavement,</w:t>
      </w:r>
    </w:p>
    <w:p w14:paraId="00000015"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Lost opportunities to acquire human and financial capital during US enslavement,</w:t>
      </w:r>
    </w:p>
    <w:p w14:paraId="00000016"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Pain and suffering during US enslavement,</w:t>
      </w:r>
    </w:p>
    <w:p w14:paraId="00000017"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 xml:space="preserve">Reduced wages during post-slavery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w:t>
      </w:r>
    </w:p>
    <w:p w14:paraId="00000018"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 xml:space="preserve">Reduced freedom during post-slavery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w:t>
      </w:r>
    </w:p>
    <w:p w14:paraId="00000019"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lastRenderedPageBreak/>
        <w:t xml:space="preserve">Reduced opportunities to acquire human and financial capital during post slavery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 and</w:t>
      </w:r>
    </w:p>
    <w:p w14:paraId="0000001A"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 xml:space="preserve">Pain and suffering during post-slavery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w:t>
      </w:r>
    </w:p>
    <w:p w14:paraId="0000001B" w14:textId="77777777" w:rsidR="00933412" w:rsidRPr="007741F9" w:rsidRDefault="00933412">
      <w:pPr>
        <w:ind w:left="720"/>
        <w:jc w:val="both"/>
        <w:rPr>
          <w:rFonts w:ascii="Times" w:eastAsia="Times" w:hAnsi="Times" w:cs="Times"/>
          <w:sz w:val="24"/>
          <w:szCs w:val="24"/>
          <w:lang w:val="en-US"/>
        </w:rPr>
      </w:pPr>
    </w:p>
    <w:p w14:paraId="0000001C" w14:textId="77777777" w:rsidR="00933412" w:rsidRPr="007741F9" w:rsidRDefault="00000000">
      <w:pPr>
        <w:jc w:val="both"/>
        <w:rPr>
          <w:rFonts w:ascii="Times" w:eastAsia="Times" w:hAnsi="Times" w:cs="Times"/>
          <w:sz w:val="24"/>
          <w:szCs w:val="24"/>
          <w:lang w:val="en-US"/>
        </w:rPr>
      </w:pPr>
      <w:r w:rsidRPr="007741F9">
        <w:rPr>
          <w:rFonts w:ascii="Times" w:eastAsia="Times" w:hAnsi="Times" w:cs="Times"/>
          <w:sz w:val="24"/>
          <w:szCs w:val="24"/>
          <w:lang w:val="en-US"/>
        </w:rPr>
        <w:t xml:space="preserve">We provide separate estimates for the following domains of post-slavery </w:t>
      </w:r>
      <w:r w:rsidRPr="007741F9">
        <w:rPr>
          <w:rFonts w:ascii="Times" w:eastAsia="Times" w:hAnsi="Times" w:cs="Times"/>
          <w:i/>
          <w:sz w:val="24"/>
          <w:szCs w:val="24"/>
          <w:lang w:val="en-US"/>
        </w:rPr>
        <w:t>de jure</w:t>
      </w:r>
      <w:r w:rsidRPr="007741F9">
        <w:rPr>
          <w:rFonts w:ascii="Times" w:eastAsia="Times" w:hAnsi="Times" w:cs="Times"/>
          <w:sz w:val="24"/>
          <w:szCs w:val="24"/>
          <w:lang w:val="en-US"/>
        </w:rPr>
        <w:t xml:space="preserve"> discrimination:</w:t>
      </w:r>
    </w:p>
    <w:p w14:paraId="0000001D" w14:textId="77777777" w:rsidR="00933412" w:rsidRPr="007741F9" w:rsidRDefault="00933412">
      <w:pPr>
        <w:jc w:val="both"/>
        <w:rPr>
          <w:rFonts w:ascii="Times" w:eastAsia="Times" w:hAnsi="Times" w:cs="Times"/>
          <w:sz w:val="24"/>
          <w:szCs w:val="24"/>
          <w:lang w:val="en-US"/>
        </w:rPr>
      </w:pPr>
    </w:p>
    <w:p w14:paraId="0000001E" w14:textId="77777777" w:rsidR="00933412" w:rsidRDefault="00000000">
      <w:pPr>
        <w:numPr>
          <w:ilvl w:val="0"/>
          <w:numId w:val="2"/>
        </w:numPr>
        <w:jc w:val="both"/>
        <w:rPr>
          <w:rFonts w:ascii="Times" w:eastAsia="Times" w:hAnsi="Times" w:cs="Times"/>
          <w:sz w:val="24"/>
          <w:szCs w:val="24"/>
        </w:rPr>
      </w:pPr>
      <w:r>
        <w:rPr>
          <w:rFonts w:ascii="Times" w:eastAsia="Times" w:hAnsi="Times" w:cs="Times"/>
          <w:sz w:val="24"/>
          <w:szCs w:val="24"/>
        </w:rPr>
        <w:t>Labor market discrimination,</w:t>
      </w:r>
    </w:p>
    <w:p w14:paraId="0000001F" w14:textId="77777777" w:rsidR="00933412" w:rsidRDefault="00000000">
      <w:pPr>
        <w:numPr>
          <w:ilvl w:val="0"/>
          <w:numId w:val="2"/>
        </w:numPr>
        <w:jc w:val="both"/>
        <w:rPr>
          <w:rFonts w:ascii="Times" w:eastAsia="Times" w:hAnsi="Times" w:cs="Times"/>
          <w:sz w:val="24"/>
          <w:szCs w:val="24"/>
        </w:rPr>
      </w:pPr>
      <w:r>
        <w:rPr>
          <w:rFonts w:ascii="Times" w:eastAsia="Times" w:hAnsi="Times" w:cs="Times"/>
          <w:sz w:val="24"/>
          <w:szCs w:val="24"/>
        </w:rPr>
        <w:t>Housing discrimination,</w:t>
      </w:r>
    </w:p>
    <w:p w14:paraId="00000020" w14:textId="77777777" w:rsidR="00933412" w:rsidRDefault="00000000">
      <w:pPr>
        <w:numPr>
          <w:ilvl w:val="0"/>
          <w:numId w:val="2"/>
        </w:numPr>
        <w:jc w:val="both"/>
        <w:rPr>
          <w:rFonts w:ascii="Times" w:eastAsia="Times" w:hAnsi="Times" w:cs="Times"/>
          <w:sz w:val="24"/>
          <w:szCs w:val="24"/>
        </w:rPr>
      </w:pPr>
      <w:r>
        <w:rPr>
          <w:rFonts w:ascii="Times" w:eastAsia="Times" w:hAnsi="Times" w:cs="Times"/>
          <w:sz w:val="24"/>
          <w:szCs w:val="24"/>
        </w:rPr>
        <w:t>Educational disparities,</w:t>
      </w:r>
    </w:p>
    <w:p w14:paraId="00000021"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Health disparities and environmental discrimination,</w:t>
      </w:r>
    </w:p>
    <w:p w14:paraId="00000022" w14:textId="77777777" w:rsidR="00933412" w:rsidRPr="007741F9" w:rsidRDefault="00000000">
      <w:pPr>
        <w:numPr>
          <w:ilvl w:val="0"/>
          <w:numId w:val="2"/>
        </w:numPr>
        <w:jc w:val="both"/>
        <w:rPr>
          <w:rFonts w:ascii="Times" w:eastAsia="Times" w:hAnsi="Times" w:cs="Times"/>
          <w:sz w:val="24"/>
          <w:szCs w:val="24"/>
          <w:lang w:val="en-US"/>
        </w:rPr>
      </w:pPr>
      <w:r w:rsidRPr="007741F9">
        <w:rPr>
          <w:rFonts w:ascii="Times" w:eastAsia="Times" w:hAnsi="Times" w:cs="Times"/>
          <w:sz w:val="24"/>
          <w:szCs w:val="24"/>
          <w:lang w:val="en-US"/>
        </w:rPr>
        <w:t xml:space="preserve">Disproportionate Black mass incarceration during the so-called “War on Drugs,” and </w:t>
      </w:r>
    </w:p>
    <w:p w14:paraId="00000023" w14:textId="77777777" w:rsidR="00933412" w:rsidRPr="007741F9" w:rsidRDefault="00000000">
      <w:pPr>
        <w:numPr>
          <w:ilvl w:val="0"/>
          <w:numId w:val="2"/>
        </w:numPr>
        <w:jc w:val="both"/>
        <w:rPr>
          <w:sz w:val="24"/>
          <w:szCs w:val="24"/>
          <w:lang w:val="en-US"/>
        </w:rPr>
      </w:pPr>
      <w:r w:rsidRPr="007741F9">
        <w:rPr>
          <w:rFonts w:ascii="Times" w:eastAsia="Times" w:hAnsi="Times" w:cs="Times"/>
          <w:sz w:val="24"/>
          <w:szCs w:val="24"/>
          <w:lang w:val="en-US"/>
        </w:rPr>
        <w:t>Other forms of</w:t>
      </w:r>
      <w:r w:rsidRPr="007741F9">
        <w:rPr>
          <w:rFonts w:ascii="Times" w:eastAsia="Times" w:hAnsi="Times" w:cs="Times"/>
          <w:i/>
          <w:sz w:val="24"/>
          <w:szCs w:val="24"/>
          <w:lang w:val="en-US"/>
        </w:rPr>
        <w:t xml:space="preserve"> de jure</w:t>
      </w:r>
      <w:r w:rsidRPr="007741F9">
        <w:rPr>
          <w:rFonts w:ascii="Times" w:eastAsia="Times" w:hAnsi="Times" w:cs="Times"/>
          <w:sz w:val="24"/>
          <w:szCs w:val="24"/>
          <w:lang w:val="en-US"/>
        </w:rPr>
        <w:t xml:space="preserve"> anti-Black discrimination.</w:t>
      </w:r>
      <w:r w:rsidRPr="007741F9">
        <w:rPr>
          <w:rFonts w:ascii="Times New Roman" w:eastAsia="Times New Roman" w:hAnsi="Times New Roman" w:cs="Times New Roman"/>
          <w:sz w:val="24"/>
          <w:szCs w:val="24"/>
          <w:lang w:val="en-US"/>
        </w:rPr>
        <w:t xml:space="preserve"> </w:t>
      </w:r>
    </w:p>
    <w:p w14:paraId="00000024" w14:textId="77777777" w:rsidR="00933412" w:rsidRPr="007741F9" w:rsidRDefault="00933412">
      <w:pPr>
        <w:ind w:left="720"/>
        <w:jc w:val="both"/>
        <w:rPr>
          <w:rFonts w:ascii="Times New Roman" w:eastAsia="Times New Roman" w:hAnsi="Times New Roman" w:cs="Times New Roman"/>
          <w:sz w:val="24"/>
          <w:szCs w:val="24"/>
          <w:lang w:val="en-US"/>
        </w:rPr>
      </w:pPr>
    </w:p>
    <w:p w14:paraId="00000025" w14:textId="77777777" w:rsidR="00933412" w:rsidRPr="007741F9" w:rsidRDefault="00000000">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 xml:space="preserve">Preliminary totals range from a low estimate at  $120.6 trillion in 2020 dollars at 3% compound interest, to a higher $25.5 quadrillion at 6% compound interest. Per-capita losses for each Black descendant of an enslaved person in the US range from $3 million or more at 3% compound interest to $638.5 million or more at 6% compound interest. Paying sooner rather than later would be advantageous not only for the recipients, but also for the providers of reparations as uncompensated losses will continue to grow exponentially due to compound interest. </w:t>
      </w:r>
    </w:p>
    <w:p w14:paraId="00000026" w14:textId="77777777" w:rsidR="00933412" w:rsidRPr="007741F9" w:rsidRDefault="00933412">
      <w:pPr>
        <w:jc w:val="both"/>
        <w:rPr>
          <w:rFonts w:ascii="Times New Roman" w:eastAsia="Times New Roman" w:hAnsi="Times New Roman" w:cs="Times New Roman"/>
          <w:sz w:val="24"/>
          <w:szCs w:val="24"/>
          <w:lang w:val="en-US"/>
        </w:rPr>
      </w:pPr>
    </w:p>
    <w:p w14:paraId="00000027" w14:textId="77777777" w:rsidR="00933412" w:rsidRPr="007741F9" w:rsidRDefault="00000000">
      <w:pPr>
        <w:jc w:val="both"/>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 xml:space="preserve">Whether all losses can be compensated or only a certain percentage is up to negotiations between the federal government and the descendant community, but all losses need to be researched and acknowledged. This aligns with CERD’s insistence on the need to recognize and redress ongoing legacies of enslavement and racial discrimination. A framework for reparations based on a lineage-by-atrocity model would help to determine what is owed for various historic atrocities to descendants of the enslaved and racially discriminated against. A similar process could potentially be useful for reparations claims beyond the US context, </w:t>
      </w:r>
      <w:r w:rsidRPr="007741F9">
        <w:rPr>
          <w:rFonts w:ascii="Times New Roman" w:eastAsia="Times New Roman" w:hAnsi="Times New Roman" w:cs="Times New Roman"/>
          <w:sz w:val="24"/>
          <w:szCs w:val="24"/>
          <w:highlight w:val="white"/>
          <w:lang w:val="en-US"/>
        </w:rPr>
        <w:t xml:space="preserve"> such as slavery and post-slavery discrimination in Latin America and the Caribbean, international reparations for the “Transatlantic Slave Trade,” as well as reparations for atrocities under European colonialism in Africa. More information on the aforementioned calculations is available to CERD members upon request.</w:t>
      </w:r>
    </w:p>
    <w:sectPr w:rsidR="00933412" w:rsidRPr="007741F9">
      <w:headerReference w:type="default" r:id="rId7"/>
      <w:headerReference w:type="first" r:id="rId8"/>
      <w:footerReference w:type="first" r:id="rId9"/>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7183" w14:textId="77777777" w:rsidR="009B08FF" w:rsidRDefault="009B08FF">
      <w:pPr>
        <w:spacing w:line="240" w:lineRule="auto"/>
      </w:pPr>
      <w:r>
        <w:separator/>
      </w:r>
    </w:p>
  </w:endnote>
  <w:endnote w:type="continuationSeparator" w:id="0">
    <w:p w14:paraId="5996206C" w14:textId="77777777" w:rsidR="009B08FF" w:rsidRDefault="009B08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304683F7-2124-4B32-B419-8C490A42F215}"/>
    <w:embedItalic r:id="rId2" w:fontKey="{5ED5B7B4-D214-4EC5-B44D-C47CA55F4A7F}"/>
  </w:font>
  <w:font w:name="Calibri">
    <w:panose1 w:val="020F0502020204030204"/>
    <w:charset w:val="00"/>
    <w:family w:val="swiss"/>
    <w:pitch w:val="variable"/>
    <w:sig w:usb0="E4002EFF" w:usb1="C200247B" w:usb2="00000009" w:usb3="00000000" w:csb0="000001FF" w:csb1="00000000"/>
    <w:embedRegular r:id="rId3" w:fontKey="{93D5E9AA-ECF7-4474-BEA7-2E4F3B449A2F}"/>
  </w:font>
  <w:font w:name="Cambria">
    <w:panose1 w:val="02040503050406030204"/>
    <w:charset w:val="00"/>
    <w:family w:val="roman"/>
    <w:pitch w:val="variable"/>
    <w:sig w:usb0="E00006FF" w:usb1="420024FF" w:usb2="02000000" w:usb3="00000000" w:csb0="0000019F" w:csb1="00000000"/>
    <w:embedRegular r:id="rId4" w:fontKey="{66B0CA5B-0ED3-4E8B-BAE4-1C7F1F1130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933412" w:rsidRDefault="009334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8AF31" w14:textId="77777777" w:rsidR="009B08FF" w:rsidRDefault="009B08FF">
      <w:pPr>
        <w:spacing w:line="240" w:lineRule="auto"/>
      </w:pPr>
      <w:r>
        <w:separator/>
      </w:r>
    </w:p>
  </w:footnote>
  <w:footnote w:type="continuationSeparator" w:id="0">
    <w:p w14:paraId="675D9B60" w14:textId="77777777" w:rsidR="009B08FF" w:rsidRDefault="009B08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933412" w:rsidRDefault="00933412">
    <w:pPr>
      <w:jc w:val="center"/>
      <w:rPr>
        <w:rFonts w:ascii="Times New Roman" w:eastAsia="Times New Roman" w:hAnsi="Times New Roman" w:cs="Times New Roman"/>
        <w:i/>
        <w:sz w:val="24"/>
        <w:szCs w:val="24"/>
      </w:rPr>
    </w:pPr>
  </w:p>
  <w:p w14:paraId="00000029" w14:textId="77777777" w:rsidR="00933412" w:rsidRDefault="00933412">
    <w:pPr>
      <w:jc w:val="center"/>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933412" w:rsidRPr="007741F9" w:rsidRDefault="00000000">
    <w:pPr>
      <w:jc w:val="center"/>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United Nations Committee on the Elimination of Racial Discrimination</w:t>
    </w:r>
  </w:p>
  <w:p w14:paraId="0000002B" w14:textId="77777777" w:rsidR="00933412" w:rsidRPr="007741F9" w:rsidRDefault="00000000">
    <w:pPr>
      <w:jc w:val="center"/>
      <w:rPr>
        <w:rFonts w:ascii="Times New Roman" w:eastAsia="Times New Roman" w:hAnsi="Times New Roman" w:cs="Times New Roman"/>
        <w:sz w:val="24"/>
        <w:szCs w:val="24"/>
        <w:lang w:val="en-US"/>
      </w:rPr>
    </w:pPr>
    <w:r w:rsidRPr="007741F9">
      <w:rPr>
        <w:rFonts w:ascii="Times New Roman" w:eastAsia="Times New Roman" w:hAnsi="Times New Roman" w:cs="Times New Roman"/>
        <w:sz w:val="24"/>
        <w:szCs w:val="24"/>
        <w:lang w:val="en-US"/>
      </w:rPr>
      <w:t>Call for Input: General Recommendation on Reparations</w:t>
    </w:r>
  </w:p>
  <w:p w14:paraId="0000002C" w14:textId="77777777" w:rsidR="00933412" w:rsidRPr="007741F9" w:rsidRDefault="00933412">
    <w:pPr>
      <w:jc w:val="center"/>
      <w:rPr>
        <w:rFonts w:ascii="Times New Roman" w:eastAsia="Times New Roman" w:hAnsi="Times New Roman" w:cs="Times New Roman"/>
        <w:sz w:val="24"/>
        <w:szCs w:val="24"/>
        <w:lang w:val="en-US"/>
      </w:rPr>
    </w:pPr>
  </w:p>
  <w:p w14:paraId="0000002D" w14:textId="77777777" w:rsidR="00933412" w:rsidRPr="007741F9" w:rsidRDefault="00000000">
    <w:pPr>
      <w:jc w:val="center"/>
      <w:rPr>
        <w:lang w:val="en-US"/>
      </w:rPr>
    </w:pPr>
    <w:r w:rsidRPr="007741F9">
      <w:rPr>
        <w:rFonts w:ascii="Times New Roman" w:eastAsia="Times New Roman" w:hAnsi="Times New Roman" w:cs="Times New Roman"/>
        <w:b/>
        <w:sz w:val="24"/>
        <w:szCs w:val="24"/>
        <w:lang w:val="en-US"/>
      </w:rPr>
      <w:t xml:space="preserve">Estimating Losses due to Slavery and Other Forms of </w:t>
    </w:r>
    <w:r w:rsidRPr="007741F9">
      <w:rPr>
        <w:rFonts w:ascii="Times New Roman" w:eastAsia="Times New Roman" w:hAnsi="Times New Roman" w:cs="Times New Roman"/>
        <w:b/>
        <w:i/>
        <w:sz w:val="24"/>
        <w:szCs w:val="24"/>
        <w:lang w:val="en-US"/>
      </w:rPr>
      <w:t>De Jure</w:t>
    </w:r>
    <w:r w:rsidRPr="007741F9">
      <w:rPr>
        <w:rFonts w:ascii="Times New Roman" w:eastAsia="Times New Roman" w:hAnsi="Times New Roman" w:cs="Times New Roman"/>
        <w:b/>
        <w:sz w:val="24"/>
        <w:szCs w:val="24"/>
        <w:lang w:val="en-US"/>
      </w:rPr>
      <w:t xml:space="preserve"> Racial Discrimination in the United States to the Discriminated-Against and Their Rightful Heirs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114EA"/>
    <w:multiLevelType w:val="multilevel"/>
    <w:tmpl w:val="391AF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A31E3A"/>
    <w:multiLevelType w:val="multilevel"/>
    <w:tmpl w:val="9A8A1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521567">
    <w:abstractNumId w:val="1"/>
  </w:num>
  <w:num w:numId="2" w16cid:durableId="107890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12"/>
    <w:rsid w:val="002139CB"/>
    <w:rsid w:val="003D343E"/>
    <w:rsid w:val="005D28A0"/>
    <w:rsid w:val="006631DB"/>
    <w:rsid w:val="007741F9"/>
    <w:rsid w:val="00933412"/>
    <w:rsid w:val="009B08FF"/>
    <w:rsid w:val="009D0BE9"/>
    <w:rsid w:val="00A437FC"/>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364E"/>
  <w15:docId w15:val="{93BDA1CE-5C44-4A0F-A5A5-E438B347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en-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7741F9"/>
    <w:rPr>
      <w:color w:val="0000FF" w:themeColor="hyperlink"/>
      <w:u w:val="single"/>
    </w:rPr>
  </w:style>
  <w:style w:type="character" w:styleId="UnresolvedMention">
    <w:name w:val="Unresolved Mention"/>
    <w:basedOn w:val="DefaultParagraphFont"/>
    <w:uiPriority w:val="99"/>
    <w:semiHidden/>
    <w:unhideWhenUsed/>
    <w:rsid w:val="0077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Individuals</Category>
    <Filename xmlns="d42e65b2-cf21-49c1-b27d-d23f90380c0e" xsi:nil="true"/>
    <Doctype xmlns="d42e65b2-cf21-49c1-b27d-d23f90380c0e">input</Doctype>
    <Contributor xmlns="d42e65b2-cf21-49c1-b27d-d23f90380c0e">Thomas Creamer and Mr. Antar Rashiq Keith</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248B98E-3902-4812-AB6F-23E965D47499}"/>
</file>

<file path=customXml/itemProps2.xml><?xml version="1.0" encoding="utf-8"?>
<ds:datastoreItem xmlns:ds="http://schemas.openxmlformats.org/officeDocument/2006/customXml" ds:itemID="{1C87E495-892E-4644-9DA7-F38DF82D52C8}"/>
</file>

<file path=customXml/itemProps3.xml><?xml version="1.0" encoding="utf-8"?>
<ds:datastoreItem xmlns:ds="http://schemas.openxmlformats.org/officeDocument/2006/customXml" ds:itemID="{FCFC3CB6-2E2D-49E2-A39E-9B89C8B895EA}"/>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Antar Keith</cp:lastModifiedBy>
  <cp:revision>2</cp:revision>
  <dcterms:created xsi:type="dcterms:W3CDTF">2025-11-10T21:00:00Z</dcterms:created>
  <dcterms:modified xsi:type="dcterms:W3CDTF">2025-11-10T21:00:00Z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