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E7F63" w14:textId="0AB03628" w:rsidR="009115CA" w:rsidRDefault="009115CA" w:rsidP="00324BE5">
      <w:pPr>
        <w:spacing w:after="120" w:line="240" w:lineRule="auto"/>
        <w:jc w:val="center"/>
        <w:rPr>
          <w:b/>
          <w:color w:val="000000" w:themeColor="text1"/>
          <w:sz w:val="24"/>
          <w:szCs w:val="24"/>
        </w:rPr>
      </w:pPr>
      <w:r>
        <w:rPr>
          <w:b/>
          <w:bCs/>
          <w:noProof/>
          <w:sz w:val="28"/>
          <w:szCs w:val="28"/>
        </w:rPr>
        <w:drawing>
          <wp:anchor distT="0" distB="0" distL="114300" distR="114300" simplePos="0" relativeHeight="251659264" behindDoc="1" locked="0" layoutInCell="1" allowOverlap="1" wp14:anchorId="54E55D47" wp14:editId="72F1EB08">
            <wp:simplePos x="0" y="0"/>
            <wp:positionH relativeFrom="page">
              <wp:posOffset>181610</wp:posOffset>
            </wp:positionH>
            <wp:positionV relativeFrom="paragraph">
              <wp:posOffset>-782320</wp:posOffset>
            </wp:positionV>
            <wp:extent cx="2965450" cy="1209675"/>
            <wp:effectExtent l="0" t="0" r="6350" b="9525"/>
            <wp:wrapNone/>
            <wp:docPr id="4" name="Picture 4"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5450" cy="12096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EA1960B" wp14:editId="6373F7AF">
            <wp:simplePos x="0" y="0"/>
            <wp:positionH relativeFrom="page">
              <wp:posOffset>4039235</wp:posOffset>
            </wp:positionH>
            <wp:positionV relativeFrom="paragraph">
              <wp:posOffset>-1110904</wp:posOffset>
            </wp:positionV>
            <wp:extent cx="4184650" cy="1816100"/>
            <wp:effectExtent l="0" t="0" r="0" b="0"/>
            <wp:wrapNone/>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184650" cy="1816100"/>
                    </a:xfrm>
                    <a:prstGeom prst="rect">
                      <a:avLst/>
                    </a:prstGeom>
                  </pic:spPr>
                </pic:pic>
              </a:graphicData>
            </a:graphic>
            <wp14:sizeRelH relativeFrom="page">
              <wp14:pctWidth>0</wp14:pctWidth>
            </wp14:sizeRelH>
            <wp14:sizeRelV relativeFrom="page">
              <wp14:pctHeight>0</wp14:pctHeight>
            </wp14:sizeRelV>
          </wp:anchor>
        </w:drawing>
      </w:r>
    </w:p>
    <w:p w14:paraId="09EF72B2" w14:textId="77777777" w:rsidR="009115CA" w:rsidRDefault="009115CA" w:rsidP="00324BE5">
      <w:pPr>
        <w:spacing w:after="120" w:line="240" w:lineRule="auto"/>
        <w:jc w:val="center"/>
        <w:rPr>
          <w:b/>
          <w:color w:val="000000" w:themeColor="text1"/>
          <w:sz w:val="24"/>
          <w:szCs w:val="24"/>
        </w:rPr>
      </w:pPr>
    </w:p>
    <w:p w14:paraId="2C78AC95" w14:textId="0FD8DF8C" w:rsidR="001304F2" w:rsidRPr="000F4AC1" w:rsidRDefault="009341E0" w:rsidP="00324BE5">
      <w:pPr>
        <w:spacing w:after="120" w:line="240" w:lineRule="auto"/>
        <w:jc w:val="center"/>
        <w:rPr>
          <w:color w:val="000000" w:themeColor="text1"/>
          <w:sz w:val="24"/>
          <w:szCs w:val="24"/>
        </w:rPr>
      </w:pPr>
      <w:r w:rsidRPr="000F4AC1">
        <w:rPr>
          <w:b/>
          <w:color w:val="000000" w:themeColor="text1"/>
          <w:sz w:val="24"/>
          <w:szCs w:val="24"/>
        </w:rPr>
        <w:t>Call for Inputs</w:t>
      </w:r>
    </w:p>
    <w:p w14:paraId="2C819969" w14:textId="56E8E7C5" w:rsidR="001304F2" w:rsidRPr="00F43D2F" w:rsidRDefault="009341E0" w:rsidP="00324BE5">
      <w:pPr>
        <w:spacing w:after="120" w:line="240" w:lineRule="auto"/>
        <w:jc w:val="center"/>
        <w:rPr>
          <w:color w:val="000000" w:themeColor="text1"/>
        </w:rPr>
      </w:pPr>
      <w:r w:rsidRPr="00F43D2F">
        <w:rPr>
          <w:b/>
          <w:color w:val="000000" w:themeColor="text1"/>
        </w:rPr>
        <w:t xml:space="preserve">Joint </w:t>
      </w:r>
      <w:r w:rsidR="008E0311">
        <w:rPr>
          <w:b/>
          <w:color w:val="000000" w:themeColor="text1"/>
        </w:rPr>
        <w:t>s</w:t>
      </w:r>
      <w:r w:rsidRPr="00F43D2F">
        <w:rPr>
          <w:b/>
          <w:color w:val="000000" w:themeColor="text1"/>
        </w:rPr>
        <w:t>tatement on Enforced Disappearances</w:t>
      </w:r>
      <w:r w:rsidR="0069683A">
        <w:rPr>
          <w:b/>
          <w:color w:val="000000" w:themeColor="text1"/>
        </w:rPr>
        <w:t xml:space="preserve"> in the </w:t>
      </w:r>
      <w:r w:rsidR="005E5457">
        <w:rPr>
          <w:b/>
          <w:color w:val="000000" w:themeColor="text1"/>
        </w:rPr>
        <w:t>c</w:t>
      </w:r>
      <w:r w:rsidR="0069683A">
        <w:rPr>
          <w:b/>
          <w:color w:val="000000" w:themeColor="text1"/>
        </w:rPr>
        <w:t xml:space="preserve">ontext of </w:t>
      </w:r>
      <w:r w:rsidR="00C30E2F">
        <w:rPr>
          <w:b/>
          <w:color w:val="000000" w:themeColor="text1"/>
        </w:rPr>
        <w:t>t</w:t>
      </w:r>
      <w:r w:rsidR="0069683A">
        <w:rPr>
          <w:b/>
          <w:color w:val="000000" w:themeColor="text1"/>
        </w:rPr>
        <w:t xml:space="preserve">ransnational </w:t>
      </w:r>
      <w:r w:rsidR="00C30E2F">
        <w:rPr>
          <w:b/>
          <w:color w:val="000000" w:themeColor="text1"/>
        </w:rPr>
        <w:t>r</w:t>
      </w:r>
      <w:r w:rsidR="0069683A">
        <w:rPr>
          <w:b/>
          <w:color w:val="000000" w:themeColor="text1"/>
        </w:rPr>
        <w:t>epression</w:t>
      </w:r>
    </w:p>
    <w:p w14:paraId="17198F52" w14:textId="77777777" w:rsidR="00324BE5" w:rsidRDefault="009341E0" w:rsidP="00324BE5">
      <w:pPr>
        <w:spacing w:after="120" w:line="240" w:lineRule="auto"/>
        <w:rPr>
          <w:color w:val="000000" w:themeColor="text1"/>
        </w:rPr>
      </w:pPr>
      <w:r w:rsidRPr="00F43D2F">
        <w:rPr>
          <w:color w:val="000000" w:themeColor="text1"/>
        </w:rPr>
        <w:t>The Committee on Enforced Disappearances (the Committee) and the Working Group on Enforced or Involuntary Disappearances (the Working Group) have decided to circulate a call for inputs with a view to issuing a joint statement on enforced disappearances</w:t>
      </w:r>
      <w:r w:rsidR="0069683A">
        <w:rPr>
          <w:color w:val="000000" w:themeColor="text1"/>
        </w:rPr>
        <w:t xml:space="preserve"> in the context of transnational repression</w:t>
      </w:r>
      <w:r w:rsidRPr="00F43D2F">
        <w:rPr>
          <w:color w:val="000000" w:themeColor="text1"/>
        </w:rPr>
        <w:t>.</w:t>
      </w:r>
      <w:r w:rsidR="00FB6112">
        <w:rPr>
          <w:color w:val="000000" w:themeColor="text1"/>
        </w:rPr>
        <w:t xml:space="preserve"> </w:t>
      </w:r>
    </w:p>
    <w:p w14:paraId="526D4CE9" w14:textId="455300DA" w:rsidR="00324BE5" w:rsidRDefault="009341E0" w:rsidP="00324BE5">
      <w:pPr>
        <w:spacing w:after="120" w:line="240" w:lineRule="auto"/>
        <w:rPr>
          <w:color w:val="000000" w:themeColor="text1"/>
        </w:rPr>
      </w:pPr>
      <w:r w:rsidRPr="00F43D2F">
        <w:rPr>
          <w:color w:val="000000" w:themeColor="text1"/>
        </w:rPr>
        <w:t>At its 29th session (September 2025), the Committee adopted a concept note outlining the main objectives and possible scope of this initiative</w:t>
      </w:r>
      <w:r w:rsidR="00FB6112">
        <w:rPr>
          <w:color w:val="000000" w:themeColor="text1"/>
        </w:rPr>
        <w:t xml:space="preserve">. </w:t>
      </w:r>
      <w:r w:rsidR="00F11B3B">
        <w:rPr>
          <w:color w:val="000000" w:themeColor="text1"/>
        </w:rPr>
        <w:t>D</w:t>
      </w:r>
      <w:r w:rsidR="00FB6112" w:rsidRPr="00FB6112">
        <w:rPr>
          <w:color w:val="000000" w:themeColor="text1"/>
        </w:rPr>
        <w:t xml:space="preserve">uring </w:t>
      </w:r>
      <w:r w:rsidR="005E5457">
        <w:rPr>
          <w:color w:val="000000" w:themeColor="text1"/>
        </w:rPr>
        <w:t>their annual joint meeting in S</w:t>
      </w:r>
      <w:r w:rsidR="00FB6112" w:rsidRPr="00FB6112">
        <w:rPr>
          <w:color w:val="000000" w:themeColor="text1"/>
        </w:rPr>
        <w:t>eptember 2025</w:t>
      </w:r>
      <w:r w:rsidR="00F11B3B">
        <w:rPr>
          <w:color w:val="000000" w:themeColor="text1"/>
        </w:rPr>
        <w:t xml:space="preserve">, the </w:t>
      </w:r>
      <w:r w:rsidR="00F11B3B" w:rsidRPr="00FB6112">
        <w:rPr>
          <w:color w:val="000000" w:themeColor="text1"/>
        </w:rPr>
        <w:t>W</w:t>
      </w:r>
      <w:r w:rsidR="00F11B3B">
        <w:rPr>
          <w:color w:val="000000" w:themeColor="text1"/>
        </w:rPr>
        <w:t>orking Group</w:t>
      </w:r>
      <w:r w:rsidR="00F11B3B" w:rsidRPr="00FB6112">
        <w:rPr>
          <w:color w:val="000000" w:themeColor="text1"/>
        </w:rPr>
        <w:t xml:space="preserve"> </w:t>
      </w:r>
      <w:r w:rsidR="00F11B3B">
        <w:rPr>
          <w:color w:val="000000" w:themeColor="text1"/>
        </w:rPr>
        <w:t xml:space="preserve">and the Committee </w:t>
      </w:r>
      <w:r w:rsidR="00F11B3B" w:rsidRPr="00FB6112">
        <w:rPr>
          <w:color w:val="000000" w:themeColor="text1"/>
        </w:rPr>
        <w:t xml:space="preserve">decided </w:t>
      </w:r>
      <w:r w:rsidR="00F11B3B">
        <w:rPr>
          <w:color w:val="000000" w:themeColor="text1"/>
        </w:rPr>
        <w:t>to</w:t>
      </w:r>
      <w:r w:rsidR="00FB6112" w:rsidRPr="00FB6112">
        <w:rPr>
          <w:color w:val="000000" w:themeColor="text1"/>
        </w:rPr>
        <w:t xml:space="preserve"> pursue this work jointly.</w:t>
      </w:r>
      <w:r w:rsidRPr="00F43D2F">
        <w:rPr>
          <w:color w:val="000000" w:themeColor="text1"/>
        </w:rPr>
        <w:t xml:space="preserve"> </w:t>
      </w:r>
    </w:p>
    <w:p w14:paraId="2BCF552A" w14:textId="372F0E4F" w:rsidR="00324BE5" w:rsidRDefault="009341E0" w:rsidP="00324BE5">
      <w:pPr>
        <w:spacing w:after="120" w:line="240" w:lineRule="auto"/>
        <w:rPr>
          <w:color w:val="000000" w:themeColor="text1"/>
        </w:rPr>
      </w:pPr>
      <w:r w:rsidRPr="00F43D2F">
        <w:rPr>
          <w:color w:val="000000" w:themeColor="text1"/>
        </w:rPr>
        <w:t xml:space="preserve">The Committee and the Working Group invite Member States, </w:t>
      </w:r>
      <w:r w:rsidR="00551EA7" w:rsidRPr="00551EA7">
        <w:rPr>
          <w:color w:val="000000" w:themeColor="text1"/>
        </w:rPr>
        <w:t xml:space="preserve">victims of enforced disappearance </w:t>
      </w:r>
      <w:r w:rsidR="00F11B3B">
        <w:rPr>
          <w:color w:val="000000" w:themeColor="text1"/>
        </w:rPr>
        <w:t>(namely</w:t>
      </w:r>
      <w:r w:rsidR="00551EA7" w:rsidRPr="00551EA7">
        <w:rPr>
          <w:color w:val="000000" w:themeColor="text1"/>
        </w:rPr>
        <w:t xml:space="preserve"> any individual who has suffered harm as the direct result of an enforced disappearance</w:t>
      </w:r>
      <w:r w:rsidR="00F11B3B">
        <w:rPr>
          <w:color w:val="000000" w:themeColor="text1"/>
        </w:rPr>
        <w:t>)</w:t>
      </w:r>
      <w:r w:rsidRPr="00F43D2F">
        <w:rPr>
          <w:color w:val="000000" w:themeColor="text1"/>
        </w:rPr>
        <w:t>, civil society organizations, national human rights institutions, United Nations entities</w:t>
      </w:r>
      <w:r w:rsidR="00F11B3B">
        <w:rPr>
          <w:color w:val="000000" w:themeColor="text1"/>
        </w:rPr>
        <w:t xml:space="preserve"> and country teams</w:t>
      </w:r>
      <w:r w:rsidRPr="00F43D2F">
        <w:rPr>
          <w:color w:val="000000" w:themeColor="text1"/>
        </w:rPr>
        <w:t xml:space="preserve">, regional human rights mechanisms, academic institutions, and other interested stakeholders to submit written contributions by </w:t>
      </w:r>
      <w:r w:rsidRPr="007F4288">
        <w:rPr>
          <w:b/>
          <w:bCs/>
          <w:color w:val="000000" w:themeColor="text1"/>
        </w:rPr>
        <w:t>31 January 2026</w:t>
      </w:r>
      <w:r w:rsidRPr="00F43D2F">
        <w:rPr>
          <w:color w:val="000000" w:themeColor="text1"/>
        </w:rPr>
        <w:t>. Contributions may be country-specific</w:t>
      </w:r>
      <w:r w:rsidR="00ED2918">
        <w:rPr>
          <w:color w:val="000000" w:themeColor="text1"/>
        </w:rPr>
        <w:t>, regional</w:t>
      </w:r>
      <w:r w:rsidRPr="00F43D2F">
        <w:rPr>
          <w:color w:val="000000" w:themeColor="text1"/>
        </w:rPr>
        <w:t xml:space="preserve"> or general in nature.</w:t>
      </w:r>
    </w:p>
    <w:p w14:paraId="02E71D5A" w14:textId="1901A39B" w:rsidR="001304F2" w:rsidRPr="00F43D2F" w:rsidRDefault="009341E0" w:rsidP="00324BE5">
      <w:pPr>
        <w:spacing w:after="120" w:line="240" w:lineRule="auto"/>
        <w:rPr>
          <w:color w:val="000000" w:themeColor="text1"/>
        </w:rPr>
      </w:pPr>
      <w:r w:rsidRPr="00F43D2F">
        <w:rPr>
          <w:color w:val="000000" w:themeColor="text1"/>
        </w:rPr>
        <w:t xml:space="preserve">The Committee and the Working Group will consider the inputs received </w:t>
      </w:r>
      <w:r w:rsidR="00F11B3B">
        <w:rPr>
          <w:color w:val="000000" w:themeColor="text1"/>
        </w:rPr>
        <w:t>to prepare</w:t>
      </w:r>
      <w:r w:rsidRPr="00F43D2F">
        <w:rPr>
          <w:color w:val="000000" w:themeColor="text1"/>
        </w:rPr>
        <w:t xml:space="preserve"> their </w:t>
      </w:r>
      <w:r w:rsidR="008E0311">
        <w:rPr>
          <w:color w:val="000000" w:themeColor="text1"/>
        </w:rPr>
        <w:t>j</w:t>
      </w:r>
      <w:r w:rsidRPr="00F43D2F">
        <w:rPr>
          <w:color w:val="000000" w:themeColor="text1"/>
        </w:rPr>
        <w:t xml:space="preserve">oint </w:t>
      </w:r>
      <w:r w:rsidR="008E0311">
        <w:rPr>
          <w:color w:val="000000" w:themeColor="text1"/>
        </w:rPr>
        <w:t>s</w:t>
      </w:r>
      <w:r w:rsidRPr="00F43D2F">
        <w:rPr>
          <w:color w:val="000000" w:themeColor="text1"/>
        </w:rPr>
        <w:t xml:space="preserve">tatement on </w:t>
      </w:r>
      <w:r w:rsidR="008E0311">
        <w:rPr>
          <w:color w:val="000000" w:themeColor="text1"/>
        </w:rPr>
        <w:t>e</w:t>
      </w:r>
      <w:r w:rsidR="008E0311" w:rsidRPr="00F43D2F">
        <w:rPr>
          <w:color w:val="000000" w:themeColor="text1"/>
        </w:rPr>
        <w:t xml:space="preserve">nforced </w:t>
      </w:r>
      <w:r w:rsidR="008E0311">
        <w:rPr>
          <w:color w:val="000000" w:themeColor="text1"/>
        </w:rPr>
        <w:t>d</w:t>
      </w:r>
      <w:r w:rsidR="008E0311" w:rsidRPr="00F43D2F">
        <w:rPr>
          <w:color w:val="000000" w:themeColor="text1"/>
        </w:rPr>
        <w:t xml:space="preserve">isappearances </w:t>
      </w:r>
      <w:r w:rsidR="008E0311">
        <w:rPr>
          <w:color w:val="000000" w:themeColor="text1"/>
        </w:rPr>
        <w:t>in the context of t</w:t>
      </w:r>
      <w:r w:rsidRPr="00F43D2F">
        <w:rPr>
          <w:color w:val="000000" w:themeColor="text1"/>
        </w:rPr>
        <w:t xml:space="preserve">ransnational </w:t>
      </w:r>
      <w:r w:rsidR="008E0311">
        <w:rPr>
          <w:color w:val="000000" w:themeColor="text1"/>
        </w:rPr>
        <w:t>r</w:t>
      </w:r>
      <w:r w:rsidRPr="00F43D2F">
        <w:rPr>
          <w:color w:val="000000" w:themeColor="text1"/>
        </w:rPr>
        <w:t>epression.</w:t>
      </w:r>
    </w:p>
    <w:p w14:paraId="775DAEC1" w14:textId="77777777" w:rsidR="001304F2" w:rsidRPr="00F43D2F" w:rsidRDefault="009341E0" w:rsidP="000F4AC1">
      <w:pPr>
        <w:pStyle w:val="Heading2"/>
        <w:spacing w:before="240" w:after="120" w:line="240" w:lineRule="auto"/>
        <w:rPr>
          <w:color w:val="000000" w:themeColor="text1"/>
        </w:rPr>
      </w:pPr>
      <w:r w:rsidRPr="00F43D2F">
        <w:rPr>
          <w:color w:val="000000" w:themeColor="text1"/>
        </w:rPr>
        <w:t>Background</w:t>
      </w:r>
    </w:p>
    <w:p w14:paraId="6CBAC051" w14:textId="4E1C4EE9" w:rsidR="00486179" w:rsidRPr="00E77032" w:rsidRDefault="00E77032" w:rsidP="00A71F81">
      <w:pPr>
        <w:pStyle w:val="ListNumber"/>
        <w:spacing w:after="120" w:line="240" w:lineRule="auto"/>
        <w:contextualSpacing w:val="0"/>
        <w:rPr>
          <w:color w:val="000000" w:themeColor="text1"/>
        </w:rPr>
      </w:pPr>
      <w:r>
        <w:rPr>
          <w:color w:val="000000" w:themeColor="text1"/>
        </w:rPr>
        <w:t>A</w:t>
      </w:r>
      <w:r w:rsidR="004D5122" w:rsidRPr="00E77032">
        <w:rPr>
          <w:color w:val="000000" w:themeColor="text1"/>
        </w:rPr>
        <w:t xml:space="preserve">ccording </w:t>
      </w:r>
      <w:r>
        <w:rPr>
          <w:color w:val="000000" w:themeColor="text1"/>
        </w:rPr>
        <w:t xml:space="preserve">to an </w:t>
      </w:r>
      <w:r w:rsidR="00E33713" w:rsidRPr="00E33713">
        <w:rPr>
          <w:color w:val="000000" w:themeColor="text1"/>
        </w:rPr>
        <w:t>OHCHR briefing paper</w:t>
      </w:r>
      <w:r w:rsidR="00E33713">
        <w:rPr>
          <w:rStyle w:val="FootnoteReference"/>
          <w:color w:val="000000" w:themeColor="text1"/>
        </w:rPr>
        <w:footnoteReference w:id="1"/>
      </w:r>
      <w:r>
        <w:rPr>
          <w:color w:val="000000" w:themeColor="text1"/>
        </w:rPr>
        <w:t>, published in June 2025, “t</w:t>
      </w:r>
      <w:r w:rsidRPr="00E77032">
        <w:rPr>
          <w:color w:val="000000" w:themeColor="text1"/>
        </w:rPr>
        <w:t xml:space="preserve">he term transnational repression denotes acts conducted or directed by a State, or its proxy, to deter, silence or punish dissent, criticism or human rights advocacy towards it, expressed from outside its territory. These acts often target civil society actors abroad, such as human rights defenders (HRDs), journalists, and whistle-blowers as well as their families or associates who remain in the </w:t>
      </w:r>
      <w:proofErr w:type="gramStart"/>
      <w:r w:rsidRPr="00E77032">
        <w:rPr>
          <w:color w:val="000000" w:themeColor="text1"/>
        </w:rPr>
        <w:t>repressing</w:t>
      </w:r>
      <w:proofErr w:type="gramEnd"/>
      <w:r w:rsidRPr="00E77032">
        <w:rPr>
          <w:color w:val="000000" w:themeColor="text1"/>
        </w:rPr>
        <w:t xml:space="preserve"> country. Non-state actors such as private companies and technology firms, criminal networks, private militia or paramilitary groups and media organizations, can also play a role in transnational repression, at the request or with the</w:t>
      </w:r>
      <w:r>
        <w:rPr>
          <w:color w:val="000000" w:themeColor="text1"/>
        </w:rPr>
        <w:t xml:space="preserve"> </w:t>
      </w:r>
      <w:r w:rsidR="00A71F81" w:rsidRPr="00A71F81">
        <w:rPr>
          <w:color w:val="000000" w:themeColor="text1"/>
        </w:rPr>
        <w:t>authorization</w:t>
      </w:r>
      <w:r w:rsidR="00DB3689">
        <w:rPr>
          <w:color w:val="000000" w:themeColor="text1"/>
        </w:rPr>
        <w:t xml:space="preserve">, </w:t>
      </w:r>
      <w:r w:rsidR="00EB17D9">
        <w:rPr>
          <w:color w:val="000000" w:themeColor="text1"/>
        </w:rPr>
        <w:t xml:space="preserve">support or </w:t>
      </w:r>
      <w:r w:rsidRPr="00E77032">
        <w:rPr>
          <w:color w:val="000000" w:themeColor="text1"/>
        </w:rPr>
        <w:t>acquiescence of the repressing State</w:t>
      </w:r>
      <w:r>
        <w:rPr>
          <w:color w:val="000000" w:themeColor="text1"/>
        </w:rPr>
        <w:t>.”</w:t>
      </w:r>
    </w:p>
    <w:p w14:paraId="34391D45" w14:textId="2EDCA9A3" w:rsidR="004D5122" w:rsidRDefault="004D5122" w:rsidP="00324BE5">
      <w:pPr>
        <w:pStyle w:val="ListNumber"/>
        <w:spacing w:after="120" w:line="240" w:lineRule="auto"/>
        <w:contextualSpacing w:val="0"/>
        <w:rPr>
          <w:color w:val="000000" w:themeColor="text1"/>
        </w:rPr>
      </w:pPr>
      <w:r w:rsidRPr="00F43D2F">
        <w:rPr>
          <w:color w:val="000000" w:themeColor="text1"/>
        </w:rPr>
        <w:t>Th</w:t>
      </w:r>
      <w:r w:rsidR="00F11B3B">
        <w:rPr>
          <w:color w:val="000000" w:themeColor="text1"/>
        </w:rPr>
        <w:t>roughout their work, th</w:t>
      </w:r>
      <w:r w:rsidRPr="00F43D2F">
        <w:rPr>
          <w:color w:val="000000" w:themeColor="text1"/>
        </w:rPr>
        <w:t xml:space="preserve">e Committee and the Working Group have received allegations </w:t>
      </w:r>
      <w:r w:rsidR="00F11B3B">
        <w:rPr>
          <w:color w:val="000000" w:themeColor="text1"/>
        </w:rPr>
        <w:t xml:space="preserve">and documented </w:t>
      </w:r>
      <w:r w:rsidRPr="00F43D2F">
        <w:rPr>
          <w:color w:val="000000" w:themeColor="text1"/>
        </w:rPr>
        <w:t>cases of enforced disappearance</w:t>
      </w:r>
      <w:r>
        <w:rPr>
          <w:color w:val="000000" w:themeColor="text1"/>
        </w:rPr>
        <w:t>s</w:t>
      </w:r>
      <w:r w:rsidR="00E33713">
        <w:rPr>
          <w:color w:val="000000" w:themeColor="text1"/>
        </w:rPr>
        <w:t xml:space="preserve"> in the context of transnational repression</w:t>
      </w:r>
      <w:r w:rsidRPr="00F43D2F">
        <w:rPr>
          <w:color w:val="000000" w:themeColor="text1"/>
        </w:rPr>
        <w:t>. These include situations where State agents or their proxies abducted individuals abroad, concealed their fate or whereabouts, or facilitated their unlawful transfer to another State</w:t>
      </w:r>
      <w:r w:rsidR="00E35E41">
        <w:rPr>
          <w:color w:val="000000" w:themeColor="text1"/>
        </w:rPr>
        <w:t>. Such cases</w:t>
      </w:r>
      <w:r w:rsidR="000E3FB2">
        <w:rPr>
          <w:color w:val="000000" w:themeColor="text1"/>
        </w:rPr>
        <w:t xml:space="preserve"> affect</w:t>
      </w:r>
      <w:r w:rsidR="00D061CD">
        <w:rPr>
          <w:color w:val="000000" w:themeColor="text1"/>
        </w:rPr>
        <w:t xml:space="preserve"> inter alia</w:t>
      </w:r>
      <w:r w:rsidR="000E3FB2">
        <w:rPr>
          <w:color w:val="000000" w:themeColor="text1"/>
        </w:rPr>
        <w:t xml:space="preserve"> </w:t>
      </w:r>
      <w:r w:rsidR="000E3FB2" w:rsidRPr="00F43D2F">
        <w:rPr>
          <w:color w:val="000000" w:themeColor="text1"/>
        </w:rPr>
        <w:t xml:space="preserve">the safety of human rights defenders, journalists, political opponents, students, </w:t>
      </w:r>
      <w:r w:rsidR="000E3FB2">
        <w:rPr>
          <w:color w:val="000000" w:themeColor="text1"/>
        </w:rPr>
        <w:t xml:space="preserve">refugees, </w:t>
      </w:r>
      <w:r w:rsidR="000E3FB2" w:rsidRPr="00F43D2F">
        <w:rPr>
          <w:color w:val="000000" w:themeColor="text1"/>
        </w:rPr>
        <w:t>and other individuals living in exile</w:t>
      </w:r>
      <w:r w:rsidR="00D061CD">
        <w:rPr>
          <w:color w:val="000000" w:themeColor="text1"/>
        </w:rPr>
        <w:t>.</w:t>
      </w:r>
      <w:r w:rsidRPr="00F43D2F">
        <w:rPr>
          <w:color w:val="000000" w:themeColor="text1"/>
        </w:rPr>
        <w:t xml:space="preserve"> </w:t>
      </w:r>
    </w:p>
    <w:p w14:paraId="600610A2" w14:textId="2C9F96BD" w:rsidR="001304F2" w:rsidRPr="00F43D2F" w:rsidRDefault="00433695" w:rsidP="00324BE5">
      <w:pPr>
        <w:pStyle w:val="ListNumber"/>
        <w:spacing w:after="120" w:line="240" w:lineRule="auto"/>
        <w:contextualSpacing w:val="0"/>
        <w:rPr>
          <w:color w:val="000000" w:themeColor="text1"/>
        </w:rPr>
      </w:pPr>
      <w:r>
        <w:rPr>
          <w:color w:val="000000" w:themeColor="text1"/>
        </w:rPr>
        <w:t>These</w:t>
      </w:r>
      <w:r w:rsidR="00B60F58">
        <w:rPr>
          <w:color w:val="000000" w:themeColor="text1"/>
        </w:rPr>
        <w:t xml:space="preserve"> practices</w:t>
      </w:r>
      <w:r>
        <w:rPr>
          <w:color w:val="000000" w:themeColor="text1"/>
        </w:rPr>
        <w:t>, that</w:t>
      </w:r>
      <w:r w:rsidR="00B60F58">
        <w:rPr>
          <w:color w:val="000000" w:themeColor="text1"/>
        </w:rPr>
        <w:t xml:space="preserve"> are not entirely new</w:t>
      </w:r>
      <w:r>
        <w:rPr>
          <w:color w:val="000000" w:themeColor="text1"/>
        </w:rPr>
        <w:t>,</w:t>
      </w:r>
      <w:r w:rsidR="00E33713">
        <w:rPr>
          <w:rStyle w:val="FootnoteReference"/>
          <w:color w:val="000000" w:themeColor="text1"/>
        </w:rPr>
        <w:footnoteReference w:id="2"/>
      </w:r>
      <w:r w:rsidR="007F4288" w:rsidRPr="00F43D2F">
        <w:rPr>
          <w:color w:val="000000" w:themeColor="text1"/>
        </w:rPr>
        <w:t xml:space="preserve"> gravely contravene international law, including the International Convention for the Protection of All Persons from Enforced </w:t>
      </w:r>
      <w:r w:rsidR="007F4288" w:rsidRPr="00F43D2F">
        <w:rPr>
          <w:color w:val="000000" w:themeColor="text1"/>
        </w:rPr>
        <w:lastRenderedPageBreak/>
        <w:t xml:space="preserve">Disappearance (ICPPED) and the Declaration on the Protection of All Persons from Enforced Disappearance. They also violate the principles of </w:t>
      </w:r>
      <w:r w:rsidR="00296EAB">
        <w:rPr>
          <w:color w:val="000000" w:themeColor="text1"/>
        </w:rPr>
        <w:t>S</w:t>
      </w:r>
      <w:r w:rsidR="007F4288" w:rsidRPr="00F43D2F">
        <w:rPr>
          <w:color w:val="000000" w:themeColor="text1"/>
        </w:rPr>
        <w:t>tate sovereignty, non-refoulement, and the prohibition of arbitrary detention</w:t>
      </w:r>
      <w:r w:rsidR="00B60F58">
        <w:rPr>
          <w:color w:val="000000" w:themeColor="text1"/>
        </w:rPr>
        <w:t>.</w:t>
      </w:r>
    </w:p>
    <w:p w14:paraId="25025485" w14:textId="2F0D9DC1" w:rsidR="00D97C4E" w:rsidRPr="00D97C4E" w:rsidRDefault="00D97C4E" w:rsidP="00324BE5">
      <w:pPr>
        <w:pStyle w:val="ListNumber"/>
        <w:spacing w:after="120" w:line="240" w:lineRule="auto"/>
        <w:contextualSpacing w:val="0"/>
        <w:rPr>
          <w:color w:val="000000" w:themeColor="text1"/>
        </w:rPr>
      </w:pPr>
      <w:r w:rsidRPr="00F43D2F">
        <w:rPr>
          <w:color w:val="000000" w:themeColor="text1"/>
        </w:rPr>
        <w:t>The prohibition of enforced disappearance is absolute and non-</w:t>
      </w:r>
      <w:proofErr w:type="spellStart"/>
      <w:r w:rsidRPr="00F43D2F">
        <w:rPr>
          <w:color w:val="000000" w:themeColor="text1"/>
        </w:rPr>
        <w:t>derogable</w:t>
      </w:r>
      <w:proofErr w:type="spellEnd"/>
      <w:r w:rsidR="007F4288">
        <w:rPr>
          <w:color w:val="000000" w:themeColor="text1"/>
        </w:rPr>
        <w:t>.</w:t>
      </w:r>
      <w:r w:rsidRPr="00F43D2F">
        <w:rPr>
          <w:color w:val="000000" w:themeColor="text1"/>
        </w:rPr>
        <w:t xml:space="preserve"> </w:t>
      </w:r>
      <w:r w:rsidR="00F11B3B">
        <w:rPr>
          <w:color w:val="000000" w:themeColor="text1"/>
        </w:rPr>
        <w:t>It</w:t>
      </w:r>
      <w:r w:rsidR="004119D4">
        <w:rPr>
          <w:color w:val="000000" w:themeColor="text1"/>
        </w:rPr>
        <w:t xml:space="preserve"> entails </w:t>
      </w:r>
      <w:proofErr w:type="spellStart"/>
      <w:r w:rsidR="004119D4" w:rsidRPr="00E33713">
        <w:rPr>
          <w:i/>
          <w:iCs/>
          <w:color w:val="000000" w:themeColor="text1"/>
        </w:rPr>
        <w:t>erga</w:t>
      </w:r>
      <w:proofErr w:type="spellEnd"/>
      <w:r w:rsidR="004119D4" w:rsidRPr="00E33713">
        <w:rPr>
          <w:i/>
          <w:iCs/>
          <w:color w:val="000000" w:themeColor="text1"/>
        </w:rPr>
        <w:t xml:space="preserve"> omnes</w:t>
      </w:r>
      <w:r w:rsidR="004119D4">
        <w:rPr>
          <w:color w:val="000000" w:themeColor="text1"/>
        </w:rPr>
        <w:t xml:space="preserve"> obligations, binding all </w:t>
      </w:r>
      <w:r w:rsidR="00F11B3B">
        <w:rPr>
          <w:color w:val="000000" w:themeColor="text1"/>
        </w:rPr>
        <w:t xml:space="preserve">States </w:t>
      </w:r>
      <w:r w:rsidR="004119D4">
        <w:rPr>
          <w:color w:val="000000" w:themeColor="text1"/>
        </w:rPr>
        <w:t xml:space="preserve">to prevent, investigate, and punish such acts, wherever they occur. </w:t>
      </w:r>
      <w:r w:rsidR="00A37A0A">
        <w:rPr>
          <w:color w:val="000000" w:themeColor="text1"/>
        </w:rPr>
        <w:t>This includes States’ responsibility</w:t>
      </w:r>
      <w:r w:rsidRPr="00F43D2F">
        <w:rPr>
          <w:color w:val="000000" w:themeColor="text1"/>
        </w:rPr>
        <w:t xml:space="preserve"> to ensure that their territory is not used to commit or facilitate such acts</w:t>
      </w:r>
      <w:r>
        <w:rPr>
          <w:color w:val="000000" w:themeColor="text1"/>
        </w:rPr>
        <w:t xml:space="preserve">, and that State authorities are never implicated in any disappearance </w:t>
      </w:r>
      <w:proofErr w:type="gramStart"/>
      <w:r>
        <w:rPr>
          <w:color w:val="000000" w:themeColor="text1"/>
        </w:rPr>
        <w:t>on</w:t>
      </w:r>
      <w:proofErr w:type="gramEnd"/>
      <w:r>
        <w:rPr>
          <w:color w:val="000000" w:themeColor="text1"/>
        </w:rPr>
        <w:t xml:space="preserve"> other territories</w:t>
      </w:r>
      <w:r w:rsidR="006A69F0">
        <w:rPr>
          <w:color w:val="000000" w:themeColor="text1"/>
        </w:rPr>
        <w:t>.</w:t>
      </w:r>
      <w:r w:rsidR="006E7EA0">
        <w:rPr>
          <w:color w:val="000000" w:themeColor="text1"/>
        </w:rPr>
        <w:t xml:space="preserve"> </w:t>
      </w:r>
      <w:r w:rsidR="0020614E">
        <w:rPr>
          <w:color w:val="000000" w:themeColor="text1"/>
          <w:lang w:val="en-SG"/>
        </w:rPr>
        <w:t xml:space="preserve">Moreover, States are under an obligation to cooperate among them, affording one another the greatest measure of mutual legal assistance in connection with investigations and criminal proceedings brought in respect of enforced disappearances and in assisting victims of enforced disappearance and in searching for, locating and releasing disappeared persons and, in the event of death, in exhuming and identifying them and returning their remains. </w:t>
      </w:r>
      <w:r w:rsidR="006E7EA0">
        <w:rPr>
          <w:color w:val="000000" w:themeColor="text1"/>
        </w:rPr>
        <w:t xml:space="preserve">With this perspective in mind, the </w:t>
      </w:r>
      <w:r w:rsidR="00751C87">
        <w:rPr>
          <w:color w:val="000000" w:themeColor="text1"/>
        </w:rPr>
        <w:t>forms</w:t>
      </w:r>
      <w:r w:rsidR="006E7EA0">
        <w:rPr>
          <w:color w:val="000000" w:themeColor="text1"/>
        </w:rPr>
        <w:t xml:space="preserve"> and patterns of enforced disappearances in the context of transnational repression require specific attention</w:t>
      </w:r>
      <w:r w:rsidR="008974FC">
        <w:rPr>
          <w:color w:val="000000" w:themeColor="text1"/>
        </w:rPr>
        <w:t xml:space="preserve"> with the aim to identify adapted strategies of prevention and eradication</w:t>
      </w:r>
      <w:r w:rsidR="000958F0">
        <w:rPr>
          <w:color w:val="000000" w:themeColor="text1"/>
        </w:rPr>
        <w:t>.</w:t>
      </w:r>
    </w:p>
    <w:p w14:paraId="5CE7CE5A" w14:textId="4A008C2F" w:rsidR="001304F2" w:rsidRPr="00F43D2F" w:rsidRDefault="009341E0" w:rsidP="000F4AC1">
      <w:pPr>
        <w:pStyle w:val="Heading2"/>
        <w:spacing w:before="240" w:after="120" w:line="240" w:lineRule="auto"/>
        <w:rPr>
          <w:color w:val="000000" w:themeColor="text1"/>
        </w:rPr>
      </w:pPr>
      <w:r w:rsidRPr="00F43D2F">
        <w:rPr>
          <w:color w:val="000000" w:themeColor="text1"/>
        </w:rPr>
        <w:t xml:space="preserve">Guiding </w:t>
      </w:r>
      <w:r w:rsidR="006A69F0">
        <w:rPr>
          <w:color w:val="000000" w:themeColor="text1"/>
        </w:rPr>
        <w:t>q</w:t>
      </w:r>
      <w:r w:rsidRPr="00F43D2F">
        <w:rPr>
          <w:color w:val="000000" w:themeColor="text1"/>
        </w:rPr>
        <w:t>uestions</w:t>
      </w:r>
    </w:p>
    <w:p w14:paraId="44A405E6" w14:textId="43A4FB54" w:rsidR="00D51FA8" w:rsidRPr="000F4AC1" w:rsidRDefault="00145AF8" w:rsidP="00224742">
      <w:pPr>
        <w:spacing w:after="0" w:line="240" w:lineRule="auto"/>
        <w:rPr>
          <w:rFonts w:eastAsia="Times New Roman" w:cs="Times New Roman"/>
          <w:lang w:eastAsia="de-DE"/>
        </w:rPr>
      </w:pPr>
      <w:r w:rsidRPr="000F4AC1">
        <w:rPr>
          <w:rFonts w:eastAsia="Times New Roman" w:cs="Times New Roman"/>
          <w:lang w:eastAsia="de-DE"/>
        </w:rPr>
        <w:t>T</w:t>
      </w:r>
      <w:r w:rsidR="00551EA7" w:rsidRPr="000F4AC1">
        <w:rPr>
          <w:rFonts w:eastAsia="Times New Roman" w:cs="Times New Roman"/>
          <w:lang w:eastAsia="de-DE"/>
        </w:rPr>
        <w:t xml:space="preserve">he Committee and the Working Group invite all </w:t>
      </w:r>
      <w:r w:rsidR="0020614E">
        <w:rPr>
          <w:rFonts w:eastAsia="Times New Roman" w:cs="Times New Roman"/>
          <w:lang w:eastAsia="de-DE"/>
        </w:rPr>
        <w:t>stakeholders</w:t>
      </w:r>
      <w:r w:rsidR="0020614E" w:rsidRPr="000F4AC1">
        <w:rPr>
          <w:rFonts w:eastAsia="Times New Roman" w:cs="Times New Roman"/>
          <w:lang w:eastAsia="de-DE"/>
        </w:rPr>
        <w:t xml:space="preserve"> </w:t>
      </w:r>
      <w:r w:rsidR="00551EA7" w:rsidRPr="000F4AC1">
        <w:rPr>
          <w:rFonts w:eastAsia="Times New Roman" w:cs="Times New Roman"/>
          <w:lang w:eastAsia="de-DE"/>
        </w:rPr>
        <w:t>to contribute to the</w:t>
      </w:r>
      <w:r w:rsidR="00983628">
        <w:rPr>
          <w:rFonts w:eastAsia="Times New Roman" w:cs="Times New Roman"/>
          <w:lang w:eastAsia="de-DE"/>
        </w:rPr>
        <w:t>ir</w:t>
      </w:r>
      <w:r w:rsidR="00551EA7" w:rsidRPr="000F4AC1">
        <w:rPr>
          <w:rFonts w:eastAsia="Times New Roman" w:cs="Times New Roman"/>
          <w:lang w:eastAsia="de-DE"/>
        </w:rPr>
        <w:t xml:space="preserve"> project of statement through inputs on the</w:t>
      </w:r>
      <w:r w:rsidR="00983628">
        <w:rPr>
          <w:rFonts w:eastAsia="Times New Roman" w:cs="Times New Roman"/>
          <w:lang w:eastAsia="de-DE"/>
        </w:rPr>
        <w:t xml:space="preserve"> following</w:t>
      </w:r>
      <w:r w:rsidR="00551EA7" w:rsidRPr="000F4AC1">
        <w:rPr>
          <w:rFonts w:eastAsia="Times New Roman" w:cs="Times New Roman"/>
          <w:lang w:eastAsia="de-DE"/>
        </w:rPr>
        <w:t xml:space="preserve"> questions</w:t>
      </w:r>
      <w:r w:rsidR="00D51FA8">
        <w:rPr>
          <w:rFonts w:eastAsia="Times New Roman" w:cs="Times New Roman"/>
          <w:lang w:eastAsia="de-DE"/>
        </w:rPr>
        <w:t>:</w:t>
      </w:r>
    </w:p>
    <w:p w14:paraId="3C9F71D9" w14:textId="1E949875" w:rsidR="00324BE5" w:rsidRPr="000F4AC1" w:rsidRDefault="009341E0" w:rsidP="006A69F0">
      <w:pPr>
        <w:pStyle w:val="ListBullet"/>
        <w:numPr>
          <w:ilvl w:val="0"/>
          <w:numId w:val="14"/>
        </w:numPr>
        <w:spacing w:before="240" w:after="120" w:line="240" w:lineRule="auto"/>
        <w:contextualSpacing w:val="0"/>
        <w:rPr>
          <w:color w:val="000000" w:themeColor="text1"/>
        </w:rPr>
      </w:pPr>
      <w:r w:rsidRPr="000F4AC1">
        <w:rPr>
          <w:color w:val="000000" w:themeColor="text1"/>
        </w:rPr>
        <w:t xml:space="preserve">How do enforced disappearances occur in the context of transnational repression, and which </w:t>
      </w:r>
      <w:r w:rsidR="0020614E">
        <w:rPr>
          <w:color w:val="000000" w:themeColor="text1"/>
        </w:rPr>
        <w:t>individuals</w:t>
      </w:r>
      <w:r w:rsidRPr="000F4AC1">
        <w:rPr>
          <w:color w:val="000000" w:themeColor="text1"/>
        </w:rPr>
        <w:t xml:space="preserve"> are most at risk?</w:t>
      </w:r>
    </w:p>
    <w:p w14:paraId="27F7029E" w14:textId="7CA1743D" w:rsidR="001304F2" w:rsidRPr="000F4AC1" w:rsidRDefault="009341E0" w:rsidP="006A69F0">
      <w:pPr>
        <w:pStyle w:val="ListBullet"/>
        <w:numPr>
          <w:ilvl w:val="0"/>
          <w:numId w:val="14"/>
        </w:numPr>
        <w:spacing w:after="120" w:line="240" w:lineRule="auto"/>
        <w:contextualSpacing w:val="0"/>
        <w:rPr>
          <w:color w:val="000000" w:themeColor="text1"/>
        </w:rPr>
      </w:pPr>
      <w:r w:rsidRPr="000F4AC1">
        <w:rPr>
          <w:color w:val="000000" w:themeColor="text1"/>
        </w:rPr>
        <w:t xml:space="preserve">Which national, regional, or international laws, practices, or </w:t>
      </w:r>
      <w:r w:rsidR="0016331A">
        <w:rPr>
          <w:color w:val="000000" w:themeColor="text1"/>
        </w:rPr>
        <w:t xml:space="preserve">(bilateral) </w:t>
      </w:r>
      <w:r w:rsidRPr="000F4AC1">
        <w:rPr>
          <w:color w:val="000000" w:themeColor="text1"/>
        </w:rPr>
        <w:t>agreements contribute to or prevent such acts?</w:t>
      </w:r>
    </w:p>
    <w:p w14:paraId="4A2C3878" w14:textId="7F8B4DAA" w:rsidR="001304F2" w:rsidRPr="000F4AC1" w:rsidRDefault="009341E0" w:rsidP="006A69F0">
      <w:pPr>
        <w:pStyle w:val="ListBullet"/>
        <w:numPr>
          <w:ilvl w:val="0"/>
          <w:numId w:val="14"/>
        </w:numPr>
        <w:spacing w:after="120" w:line="240" w:lineRule="auto"/>
        <w:contextualSpacing w:val="0"/>
        <w:rPr>
          <w:color w:val="000000" w:themeColor="text1"/>
        </w:rPr>
      </w:pPr>
      <w:r w:rsidRPr="000F4AC1">
        <w:rPr>
          <w:color w:val="000000" w:themeColor="text1"/>
        </w:rPr>
        <w:t>Wh</w:t>
      </w:r>
      <w:r w:rsidR="0020614E">
        <w:rPr>
          <w:color w:val="000000" w:themeColor="text1"/>
        </w:rPr>
        <w:t>ich</w:t>
      </w:r>
      <w:r w:rsidRPr="000F4AC1">
        <w:rPr>
          <w:color w:val="000000" w:themeColor="text1"/>
        </w:rPr>
        <w:t xml:space="preserve"> mechanisms exist—or are lacking—to ensure investigation, prosecution, and mutual legal assistance in cases of transnational enforced disappearance</w:t>
      </w:r>
      <w:r w:rsidR="002D48F0" w:rsidRPr="000F4AC1">
        <w:rPr>
          <w:color w:val="000000" w:themeColor="text1"/>
        </w:rPr>
        <w:t>s</w:t>
      </w:r>
      <w:r w:rsidRPr="000F4AC1">
        <w:rPr>
          <w:color w:val="000000" w:themeColor="text1"/>
        </w:rPr>
        <w:t>?</w:t>
      </w:r>
    </w:p>
    <w:p w14:paraId="1D7F41F7" w14:textId="7CC87DF1" w:rsidR="001304F2" w:rsidRPr="000F4AC1" w:rsidRDefault="009341E0" w:rsidP="006A69F0">
      <w:pPr>
        <w:pStyle w:val="ListBullet"/>
        <w:numPr>
          <w:ilvl w:val="0"/>
          <w:numId w:val="14"/>
        </w:numPr>
        <w:spacing w:after="120" w:line="240" w:lineRule="auto"/>
        <w:contextualSpacing w:val="0"/>
        <w:rPr>
          <w:color w:val="000000" w:themeColor="text1"/>
        </w:rPr>
      </w:pPr>
      <w:r w:rsidRPr="000F4AC1">
        <w:rPr>
          <w:color w:val="000000" w:themeColor="text1"/>
        </w:rPr>
        <w:t>Wh</w:t>
      </w:r>
      <w:r w:rsidR="0020614E">
        <w:rPr>
          <w:color w:val="000000" w:themeColor="text1"/>
        </w:rPr>
        <w:t>ich</w:t>
      </w:r>
      <w:r w:rsidRPr="000F4AC1">
        <w:rPr>
          <w:color w:val="000000" w:themeColor="text1"/>
        </w:rPr>
        <w:t xml:space="preserve"> measures should States adopt to ensure effective protection, truth, justice, and reparation for victims and their relatives?</w:t>
      </w:r>
    </w:p>
    <w:p w14:paraId="36126990" w14:textId="077D2A30" w:rsidR="001304F2" w:rsidRPr="000F4AC1" w:rsidRDefault="009341E0" w:rsidP="006A69F0">
      <w:pPr>
        <w:pStyle w:val="ListBullet"/>
        <w:numPr>
          <w:ilvl w:val="0"/>
          <w:numId w:val="14"/>
        </w:numPr>
        <w:spacing w:after="120" w:line="240" w:lineRule="auto"/>
        <w:contextualSpacing w:val="0"/>
        <w:rPr>
          <w:color w:val="000000" w:themeColor="text1"/>
        </w:rPr>
      </w:pPr>
      <w:r w:rsidRPr="000F4AC1">
        <w:rPr>
          <w:color w:val="000000" w:themeColor="text1"/>
        </w:rPr>
        <w:t>How can international organizations such as INTERPO</w:t>
      </w:r>
      <w:r w:rsidR="005E5457">
        <w:rPr>
          <w:color w:val="000000" w:themeColor="text1"/>
        </w:rPr>
        <w:t>L</w:t>
      </w:r>
      <w:r w:rsidRPr="000F4AC1">
        <w:rPr>
          <w:color w:val="000000" w:themeColor="text1"/>
        </w:rPr>
        <w:t xml:space="preserve"> strengthen safeguards against misuse of their mechanisms?</w:t>
      </w:r>
    </w:p>
    <w:p w14:paraId="7B688211" w14:textId="77777777" w:rsidR="001304F2" w:rsidRDefault="009341E0" w:rsidP="006A69F0">
      <w:pPr>
        <w:pStyle w:val="ListBullet"/>
        <w:numPr>
          <w:ilvl w:val="0"/>
          <w:numId w:val="14"/>
        </w:numPr>
        <w:spacing w:after="120" w:line="240" w:lineRule="auto"/>
        <w:contextualSpacing w:val="0"/>
        <w:rPr>
          <w:color w:val="000000" w:themeColor="text1"/>
        </w:rPr>
      </w:pPr>
      <w:r w:rsidRPr="000F4AC1">
        <w:rPr>
          <w:color w:val="000000" w:themeColor="text1"/>
        </w:rPr>
        <w:t>Are there positive examples of domestic or international cooperation that have effectively prevented or addressed enforced disappearances in a transnational context?</w:t>
      </w:r>
    </w:p>
    <w:p w14:paraId="3643D480" w14:textId="415E0399" w:rsidR="00507CAF" w:rsidRPr="00507CAF" w:rsidRDefault="00323C66" w:rsidP="00E22FD5">
      <w:pPr>
        <w:pStyle w:val="ListBullet"/>
        <w:numPr>
          <w:ilvl w:val="0"/>
          <w:numId w:val="0"/>
        </w:numPr>
        <w:spacing w:after="120" w:line="240" w:lineRule="auto"/>
        <w:contextualSpacing w:val="0"/>
        <w:rPr>
          <w:color w:val="000000" w:themeColor="text1"/>
        </w:rPr>
      </w:pPr>
      <w:r>
        <w:rPr>
          <w:color w:val="000000" w:themeColor="text1"/>
        </w:rPr>
        <w:t>Interested partners</w:t>
      </w:r>
      <w:r w:rsidR="00122808">
        <w:rPr>
          <w:color w:val="000000" w:themeColor="text1"/>
        </w:rPr>
        <w:t xml:space="preserve"> are invited to take the following </w:t>
      </w:r>
      <w:r w:rsidR="00507CAF">
        <w:rPr>
          <w:color w:val="000000" w:themeColor="text1"/>
        </w:rPr>
        <w:t xml:space="preserve">points into account when </w:t>
      </w:r>
      <w:r w:rsidR="00E22FD5">
        <w:rPr>
          <w:color w:val="000000" w:themeColor="text1"/>
        </w:rPr>
        <w:t>preparing their contributions</w:t>
      </w:r>
      <w:r w:rsidR="00507CAF">
        <w:rPr>
          <w:color w:val="000000" w:themeColor="text1"/>
        </w:rPr>
        <w:t>:</w:t>
      </w:r>
    </w:p>
    <w:p w14:paraId="633C0811" w14:textId="77777777" w:rsidR="00507CAF" w:rsidRDefault="00507CAF" w:rsidP="00507CAF">
      <w:pPr>
        <w:numPr>
          <w:ilvl w:val="0"/>
          <w:numId w:val="15"/>
        </w:numPr>
        <w:spacing w:after="0" w:line="240" w:lineRule="auto"/>
        <w:rPr>
          <w:rFonts w:eastAsia="Times New Roman" w:cs="Times New Roman"/>
          <w:lang w:eastAsia="de-DE"/>
        </w:rPr>
      </w:pPr>
      <w:r w:rsidRPr="000F4AC1">
        <w:rPr>
          <w:rFonts w:eastAsia="Times New Roman" w:cs="Times New Roman"/>
          <w:lang w:eastAsia="de-DE"/>
        </w:rPr>
        <w:t xml:space="preserve">Input can relate both to the </w:t>
      </w:r>
      <w:r>
        <w:rPr>
          <w:rFonts w:eastAsia="Times New Roman" w:cs="Times New Roman"/>
          <w:lang w:eastAsia="de-DE"/>
        </w:rPr>
        <w:t xml:space="preserve">host </w:t>
      </w:r>
      <w:r w:rsidRPr="000F4AC1">
        <w:rPr>
          <w:rFonts w:eastAsia="Times New Roman" w:cs="Times New Roman"/>
          <w:lang w:eastAsia="de-DE"/>
        </w:rPr>
        <w:t xml:space="preserve">States where enforced disappearances in the context of </w:t>
      </w:r>
      <w:r>
        <w:rPr>
          <w:rFonts w:eastAsia="Times New Roman" w:cs="Times New Roman"/>
          <w:lang w:eastAsia="de-DE"/>
        </w:rPr>
        <w:t>trans</w:t>
      </w:r>
      <w:r w:rsidRPr="000F4AC1">
        <w:rPr>
          <w:rFonts w:eastAsia="Times New Roman" w:cs="Times New Roman"/>
          <w:lang w:eastAsia="de-DE"/>
        </w:rPr>
        <w:t xml:space="preserve">national repression are committed, and to those </w:t>
      </w:r>
      <w:r>
        <w:rPr>
          <w:rFonts w:eastAsia="Times New Roman" w:cs="Times New Roman"/>
          <w:lang w:eastAsia="de-DE"/>
        </w:rPr>
        <w:t xml:space="preserve">States </w:t>
      </w:r>
      <w:r w:rsidRPr="000F4AC1">
        <w:rPr>
          <w:rFonts w:eastAsia="Times New Roman" w:cs="Times New Roman"/>
          <w:lang w:eastAsia="de-DE"/>
        </w:rPr>
        <w:t>that have committed or allegedly committed such disappearances</w:t>
      </w:r>
      <w:r>
        <w:rPr>
          <w:rFonts w:eastAsia="Times New Roman" w:cs="Times New Roman"/>
          <w:lang w:eastAsia="de-DE"/>
        </w:rPr>
        <w:t xml:space="preserve"> across borders</w:t>
      </w:r>
      <w:r w:rsidRPr="000F4AC1">
        <w:rPr>
          <w:rFonts w:eastAsia="Times New Roman" w:cs="Times New Roman"/>
          <w:lang w:eastAsia="de-DE"/>
        </w:rPr>
        <w:t>.</w:t>
      </w:r>
      <w:r w:rsidRPr="006A69F0">
        <w:rPr>
          <w:rFonts w:eastAsia="Times New Roman" w:cs="Times New Roman"/>
          <w:lang w:eastAsia="de-DE"/>
        </w:rPr>
        <w:t xml:space="preserve"> </w:t>
      </w:r>
    </w:p>
    <w:p w14:paraId="110E5EA7" w14:textId="77777777" w:rsidR="00507CAF" w:rsidRPr="000F4AC1" w:rsidRDefault="00507CAF" w:rsidP="00507CAF">
      <w:pPr>
        <w:numPr>
          <w:ilvl w:val="0"/>
          <w:numId w:val="15"/>
        </w:numPr>
        <w:spacing w:after="480" w:line="240" w:lineRule="auto"/>
        <w:ind w:left="714" w:hanging="357"/>
        <w:rPr>
          <w:rFonts w:eastAsia="Times New Roman" w:cs="Times New Roman"/>
          <w:lang w:eastAsia="de-DE"/>
        </w:rPr>
      </w:pPr>
      <w:r w:rsidRPr="000F4AC1">
        <w:rPr>
          <w:rFonts w:eastAsia="Times New Roman" w:cs="Times New Roman"/>
          <w:lang w:eastAsia="de-DE"/>
        </w:rPr>
        <w:t>Contributions can address all or part of the questions.</w:t>
      </w:r>
    </w:p>
    <w:p w14:paraId="400FB948" w14:textId="77777777" w:rsidR="00507CAF" w:rsidRPr="000F4AC1" w:rsidRDefault="00507CAF" w:rsidP="00D51FA8">
      <w:pPr>
        <w:pStyle w:val="ListBullet"/>
        <w:numPr>
          <w:ilvl w:val="0"/>
          <w:numId w:val="0"/>
        </w:numPr>
        <w:spacing w:after="120" w:line="240" w:lineRule="auto"/>
        <w:ind w:left="360" w:hanging="360"/>
        <w:contextualSpacing w:val="0"/>
        <w:rPr>
          <w:color w:val="000000" w:themeColor="text1"/>
        </w:rPr>
      </w:pPr>
    </w:p>
    <w:p w14:paraId="7352AE53" w14:textId="4F726AE6" w:rsidR="001304F2" w:rsidRPr="00F43D2F" w:rsidRDefault="009341E0" w:rsidP="000F4AC1">
      <w:pPr>
        <w:pStyle w:val="Heading2"/>
        <w:spacing w:before="240" w:after="120" w:line="240" w:lineRule="auto"/>
        <w:rPr>
          <w:color w:val="000000" w:themeColor="text1"/>
        </w:rPr>
      </w:pPr>
      <w:r w:rsidRPr="00F43D2F">
        <w:rPr>
          <w:color w:val="000000" w:themeColor="text1"/>
        </w:rPr>
        <w:lastRenderedPageBreak/>
        <w:t xml:space="preserve">Submission of </w:t>
      </w:r>
      <w:r w:rsidR="00FF5146">
        <w:rPr>
          <w:color w:val="000000" w:themeColor="text1"/>
        </w:rPr>
        <w:t>c</w:t>
      </w:r>
      <w:r w:rsidRPr="00F43D2F">
        <w:rPr>
          <w:color w:val="000000" w:themeColor="text1"/>
        </w:rPr>
        <w:t>ontributions</w:t>
      </w:r>
    </w:p>
    <w:p w14:paraId="3C6F64B2" w14:textId="749832E7" w:rsidR="006A69F0" w:rsidRDefault="006A69F0" w:rsidP="006A69F0">
      <w:pPr>
        <w:pStyle w:val="ListParagraph"/>
        <w:numPr>
          <w:ilvl w:val="1"/>
          <w:numId w:val="14"/>
        </w:numPr>
        <w:spacing w:after="120" w:line="240" w:lineRule="auto"/>
        <w:rPr>
          <w:color w:val="000000" w:themeColor="text1"/>
        </w:rPr>
      </w:pPr>
      <w:r w:rsidRPr="006A69F0">
        <w:rPr>
          <w:color w:val="000000" w:themeColor="text1"/>
        </w:rPr>
        <w:t xml:space="preserve">Please send your input by </w:t>
      </w:r>
      <w:r w:rsidRPr="00AA54C9">
        <w:rPr>
          <w:b/>
          <w:bCs/>
          <w:color w:val="000000" w:themeColor="text1"/>
        </w:rPr>
        <w:t>31 January 2026</w:t>
      </w:r>
      <w:r w:rsidRPr="006A69F0">
        <w:rPr>
          <w:color w:val="000000" w:themeColor="text1"/>
        </w:rPr>
        <w:t xml:space="preserve"> to: </w:t>
      </w:r>
      <w:r w:rsidRPr="00A76304">
        <w:rPr>
          <w:color w:val="000000" w:themeColor="text1"/>
        </w:rPr>
        <w:t xml:space="preserve">ohchr-ced@un.org </w:t>
      </w:r>
      <w:r w:rsidRPr="006A69F0">
        <w:rPr>
          <w:color w:val="000000" w:themeColor="text1"/>
        </w:rPr>
        <w:t>with the</w:t>
      </w:r>
      <w:r>
        <w:rPr>
          <w:color w:val="000000" w:themeColor="text1"/>
        </w:rPr>
        <w:t xml:space="preserve"> following</w:t>
      </w:r>
      <w:r w:rsidRPr="006A69F0">
        <w:rPr>
          <w:color w:val="000000" w:themeColor="text1"/>
        </w:rPr>
        <w:t xml:space="preserve"> subject line: “Call for Inputs –</w:t>
      </w:r>
      <w:r w:rsidR="00AA54C9">
        <w:rPr>
          <w:color w:val="000000" w:themeColor="text1"/>
        </w:rPr>
        <w:t xml:space="preserve"> </w:t>
      </w:r>
      <w:r w:rsidRPr="006A69F0">
        <w:rPr>
          <w:color w:val="000000" w:themeColor="text1"/>
        </w:rPr>
        <w:t xml:space="preserve">Enforced </w:t>
      </w:r>
      <w:r w:rsidR="008E0311">
        <w:rPr>
          <w:color w:val="000000" w:themeColor="text1"/>
        </w:rPr>
        <w:t>d</w:t>
      </w:r>
      <w:r w:rsidRPr="006A69F0">
        <w:rPr>
          <w:color w:val="000000" w:themeColor="text1"/>
        </w:rPr>
        <w:t>isappearances</w:t>
      </w:r>
      <w:r>
        <w:rPr>
          <w:color w:val="000000" w:themeColor="text1"/>
        </w:rPr>
        <w:t xml:space="preserve"> in the context of transnational repression</w:t>
      </w:r>
      <w:r w:rsidRPr="006A69F0">
        <w:rPr>
          <w:color w:val="000000" w:themeColor="text1"/>
        </w:rPr>
        <w:t>”.</w:t>
      </w:r>
    </w:p>
    <w:p w14:paraId="7BADB3DA" w14:textId="07630A3E" w:rsidR="000F4AC1" w:rsidRPr="006A69F0" w:rsidRDefault="006A69F0" w:rsidP="006A69F0">
      <w:pPr>
        <w:pStyle w:val="ListParagraph"/>
        <w:numPr>
          <w:ilvl w:val="1"/>
          <w:numId w:val="14"/>
        </w:numPr>
        <w:spacing w:after="120" w:line="240" w:lineRule="auto"/>
        <w:rPr>
          <w:color w:val="000000" w:themeColor="text1"/>
        </w:rPr>
      </w:pPr>
      <w:r>
        <w:rPr>
          <w:color w:val="000000" w:themeColor="text1"/>
        </w:rPr>
        <w:t>I</w:t>
      </w:r>
      <w:r w:rsidR="009341E0" w:rsidRPr="006A69F0">
        <w:rPr>
          <w:color w:val="000000" w:themeColor="text1"/>
        </w:rPr>
        <w:t>nputs may be submitted in English, French, or Spanish.</w:t>
      </w:r>
    </w:p>
    <w:p w14:paraId="45F6926C" w14:textId="0009E499" w:rsidR="001304F2" w:rsidRPr="006A69F0" w:rsidRDefault="009341E0" w:rsidP="006A69F0">
      <w:pPr>
        <w:pStyle w:val="ListParagraph"/>
        <w:numPr>
          <w:ilvl w:val="1"/>
          <w:numId w:val="14"/>
        </w:numPr>
        <w:spacing w:after="120" w:line="240" w:lineRule="auto"/>
        <w:rPr>
          <w:color w:val="000000" w:themeColor="text1"/>
        </w:rPr>
      </w:pPr>
      <w:r w:rsidRPr="006A69F0">
        <w:rPr>
          <w:color w:val="000000" w:themeColor="text1"/>
        </w:rPr>
        <w:t xml:space="preserve">Contributions should not exceed </w:t>
      </w:r>
      <w:r w:rsidR="00733A87" w:rsidRPr="00A76304">
        <w:rPr>
          <w:color w:val="000000" w:themeColor="text1"/>
        </w:rPr>
        <w:t>7000</w:t>
      </w:r>
      <w:r w:rsidRPr="006A69F0">
        <w:rPr>
          <w:color w:val="000000" w:themeColor="text1"/>
        </w:rPr>
        <w:t xml:space="preserve"> words and may include relevant documentation, case studies, or recommendations.</w:t>
      </w:r>
    </w:p>
    <w:p w14:paraId="0A7E639F" w14:textId="1FE28A96" w:rsidR="000F4AC1" w:rsidRDefault="009341E0" w:rsidP="00324BE5">
      <w:pPr>
        <w:spacing w:after="120" w:line="240" w:lineRule="auto"/>
        <w:rPr>
          <w:color w:val="000000" w:themeColor="text1"/>
        </w:rPr>
      </w:pPr>
      <w:r w:rsidRPr="00F43D2F">
        <w:rPr>
          <w:color w:val="000000" w:themeColor="text1"/>
        </w:rPr>
        <w:t>Please do not hesitate to circulate this invitation widely.</w:t>
      </w:r>
    </w:p>
    <w:p w14:paraId="73635B69" w14:textId="77777777" w:rsidR="000F4AC1" w:rsidRDefault="009341E0" w:rsidP="00324BE5">
      <w:pPr>
        <w:spacing w:after="120" w:line="240" w:lineRule="auto"/>
        <w:rPr>
          <w:color w:val="000000" w:themeColor="text1"/>
        </w:rPr>
      </w:pPr>
      <w:r w:rsidRPr="00F43D2F">
        <w:rPr>
          <w:color w:val="000000" w:themeColor="text1"/>
        </w:rPr>
        <w:t>We look forward to receiving your contributions.</w:t>
      </w:r>
    </w:p>
    <w:p w14:paraId="1F5C2535" w14:textId="45B6C55A" w:rsidR="001304F2" w:rsidRPr="00F43D2F" w:rsidRDefault="009341E0" w:rsidP="00324BE5">
      <w:pPr>
        <w:spacing w:after="120" w:line="240" w:lineRule="auto"/>
        <w:rPr>
          <w:color w:val="000000" w:themeColor="text1"/>
        </w:rPr>
      </w:pPr>
      <w:r w:rsidRPr="00F43D2F">
        <w:rPr>
          <w:color w:val="000000" w:themeColor="text1"/>
        </w:rPr>
        <w:t>Committee on Enforced Disappearances (CED)</w:t>
      </w:r>
      <w:r w:rsidRPr="00F43D2F">
        <w:rPr>
          <w:color w:val="000000" w:themeColor="text1"/>
        </w:rPr>
        <w:br/>
        <w:t>Working Group on Enforced or Involuntary Disappearances (WGEID)</w:t>
      </w:r>
    </w:p>
    <w:sectPr w:rsidR="001304F2" w:rsidRPr="00F43D2F"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CCB62" w14:textId="77777777" w:rsidR="009D36F9" w:rsidRDefault="009D36F9" w:rsidP="00B101F8">
      <w:pPr>
        <w:spacing w:after="0" w:line="240" w:lineRule="auto"/>
      </w:pPr>
      <w:r>
        <w:separator/>
      </w:r>
    </w:p>
  </w:endnote>
  <w:endnote w:type="continuationSeparator" w:id="0">
    <w:p w14:paraId="32BABAFA" w14:textId="77777777" w:rsidR="009D36F9" w:rsidRDefault="009D36F9" w:rsidP="00B10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84305" w14:textId="77777777" w:rsidR="009D36F9" w:rsidRDefault="009D36F9" w:rsidP="00B101F8">
      <w:pPr>
        <w:spacing w:after="0" w:line="240" w:lineRule="auto"/>
      </w:pPr>
      <w:r>
        <w:separator/>
      </w:r>
    </w:p>
  </w:footnote>
  <w:footnote w:type="continuationSeparator" w:id="0">
    <w:p w14:paraId="58DC984A" w14:textId="77777777" w:rsidR="009D36F9" w:rsidRDefault="009D36F9" w:rsidP="00B101F8">
      <w:pPr>
        <w:spacing w:after="0" w:line="240" w:lineRule="auto"/>
      </w:pPr>
      <w:r>
        <w:continuationSeparator/>
      </w:r>
    </w:p>
  </w:footnote>
  <w:footnote w:id="1">
    <w:p w14:paraId="6249947F" w14:textId="32203913" w:rsidR="00E33713" w:rsidRPr="00E33713" w:rsidRDefault="00E33713">
      <w:pPr>
        <w:pStyle w:val="FootnoteText"/>
        <w:rPr>
          <w:lang w:val="de-DE"/>
        </w:rPr>
      </w:pPr>
      <w:r>
        <w:rPr>
          <w:rStyle w:val="FootnoteReference"/>
        </w:rPr>
        <w:footnoteRef/>
      </w:r>
      <w:r>
        <w:t xml:space="preserve"> </w:t>
      </w:r>
      <w:r w:rsidRPr="00E33713">
        <w:t>https://www.ohchr.org/en/documents/tools-and-resources/transnational-repression</w:t>
      </w:r>
    </w:p>
  </w:footnote>
  <w:footnote w:id="2">
    <w:p w14:paraId="4F11B299" w14:textId="7B9E4531" w:rsidR="00E33713" w:rsidRPr="00AC37D3" w:rsidRDefault="00E33713">
      <w:pPr>
        <w:pStyle w:val="FootnoteText"/>
      </w:pPr>
      <w:r>
        <w:rPr>
          <w:rStyle w:val="FootnoteReference"/>
        </w:rPr>
        <w:footnoteRef/>
      </w:r>
      <w:r>
        <w:t xml:space="preserve"> </w:t>
      </w:r>
      <w:r w:rsidR="00AC37D3">
        <w:t xml:space="preserve">See the chapter on </w:t>
      </w:r>
      <w:r w:rsidR="00AC37D3" w:rsidRPr="00AC37D3">
        <w:t>Enforced disappearances in the context of transnational transfers</w:t>
      </w:r>
      <w:r w:rsidR="00AC37D3">
        <w:t xml:space="preserve"> in the report of the Working Group </w:t>
      </w:r>
      <w:r w:rsidRPr="00AC37D3">
        <w:t>A/HRC/48/57</w:t>
      </w:r>
      <w:r w:rsidR="00AC37D3">
        <w:t>, 4 August 2021,</w:t>
      </w:r>
      <w:r w:rsidRPr="00AC37D3">
        <w:t xml:space="preserve"> paras. 38-60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9B00D76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A4AC4E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1D4CC8"/>
    <w:multiLevelType w:val="hybridMultilevel"/>
    <w:tmpl w:val="1B4EE402"/>
    <w:lvl w:ilvl="0" w:tplc="2000000B">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9C91E79"/>
    <w:multiLevelType w:val="multilevel"/>
    <w:tmpl w:val="9D10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FA64F4"/>
    <w:multiLevelType w:val="hybridMultilevel"/>
    <w:tmpl w:val="D3F26B4A"/>
    <w:lvl w:ilvl="0" w:tplc="04070003">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325780C"/>
    <w:multiLevelType w:val="hybridMultilevel"/>
    <w:tmpl w:val="640C929E"/>
    <w:lvl w:ilvl="0" w:tplc="2000000F">
      <w:start w:val="1"/>
      <w:numFmt w:val="decimal"/>
      <w:lvlText w:val="%1."/>
      <w:lvlJc w:val="left"/>
      <w:pPr>
        <w:ind w:left="720" w:hanging="360"/>
      </w:pPr>
    </w:lvl>
    <w:lvl w:ilvl="1" w:tplc="4B52EC06">
      <w:numFmt w:val="bullet"/>
      <w:lvlText w:val="•"/>
      <w:lvlJc w:val="left"/>
      <w:pPr>
        <w:ind w:left="1440" w:hanging="360"/>
      </w:pPr>
      <w:rPr>
        <w:rFonts w:ascii="Cambria" w:eastAsiaTheme="minorEastAsia" w:hAnsi="Cambria" w:cstheme="minorBidi"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39554AE"/>
    <w:multiLevelType w:val="hybridMultilevel"/>
    <w:tmpl w:val="443C32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C8B1417"/>
    <w:multiLevelType w:val="hybridMultilevel"/>
    <w:tmpl w:val="EA0C8908"/>
    <w:lvl w:ilvl="0" w:tplc="0F7EC82C">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06914618">
    <w:abstractNumId w:val="8"/>
  </w:num>
  <w:num w:numId="2" w16cid:durableId="1581017163">
    <w:abstractNumId w:val="6"/>
  </w:num>
  <w:num w:numId="3" w16cid:durableId="607011248">
    <w:abstractNumId w:val="5"/>
  </w:num>
  <w:num w:numId="4" w16cid:durableId="1376657363">
    <w:abstractNumId w:val="4"/>
  </w:num>
  <w:num w:numId="5" w16cid:durableId="250941631">
    <w:abstractNumId w:val="7"/>
  </w:num>
  <w:num w:numId="6" w16cid:durableId="947470705">
    <w:abstractNumId w:val="3"/>
  </w:num>
  <w:num w:numId="7" w16cid:durableId="1802263332">
    <w:abstractNumId w:val="2"/>
  </w:num>
  <w:num w:numId="8" w16cid:durableId="1189101702">
    <w:abstractNumId w:val="1"/>
  </w:num>
  <w:num w:numId="9" w16cid:durableId="1941444611">
    <w:abstractNumId w:val="0"/>
  </w:num>
  <w:num w:numId="10" w16cid:durableId="2124419538">
    <w:abstractNumId w:val="7"/>
  </w:num>
  <w:num w:numId="11" w16cid:durableId="314115767">
    <w:abstractNumId w:val="14"/>
  </w:num>
  <w:num w:numId="12" w16cid:durableId="2010600625">
    <w:abstractNumId w:val="10"/>
  </w:num>
  <w:num w:numId="13" w16cid:durableId="577666392">
    <w:abstractNumId w:val="11"/>
  </w:num>
  <w:num w:numId="14" w16cid:durableId="459422755">
    <w:abstractNumId w:val="12"/>
  </w:num>
  <w:num w:numId="15" w16cid:durableId="1390543047">
    <w:abstractNumId w:val="9"/>
  </w:num>
  <w:num w:numId="16" w16cid:durableId="14061480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856"/>
    <w:rsid w:val="000869D3"/>
    <w:rsid w:val="00090F47"/>
    <w:rsid w:val="000958F0"/>
    <w:rsid w:val="000A763C"/>
    <w:rsid w:val="000E0EB6"/>
    <w:rsid w:val="000E3FB2"/>
    <w:rsid w:val="000F4AC1"/>
    <w:rsid w:val="001177D6"/>
    <w:rsid w:val="00122808"/>
    <w:rsid w:val="001304F2"/>
    <w:rsid w:val="00142764"/>
    <w:rsid w:val="00145AF8"/>
    <w:rsid w:val="0015074B"/>
    <w:rsid w:val="0016331A"/>
    <w:rsid w:val="00190962"/>
    <w:rsid w:val="001B44C4"/>
    <w:rsid w:val="0020614E"/>
    <w:rsid w:val="00206FED"/>
    <w:rsid w:val="002141CD"/>
    <w:rsid w:val="00223B22"/>
    <w:rsid w:val="00224742"/>
    <w:rsid w:val="00283439"/>
    <w:rsid w:val="0029639D"/>
    <w:rsid w:val="00296EAB"/>
    <w:rsid w:val="002D48F0"/>
    <w:rsid w:val="00323C66"/>
    <w:rsid w:val="00324BE5"/>
    <w:rsid w:val="00326F90"/>
    <w:rsid w:val="00355A09"/>
    <w:rsid w:val="00375DD1"/>
    <w:rsid w:val="003B4097"/>
    <w:rsid w:val="003E1132"/>
    <w:rsid w:val="00407E2C"/>
    <w:rsid w:val="004119D4"/>
    <w:rsid w:val="00433695"/>
    <w:rsid w:val="00486179"/>
    <w:rsid w:val="004D5122"/>
    <w:rsid w:val="00507CAF"/>
    <w:rsid w:val="00551EA7"/>
    <w:rsid w:val="005620F4"/>
    <w:rsid w:val="00571501"/>
    <w:rsid w:val="00571AF1"/>
    <w:rsid w:val="005958B3"/>
    <w:rsid w:val="005E5457"/>
    <w:rsid w:val="005F2912"/>
    <w:rsid w:val="00600FD5"/>
    <w:rsid w:val="0069683A"/>
    <w:rsid w:val="006A69F0"/>
    <w:rsid w:val="006E7EA0"/>
    <w:rsid w:val="00710252"/>
    <w:rsid w:val="007272F1"/>
    <w:rsid w:val="00733A87"/>
    <w:rsid w:val="00751C87"/>
    <w:rsid w:val="00761AE2"/>
    <w:rsid w:val="0079119C"/>
    <w:rsid w:val="007A23AE"/>
    <w:rsid w:val="007F4288"/>
    <w:rsid w:val="00812265"/>
    <w:rsid w:val="008431C2"/>
    <w:rsid w:val="008974FC"/>
    <w:rsid w:val="008C2885"/>
    <w:rsid w:val="008E0311"/>
    <w:rsid w:val="008F2316"/>
    <w:rsid w:val="009115CA"/>
    <w:rsid w:val="009341E0"/>
    <w:rsid w:val="00954A62"/>
    <w:rsid w:val="00961E5C"/>
    <w:rsid w:val="00983628"/>
    <w:rsid w:val="00991709"/>
    <w:rsid w:val="009A7519"/>
    <w:rsid w:val="009D36F9"/>
    <w:rsid w:val="00A37A0A"/>
    <w:rsid w:val="00A71F81"/>
    <w:rsid w:val="00A76304"/>
    <w:rsid w:val="00A95F48"/>
    <w:rsid w:val="00AA1D8D"/>
    <w:rsid w:val="00AA54C9"/>
    <w:rsid w:val="00AC37D3"/>
    <w:rsid w:val="00AF568B"/>
    <w:rsid w:val="00B101F8"/>
    <w:rsid w:val="00B21377"/>
    <w:rsid w:val="00B47730"/>
    <w:rsid w:val="00B5343A"/>
    <w:rsid w:val="00B60F58"/>
    <w:rsid w:val="00BD0A3B"/>
    <w:rsid w:val="00BF7825"/>
    <w:rsid w:val="00C30E2F"/>
    <w:rsid w:val="00C97E27"/>
    <w:rsid w:val="00CA1DC2"/>
    <w:rsid w:val="00CB0664"/>
    <w:rsid w:val="00CC50EE"/>
    <w:rsid w:val="00D061CD"/>
    <w:rsid w:val="00D1615B"/>
    <w:rsid w:val="00D30688"/>
    <w:rsid w:val="00D51FA8"/>
    <w:rsid w:val="00D60468"/>
    <w:rsid w:val="00D7128A"/>
    <w:rsid w:val="00D832CD"/>
    <w:rsid w:val="00D97C4E"/>
    <w:rsid w:val="00DA2C10"/>
    <w:rsid w:val="00DB3689"/>
    <w:rsid w:val="00DD6EA2"/>
    <w:rsid w:val="00E22FD5"/>
    <w:rsid w:val="00E33713"/>
    <w:rsid w:val="00E35E41"/>
    <w:rsid w:val="00E77032"/>
    <w:rsid w:val="00E80E75"/>
    <w:rsid w:val="00EB17D9"/>
    <w:rsid w:val="00EC6C14"/>
    <w:rsid w:val="00ED2918"/>
    <w:rsid w:val="00ED50EE"/>
    <w:rsid w:val="00F11B3B"/>
    <w:rsid w:val="00F43D2F"/>
    <w:rsid w:val="00F44FFF"/>
    <w:rsid w:val="00FB6112"/>
    <w:rsid w:val="00FC693F"/>
    <w:rsid w:val="00FE0A55"/>
    <w:rsid w:val="00FF3407"/>
    <w:rsid w:val="00FF51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B2125B"/>
  <w14:defaultImageDpi w14:val="300"/>
  <w15:docId w15:val="{69B17A09-7C7F-3E44-A7BF-C5023ADB8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D30688"/>
    <w:rPr>
      <w:sz w:val="16"/>
      <w:szCs w:val="16"/>
    </w:rPr>
  </w:style>
  <w:style w:type="paragraph" w:styleId="CommentText">
    <w:name w:val="annotation text"/>
    <w:basedOn w:val="Normal"/>
    <w:link w:val="CommentTextChar"/>
    <w:uiPriority w:val="99"/>
    <w:unhideWhenUsed/>
    <w:rsid w:val="00D30688"/>
    <w:pPr>
      <w:spacing w:line="240" w:lineRule="auto"/>
    </w:pPr>
    <w:rPr>
      <w:sz w:val="20"/>
      <w:szCs w:val="20"/>
    </w:rPr>
  </w:style>
  <w:style w:type="character" w:customStyle="1" w:styleId="CommentTextChar">
    <w:name w:val="Comment Text Char"/>
    <w:basedOn w:val="DefaultParagraphFont"/>
    <w:link w:val="CommentText"/>
    <w:uiPriority w:val="99"/>
    <w:rsid w:val="00D30688"/>
    <w:rPr>
      <w:sz w:val="20"/>
      <w:szCs w:val="20"/>
    </w:rPr>
  </w:style>
  <w:style w:type="paragraph" w:styleId="CommentSubject">
    <w:name w:val="annotation subject"/>
    <w:basedOn w:val="CommentText"/>
    <w:next w:val="CommentText"/>
    <w:link w:val="CommentSubjectChar"/>
    <w:uiPriority w:val="99"/>
    <w:semiHidden/>
    <w:unhideWhenUsed/>
    <w:rsid w:val="00D30688"/>
    <w:rPr>
      <w:b/>
      <w:bCs/>
    </w:rPr>
  </w:style>
  <w:style w:type="character" w:customStyle="1" w:styleId="CommentSubjectChar">
    <w:name w:val="Comment Subject Char"/>
    <w:basedOn w:val="CommentTextChar"/>
    <w:link w:val="CommentSubject"/>
    <w:uiPriority w:val="99"/>
    <w:semiHidden/>
    <w:rsid w:val="00D30688"/>
    <w:rPr>
      <w:b/>
      <w:bCs/>
      <w:sz w:val="20"/>
      <w:szCs w:val="20"/>
    </w:rPr>
  </w:style>
  <w:style w:type="paragraph" w:styleId="Revision">
    <w:name w:val="Revision"/>
    <w:hidden/>
    <w:uiPriority w:val="99"/>
    <w:semiHidden/>
    <w:rsid w:val="008F2316"/>
    <w:pPr>
      <w:spacing w:after="0" w:line="240" w:lineRule="auto"/>
    </w:pPr>
  </w:style>
  <w:style w:type="paragraph" w:styleId="FootnoteText">
    <w:name w:val="footnote text"/>
    <w:basedOn w:val="Normal"/>
    <w:link w:val="FootnoteTextChar"/>
    <w:uiPriority w:val="99"/>
    <w:semiHidden/>
    <w:unhideWhenUsed/>
    <w:rsid w:val="00AF56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568B"/>
    <w:rPr>
      <w:sz w:val="20"/>
      <w:szCs w:val="20"/>
    </w:rPr>
  </w:style>
  <w:style w:type="character" w:styleId="FootnoteReference">
    <w:name w:val="footnote reference"/>
    <w:basedOn w:val="DefaultParagraphFont"/>
    <w:uiPriority w:val="99"/>
    <w:semiHidden/>
    <w:unhideWhenUsed/>
    <w:rsid w:val="00AF568B"/>
    <w:rPr>
      <w:vertAlign w:val="superscript"/>
    </w:rPr>
  </w:style>
  <w:style w:type="paragraph" w:styleId="NormalWeb">
    <w:name w:val="Normal (Web)"/>
    <w:basedOn w:val="Normal"/>
    <w:uiPriority w:val="99"/>
    <w:semiHidden/>
    <w:unhideWhenUsed/>
    <w:rsid w:val="00551EA7"/>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Hyperlink">
    <w:name w:val="Hyperlink"/>
    <w:basedOn w:val="DefaultParagraphFont"/>
    <w:uiPriority w:val="99"/>
    <w:unhideWhenUsed/>
    <w:rsid w:val="00E33713"/>
    <w:rPr>
      <w:color w:val="0000FF" w:themeColor="hyperlink"/>
      <w:u w:val="single"/>
    </w:rPr>
  </w:style>
  <w:style w:type="character" w:styleId="UnresolvedMention">
    <w:name w:val="Unresolved Mention"/>
    <w:basedOn w:val="DefaultParagraphFont"/>
    <w:uiPriority w:val="99"/>
    <w:semiHidden/>
    <w:unhideWhenUsed/>
    <w:rsid w:val="00E33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218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dccbb2689d99145df5fd74f46dd7be90">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9e96398efe826cd7f2928e816237a1f3"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F6823-A46E-4EA2-9DFA-93DE3EF6CFFB}">
  <ds:schemaRefs>
    <ds:schemaRef ds:uri="http://schemas.microsoft.com/office/2006/metadata/properties"/>
    <ds:schemaRef ds:uri="http://schemas.microsoft.com/office/infopath/2007/PartnerControls"/>
    <ds:schemaRef ds:uri="985ec44e-1bab-4c0b-9df0-6ba128686fc9"/>
    <ds:schemaRef ds:uri="11a6fe0c-d8de-4390-afb3-d9c7c54181f0"/>
    <ds:schemaRef ds:uri="8328ca42-2125-412e-803c-da962a6c2716"/>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9DB44244-1E46-48A3-84DA-7A450AC1891A}">
  <ds:schemaRefs>
    <ds:schemaRef ds:uri="http://schemas.microsoft.com/sharepoint/v3/contenttype/forms"/>
  </ds:schemaRefs>
</ds:datastoreItem>
</file>

<file path=customXml/itemProps4.xml><?xml version="1.0" encoding="utf-8"?>
<ds:datastoreItem xmlns:ds="http://schemas.openxmlformats.org/officeDocument/2006/customXml" ds:itemID="{74493581-53ED-4A3A-97BA-6A958CF19A09}"/>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910</Words>
  <Characters>5189</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6087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Perrine Deja</cp:lastModifiedBy>
  <cp:revision>15</cp:revision>
  <cp:lastPrinted>2025-11-03T13:37:00Z</cp:lastPrinted>
  <dcterms:created xsi:type="dcterms:W3CDTF">2025-11-19T13:41:00Z</dcterms:created>
  <dcterms:modified xsi:type="dcterms:W3CDTF">2025-11-19T15:23:00Z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ies>
</file>