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u w:val="single"/>
          <w:rtl w:val="0"/>
        </w:rPr>
        <w:t xml:space="preserve">Enforced disappearances in the context of transnational repression by the United Arab Emirates</w:t>
      </w: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02">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b w:val="1"/>
          <w:bCs w:val="1"/>
          <w:rtl w:val="0"/>
        </w:rPr>
        <w:t xml:space="preserve">How do enforced disappearance occur in the context of transnational repression, and which individuals are most at risk?</w:t>
      </w:r>
    </w:p>
    <w:p w:rsidR="00000000" w:rsidDel="00000000" w:rsidP="00000000" w:rsidRDefault="00000000" w:rsidRPr="00000000" w14:paraId="00000004">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Enforced disappearances as a tool of transnational repression</w:t>
      </w:r>
    </w:p>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context of transnational repression, enforced disappearances involving the United Arab Emirates (UAE) occur through the combination of cross-border security cooperation and the exploitation of legal and institutional gaps that allow individuals to be arbitrarily detained and removed from the protection of the law. UN human rights mechanisms and civil society organizations have documented a pattern in which UAE authorities rely on the cooperation or acquiescence of other States to arrest, detain or transfer individuals outside UAE territory, often without judicial oversight or due process guarantees (OHCHR, 2022; MENA Rights Group, 2022).</w:t>
      </w:r>
    </w:p>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practices typically involve arrests carried out abroad by foreign authorities, followed by informal renditions or transfers to the UAE. Upon return, individuals are frequently held in incommunicado detention by the State Security Apparatus (SSA), while authorities refuse to acknowledge their detention or disclose their whereabouts. The Working Group on Enforced or Involuntary Disappearances has found that such concealment of fate or location places individuals outside the protection of the law and constitutes enforced disappearance under international law (OHCHR, 2022).</w:t>
      </w:r>
    </w:p>
    <w:p w:rsidR="00000000" w:rsidDel="00000000" w:rsidP="00000000" w:rsidRDefault="00000000" w:rsidRPr="00000000" w14:paraId="0000000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recent example illustrating this pattern is the case of </w:t>
      </w:r>
      <w:r w:rsidDel="00000000" w:rsidR="00000000" w:rsidRPr="00000000">
        <w:rPr>
          <w:rFonts w:ascii="Times New Roman" w:cs="Times New Roman" w:eastAsia="Times New Roman" w:hAnsi="Times New Roman"/>
          <w:b w:val="1"/>
          <w:bCs w:val="1"/>
          <w:rtl w:val="0"/>
        </w:rPr>
        <w:t xml:space="preserve">Jasem Rashed Khalfan Rashed Al-Shamsi</w:t>
      </w:r>
      <w:r w:rsidDel="00000000" w:rsidR="00000000" w:rsidRPr="00000000">
        <w:rPr>
          <w:rFonts w:ascii="Times New Roman" w:cs="Times New Roman" w:eastAsia="Times New Roman" w:hAnsi="Times New Roman"/>
          <w:rtl w:val="0"/>
        </w:rPr>
        <w:t xml:space="preserve">, an Emirati dissident reportedly arrested in Syria in 2025 and subsequently disappeared following cooperation between Syrian authorities and UAE security services (MENA Rights Group, 2025). This case reflects a broader pattern of transnational repression whereby the UAE extends its reach beyond its borders to silence perceived political opponents. </w:t>
      </w:r>
    </w:p>
    <w:p w:rsidR="00000000" w:rsidDel="00000000" w:rsidP="00000000" w:rsidRDefault="00000000" w:rsidRPr="00000000" w14:paraId="0000000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Methods and patterns of disappearance</w:t>
      </w:r>
    </w:p>
    <w:p w:rsidR="00000000" w:rsidDel="00000000" w:rsidP="00000000" w:rsidRDefault="00000000" w:rsidRPr="00000000" w14:paraId="0000000D">
      <w:pPr>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Submission by civil society organizations to UN mechanisms describe consistent methods through which enforced disappearances are carried out by UAE authorities. Individuals are often arrested without warrants, denied access to lawyers and prevented from communicating with their families for months or even years. Detentions are frequently not officially registered and families are left without information regarding the fate or whereabouts of their relatives (MENA Rights Group, 2022; OHCHR, 2022)</w:t>
      </w:r>
      <w:r w:rsidDel="00000000" w:rsidR="00000000" w:rsidRPr="00000000">
        <w:rPr>
          <w:rFonts w:ascii="Times New Roman" w:cs="Times New Roman" w:eastAsia="Times New Roman" w:hAnsi="Times New Roman"/>
          <w:i w:val="1"/>
          <w:iCs w:val="1"/>
          <w:rtl w:val="0"/>
        </w:rPr>
        <w:t xml:space="preserve">.</w:t>
      </w:r>
    </w:p>
    <w:p w:rsidR="00000000" w:rsidDel="00000000" w:rsidP="00000000" w:rsidRDefault="00000000" w:rsidRPr="00000000" w14:paraId="0000000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practices are facilitated by vague national security allegations and counter-terrorism narratives, which are used to justify secret detention and prolonged isolation. According to MENA Rights Group, these methods are not exceptional but form a part of a widespread and systematic practice, including in cases with a transnational dimension (MENA, Rights Group, 2022).</w:t>
      </w:r>
    </w:p>
    <w:p w:rsidR="00000000" w:rsidDel="00000000" w:rsidP="00000000" w:rsidRDefault="00000000" w:rsidRPr="00000000" w14:paraId="0000001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Individual most at risk</w:t>
      </w:r>
    </w:p>
    <w:p w:rsidR="00000000" w:rsidDel="00000000" w:rsidP="00000000" w:rsidRDefault="00000000" w:rsidRPr="00000000" w14:paraId="0000001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most at risk of transnational enforced disappearance linked to the UAE include: government critics, political dissidents, human rights defenders, activists and individuals associated with opposition movements. Emirati nationals living abroad who engage in peaceful criticism of government policies or cooperate with international human rights mechanisms face a particularly high risk (MENA Rights Group, 2023). </w:t>
      </w:r>
    </w:p>
    <w:p w:rsidR="00000000" w:rsidDel="00000000" w:rsidP="00000000" w:rsidRDefault="00000000" w:rsidRPr="00000000" w14:paraId="00000013">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case of </w:t>
      </w:r>
      <w:r w:rsidDel="00000000" w:rsidR="00000000" w:rsidRPr="00000000">
        <w:rPr>
          <w:rFonts w:ascii="Times New Roman" w:cs="Times New Roman" w:eastAsia="Times New Roman" w:hAnsi="Times New Roman"/>
          <w:b w:val="1"/>
          <w:bCs w:val="1"/>
          <w:rtl w:val="0"/>
        </w:rPr>
        <w:t xml:space="preserve">Ahmed Mansoor</w:t>
      </w:r>
      <w:r w:rsidDel="00000000" w:rsidR="00000000" w:rsidRPr="00000000">
        <w:rPr>
          <w:rFonts w:ascii="Times New Roman" w:cs="Times New Roman" w:eastAsia="Times New Roman" w:hAnsi="Times New Roman"/>
          <w:rtl w:val="0"/>
        </w:rPr>
        <w:t xml:space="preserve">, one of the UAE’s most prominent human rights defenders, illustrates the broader pattern of repression against peaceful dissent. Although his arrest occurred domestically, his prolonged incommunicado detention, isolation and denial of contact with the outside world, demonstrates how enforced disappearance-like practices are used to silence critics (Human Rights Watch, 2021). Similar methods are employed in transnational cases, underscoring the continuity between domestic and extraterritorial repression. </w:t>
      </w:r>
    </w:p>
    <w:p w:rsidR="00000000" w:rsidDel="00000000" w:rsidP="00000000" w:rsidRDefault="00000000" w:rsidRPr="00000000" w14:paraId="00000015">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Which national, regional, or international laws, practices, or (bilateral) agreements contribute to or prevent such acts?</w:t>
      </w:r>
    </w:p>
    <w:p w:rsidR="00000000" w:rsidDel="00000000" w:rsidP="00000000" w:rsidRDefault="00000000" w:rsidRPr="00000000" w14:paraId="00000017">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Domestic legal framework enabling disappearances</w:t>
      </w:r>
    </w:p>
    <w:p w:rsidR="00000000" w:rsidDel="00000000" w:rsidP="00000000" w:rsidRDefault="00000000" w:rsidRPr="00000000" w14:paraId="0000001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existing legal framework in the UAE does not provide effective protection against enforced disappearance. On the contrary, domestic legislation - particularly counter-terrorism laws and broadly defined national security offences - grants security authorities sweeping powers of arrest and detention, enabling prolonged incommunicado detention and restrictions on access to legal counsel (MENA Rights Group, 2023; OHCHR, 2022).</w:t>
      </w:r>
    </w:p>
    <w:p w:rsidR="00000000" w:rsidDel="00000000" w:rsidP="00000000" w:rsidRDefault="00000000" w:rsidRPr="00000000" w14:paraId="0000001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laws are characterised by vague definitions and broad discretionary powers, allowing authorities to criminalize peaceful expression and association. UN mechanisms have repeatedly raised concerns that such legislation facilitates arbitrary detention and enforced disappearance by removing effective judicial oversight and procedural safeguards (OHCHR, 2022).</w:t>
      </w:r>
    </w:p>
    <w:p w:rsidR="00000000" w:rsidDel="00000000" w:rsidP="00000000" w:rsidRDefault="00000000" w:rsidRPr="00000000" w14:paraId="0000001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case of Ahmed Mansoor previously mentioned, demonstrates how national security legislation has been weaponized to punish peaceful dissent. He was convicted on charges related to his online expression and held for extended periods in isolation, conditions which Human Rights Watch has described as amounting to cruel, inhuman, or degrading treatment and closely linked to enforced disappearance-type practices (Human Rights Watch, 2021).</w:t>
      </w:r>
    </w:p>
    <w:p w:rsidR="00000000" w:rsidDel="00000000" w:rsidP="00000000" w:rsidRDefault="00000000" w:rsidRPr="00000000" w14:paraId="0000001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Security practices and bilateral cooperation</w:t>
      </w:r>
    </w:p>
    <w:p w:rsidR="00000000" w:rsidDel="00000000" w:rsidP="00000000" w:rsidRDefault="00000000" w:rsidRPr="00000000" w14:paraId="0000002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addition to domestic laws, security practices and bilateral cooperation agreements significantly contribute to the risk of enforced disappearance. Informal security cooperation, intelligence sharing and extradition-like practices, are often carried out without transparency or human rights safeguards. MENA Rights Group has documented how such cooperation enables the arrest and transfer of Emirati dissidents from third countries to the UAE, where they face secret detention (MENA Rights Group, 2022; MENA Rights Group, 2025).</w:t>
      </w:r>
    </w:p>
    <w:p w:rsidR="00000000" w:rsidDel="00000000" w:rsidP="00000000" w:rsidRDefault="00000000" w:rsidRPr="00000000" w14:paraId="0000002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arrangements are rarely subject to independent oversight or judicial review. In the absence of binding human rights conditions, they facilitate transnational repression and undermine international protections against enforced disappearance and arbitrary detention.</w:t>
      </w:r>
    </w:p>
    <w:p w:rsidR="00000000" w:rsidDel="00000000" w:rsidP="00000000" w:rsidRDefault="00000000" w:rsidRPr="00000000" w14:paraId="00000023">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Absence of effective international safeguards</w:t>
      </w:r>
    </w:p>
    <w:p w:rsidR="00000000" w:rsidDel="00000000" w:rsidP="00000000" w:rsidRDefault="00000000" w:rsidRPr="00000000" w14:paraId="0000002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the international level, the UAE has failed to effectively incorporate international human rights standards into domestic law. The Working Group on Enforced or Involuntary Disappearances has noted the absence of effective safeguards to prevent disappearance, including the lack of prompt judicial review, independent investigations and access to remedies (OHCHR, 2022).</w:t>
      </w:r>
    </w:p>
    <w:p w:rsidR="00000000" w:rsidDel="00000000" w:rsidP="00000000" w:rsidRDefault="00000000" w:rsidRPr="00000000" w14:paraId="0000002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Despite repeated communications from the UN mechanisms and detailed documentation by civil society organizations, these concerns have not resulted in meaningful legal reform or changes in practice, highlighting the persistent gap between international standards and their implementation in the UAE (MENA Rights Group, 2023).</w:t>
      </w:r>
    </w:p>
    <w:p w:rsidR="00000000" w:rsidDel="00000000" w:rsidP="00000000" w:rsidRDefault="00000000" w:rsidRPr="00000000" w14:paraId="0000002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Which mechanisms exist - or are lacking - to ensure investigation, prosecution, and mutual legal assistance in cases of transnational enforced disappearances?</w:t>
      </w:r>
    </w:p>
    <w:p w:rsidR="00000000" w:rsidDel="00000000" w:rsidP="00000000" w:rsidRDefault="00000000" w:rsidRPr="00000000" w14:paraId="0000002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Absence of independent investigative and prosecutorial mechanisms</w:t>
      </w:r>
    </w:p>
    <w:p w:rsidR="00000000" w:rsidDel="00000000" w:rsidP="00000000" w:rsidRDefault="00000000" w:rsidRPr="00000000" w14:paraId="0000002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is a systemic lack of independent and impartial mechanisms to investigate and prosecute cases of enforced disappearance in the UAE. The power is concentrated within the State Security Apparatus, which operates with minimal transparency and is effectively shielded from judicial or civilian oversight (MENA Rights Group, 2023; OHCHR, 2022).</w:t>
      </w:r>
    </w:p>
    <w:p w:rsidR="00000000" w:rsidDel="00000000" w:rsidP="00000000" w:rsidRDefault="00000000" w:rsidRPr="00000000" w14:paraId="0000002D">
      <w:pPr>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Courts lack independence in cases involving national security and prosecutors rarely initiate investigations into allegations against security officials. As a result, enforced disappearances - whether domestic or transnational - are not subject to credible investigation or prosecution, fostering a climate of impunity (OHCHR, 2022).</w:t>
      </w:r>
    </w:p>
    <w:p w:rsidR="00000000" w:rsidDel="00000000" w:rsidP="00000000" w:rsidRDefault="00000000" w:rsidRPr="00000000" w14:paraId="0000002F">
      <w:pPr>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0">
      <w:pPr>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Lack of remedies, reparations and access to justice</w:t>
      </w:r>
    </w:p>
    <w:p w:rsidR="00000000" w:rsidDel="00000000" w:rsidP="00000000" w:rsidRDefault="00000000" w:rsidRPr="00000000" w14:paraId="0000003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Victims of enforced disappearances and their families face a near-total</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rtl w:val="0"/>
        </w:rPr>
        <w:t xml:space="preserve">absence of effective remedies and reparations. There are no accessible complaint mechanisms, witness protection measures, or compensation schemes. Families seeking information about disappearance relatives are frequently ignored and intimidated, further obstructing access to justice (MENA Rights Group, 2022).</w:t>
      </w:r>
    </w:p>
    <w:p w:rsidR="00000000" w:rsidDel="00000000" w:rsidP="00000000" w:rsidRDefault="00000000" w:rsidRPr="00000000" w14:paraId="0000003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Working Group has emphasized that the absence of habeas corpus protections and the routine use of incommunicado detention prevent timely judicial review. Even when individuals reappear in custody, authorities fail to investigate the period of disappearance or hold those responsible to account (OHCHR, 2022).</w:t>
      </w:r>
    </w:p>
    <w:p w:rsidR="00000000" w:rsidDel="00000000" w:rsidP="00000000" w:rsidRDefault="00000000" w:rsidRPr="00000000" w14:paraId="0000003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Deficiencies in mutual legal assistance and international cooperation</w:t>
      </w:r>
    </w:p>
    <w:p w:rsidR="00000000" w:rsidDel="00000000" w:rsidP="00000000" w:rsidRDefault="00000000" w:rsidRPr="00000000" w14:paraId="0000003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transnational cases, mechanisms for mutual legal assistance are either ineffective or misused. International cooperation tends to prioritize security objectives over human rights protection, with little effort to investigate abuses or ensure accountability. As documented in the Al-Shamsi case, cooperation between States can facilitate disappearance rather than prevent it (MENA Rights Group, 2025).</w:t>
      </w:r>
    </w:p>
    <w:p w:rsidR="00000000" w:rsidDel="00000000" w:rsidP="00000000" w:rsidRDefault="00000000" w:rsidRPr="00000000" w14:paraId="00000037">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bodies and civil society organizations have consistently concluded that the UAE has failed to establish credible mechanisms to investigate, prosecute, or provide redress for enforced disappearances. The persistent lack of accountability enables the continuation of enforced disappearances in both domestic and transnational contexts (OHCHR, 2022; MENA Rights Group, 2023).   </w:t>
      </w:r>
    </w:p>
    <w:p w:rsidR="00000000" w:rsidDel="00000000" w:rsidP="00000000" w:rsidRDefault="00000000" w:rsidRPr="00000000" w14:paraId="0000003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Which measures should States adopt to ensure effective protection, truth, justice, and reparation for victims and their relatives?</w:t>
      </w:r>
    </w:p>
    <w:p w:rsidR="00000000" w:rsidDel="00000000" w:rsidP="00000000" w:rsidRDefault="00000000" w:rsidRPr="00000000" w14:paraId="0000003B">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C">
      <w:pPr>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Context. </w:t>
      </w:r>
      <w:r w:rsidDel="00000000" w:rsidR="00000000" w:rsidRPr="00000000">
        <w:rPr>
          <w:rFonts w:ascii="Times New Roman" w:cs="Times New Roman" w:eastAsia="Times New Roman" w:hAnsi="Times New Roman"/>
          <w:rtl w:val="0"/>
        </w:rPr>
        <w:t xml:space="preserve">In the UAE, state security authority is concentrated within the State Security Department (SSD) and the Supreme State Security Prosecution (SSSP). These agencies operate under the direct authority of the president of the UAE, in a highly centralized manner, to detain and prosecute individuals accused of offences relating to national security and counter-terrorism (MENA Rights Group, 2022). Their broad discretionary powers enable authorities to hold detainees incommunicado for extended periods with minimal transparency and limited oversight. This concentration of power creates structural conditions that facilitate arbitrary detention, enforced disappearance, and denial of remedies (Human Rights Watch, 2024). In light of this context, the UAE should adopt the following measures to ensure protection, truth, justice and reparation:</w:t>
      </w:r>
      <w:r w:rsidDel="00000000" w:rsidR="00000000" w:rsidRPr="00000000">
        <w:rPr>
          <w:rtl w:val="0"/>
        </w:rPr>
      </w:r>
    </w:p>
    <w:p w:rsidR="00000000" w:rsidDel="00000000" w:rsidP="00000000" w:rsidRDefault="00000000" w:rsidRPr="00000000" w14:paraId="0000003D">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(I) Establish Independent and Effective Oversight Mechanisms</w:t>
      </w:r>
    </w:p>
    <w:p w:rsidR="00000000" w:rsidDel="00000000" w:rsidP="00000000" w:rsidRDefault="00000000" w:rsidRPr="00000000" w14:paraId="0000003E">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UAE should establish independent and functionally autonomous oversight mechanisms capable of scrutinizing the conduct of the State Security Apparatus at all stages of arrest, detention, and prosecution. Judicial review, parliamentary scrutiny, civilian inspection bodies, and national human rights mechanisms should be legally empowered, adequately resourced, and granted unrestricted access to places of detention operated by or associated with State Security. </w:t>
      </w:r>
    </w:p>
    <w:p w:rsidR="00000000" w:rsidDel="00000000" w:rsidP="00000000" w:rsidRDefault="00000000" w:rsidRPr="00000000" w14:paraId="0000003F">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example, national oversight bodies should have the authority to access case files and detention registers, and receive complaints from detainees or relatives. In the absence of such independent oversight, opaque state security operations will continue to obstruct accountability and prevent early detection of enforced disappearance in the UAE.</w:t>
      </w:r>
    </w:p>
    <w:p w:rsidR="00000000" w:rsidDel="00000000" w:rsidP="00000000" w:rsidRDefault="00000000" w:rsidRPr="00000000" w14:paraId="00000040">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(II) Ensure Legal Regulation and Accountability for the State Security Apparatus</w:t>
      </w:r>
    </w:p>
    <w:p w:rsidR="00000000" w:rsidDel="00000000" w:rsidP="00000000" w:rsidRDefault="00000000" w:rsidRPr="00000000" w14:paraId="00000041">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counterbalance the State Security Apparatus’ concentration of power, the UAE should clearly define and limit the operational scope of its agencies, including the SSD and the SSSP. This information should be made publicly accessible and enforceable to ensure legal clarity and  accountability. </w:t>
      </w:r>
    </w:p>
    <w:p w:rsidR="00000000" w:rsidDel="00000000" w:rsidP="00000000" w:rsidRDefault="00000000" w:rsidRPr="00000000" w14:paraId="00000042">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example, laws governing state security should be amended to explicitly prohibit secret detention and require immediate registration of all detainees. Prompt access to legal counsel and family contact should be guaranteed. To ensure accountability, discretionary powers relating to the arrest and detention of suspects should be subject to strict judicial authorization and periodic review by independent authorities.</w:t>
      </w:r>
    </w:p>
    <w:p w:rsidR="00000000" w:rsidDel="00000000" w:rsidP="00000000" w:rsidRDefault="00000000" w:rsidRPr="00000000" w14:paraId="00000043">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(III) Guarantee Prompt and Impartial Investigations</w:t>
      </w:r>
    </w:p>
    <w:p w:rsidR="00000000" w:rsidDel="00000000" w:rsidP="00000000" w:rsidRDefault="00000000" w:rsidRPr="00000000" w14:paraId="00000044">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UAE should ensure that any allegation of enforced disappearance should immediately trigger an impartial investigation. Investigative bodies should be granted full access to detention facilities and records, while being institutionally independent from the State Security Apparatus. </w:t>
      </w:r>
    </w:p>
    <w:p w:rsidR="00000000" w:rsidDel="00000000" w:rsidP="00000000" w:rsidRDefault="00000000" w:rsidRPr="00000000" w14:paraId="00000045">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Investigations should prioritize establishing the whereabouts of the disappeared person, protect the victim,  and keep relatives informed. Without proper investigations, victims and families are denied their right to justice and truth.</w:t>
      </w:r>
    </w:p>
    <w:p w:rsidR="00000000" w:rsidDel="00000000" w:rsidP="00000000" w:rsidRDefault="00000000" w:rsidRPr="00000000" w14:paraId="00000046">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(IV) Ratify the International Convention for the Protection of All Persons from Enforced Disappearance </w:t>
      </w:r>
    </w:p>
    <w:p w:rsidR="00000000" w:rsidDel="00000000" w:rsidP="00000000" w:rsidRDefault="00000000" w:rsidRPr="00000000" w14:paraId="00000047">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UAE should ratify the International Convention for the Protection of All Persons from Enforced Disappearance (ICPPED) to align its domestic legislation with international standards. Ratification would require the criminalization of enforced disappearance as an autonomous offence, the establishment of effective mechanisms, and recognition of the victims’ rights to truth, justice, reparation and non-recurrence. </w:t>
      </w:r>
    </w:p>
    <w:p w:rsidR="00000000" w:rsidDel="00000000" w:rsidP="00000000" w:rsidRDefault="00000000" w:rsidRPr="00000000" w14:paraId="00000048">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(V) Implement the UN Declaration on the Protection of All Persons from Enforced Disappearance</w:t>
      </w:r>
    </w:p>
    <w:p w:rsidR="00000000" w:rsidDel="00000000" w:rsidP="00000000" w:rsidRDefault="00000000" w:rsidRPr="00000000" w14:paraId="00000049">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UAE should implement the principles of the UN Declaration on the Protection of All Persons from Enforced Disappearance through legislative and institutional reforms. This includes ensuring that no national security consideration is invoked to justify enforced disappearance.</w:t>
      </w:r>
    </w:p>
    <w:p w:rsidR="00000000" w:rsidDel="00000000" w:rsidP="00000000" w:rsidRDefault="00000000" w:rsidRPr="00000000" w14:paraId="0000004A">
      <w:pPr>
        <w:spacing w:after="240"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How can international organizations such as INTERPOL strengthen safeguards against misuse of their mechanisms?</w:t>
      </w:r>
    </w:p>
    <w:p w:rsidR="00000000" w:rsidDel="00000000" w:rsidP="00000000" w:rsidRDefault="00000000" w:rsidRPr="00000000" w14:paraId="0000004B">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UAE, there is documented concern that international cooperation mechanisms, such as INTERPOL notices and extradition requests, have been misused to target political dissidents (Human Rights Watch, 2024). To prevent such abuses, international organizations should implement robust human rights safeguards and due diligence processes, such as:</w:t>
      </w:r>
    </w:p>
    <w:p w:rsidR="00000000" w:rsidDel="00000000" w:rsidP="00000000" w:rsidRDefault="00000000" w:rsidRPr="00000000" w14:paraId="0000004C">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(I) Rigorous Review of Red Notices and Diffusions</w:t>
      </w:r>
    </w:p>
    <w:p w:rsidR="00000000" w:rsidDel="00000000" w:rsidP="00000000" w:rsidRDefault="00000000" w:rsidRPr="00000000" w14:paraId="0000004D">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Given the credible risk of political motivation and enforced disappearance, all red notices and diffusions should be subject to strict human rights screenings. This could be done by establishing a dedicated ‘Human Rights Screening Unit’ reporting to the Commission for the Control of Files (CCF). Requests made by states whose abusive practices are known and documented, such as the UAE, should be automatically flagged for review. </w:t>
      </w:r>
    </w:p>
    <w:p w:rsidR="00000000" w:rsidDel="00000000" w:rsidP="00000000" w:rsidRDefault="00000000" w:rsidRPr="00000000" w14:paraId="0000004E">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review should evaluate a series of factors, such as political motivation, prior patterns of abuse, potential for enforced disappearance and torture, denial of fair trial. Requests deemed to be high risk should be suspended or blocked until independent verification is obtained. </w:t>
      </w:r>
    </w:p>
    <w:p w:rsidR="00000000" w:rsidDel="00000000" w:rsidP="00000000" w:rsidRDefault="00000000" w:rsidRPr="00000000" w14:paraId="0000004F">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Individuals targeted should be notified and allowed to challenge the notice before its enforcement. For example, INTERPOL could request submissions of objections to show that their case is politically motivated, with the CCF able to halt enforcement pending review.</w:t>
      </w:r>
    </w:p>
    <w:p w:rsidR="00000000" w:rsidDel="00000000" w:rsidP="00000000" w:rsidRDefault="00000000" w:rsidRPr="00000000" w14:paraId="00000050">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INTERPOL should require the CCF to issue regular public reports summarizing patterns of abuse, actions taken, and outcomes of reviews in order to ensure transparency and accountability of States.</w:t>
      </w:r>
    </w:p>
    <w:p w:rsidR="00000000" w:rsidDel="00000000" w:rsidP="00000000" w:rsidRDefault="00000000" w:rsidRPr="00000000" w14:paraId="00000051">
      <w:pPr>
        <w:spacing w:after="240" w:befor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(II) Training and Guidelines for Member States</w:t>
      </w:r>
    </w:p>
    <w:p w:rsidR="00000000" w:rsidDel="00000000" w:rsidP="00000000" w:rsidRDefault="00000000" w:rsidRPr="00000000" w14:paraId="00000053">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International organizations such as INTERPOL should implement mandatory, standardized training programmes for officials. This could include training authorities to (a) recognize indicators of politically motivated requests from UAE authorities, especially in cases that involve journalists and human right defenders; (b) require authorities to maintain detailed records of decision-making processes, including the rationale for accepting or rejecting a request; (c) ensure officials apply international human rights obligations under treaties such as the ICCPR.</w:t>
      </w:r>
    </w:p>
    <w:p w:rsidR="00000000" w:rsidDel="00000000" w:rsidP="00000000" w:rsidRDefault="00000000" w:rsidRPr="00000000" w14:paraId="00000054">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reforms would create a rights-based safeguard against the use of INTERPOL mechanisms to facilitate politically motivated extradition and enforced disappearance by UAE authorities.</w:t>
      </w:r>
    </w:p>
    <w:p w:rsidR="00000000" w:rsidDel="00000000" w:rsidP="00000000" w:rsidRDefault="00000000" w:rsidRPr="00000000" w14:paraId="00000055">
      <w:pPr>
        <w:spacing w:after="240"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Are there positive examples of domestic or international cooperation that have effectively prevented or addressed enforced disappearances in a transnational context?</w:t>
      </w:r>
    </w:p>
    <w:p w:rsidR="00000000" w:rsidDel="00000000" w:rsidP="00000000" w:rsidRDefault="00000000" w:rsidRPr="00000000" w14:paraId="00000056">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context of the UAE, positive examples of cooperation to prevent enforced disappearance are scarce, if not non-existent, reflecting the constraints within the country’s state security and judicial framework. Existing international mechanisms have issued multiple recommendations urging the UAE to strengthen safeguards, investigate allegations of disappearance, and provide remedies to victims. The implementation of these has been minimal, highlighting persistent gaps in accountability and protection. </w:t>
      </w:r>
    </w:p>
    <w:p w:rsidR="00000000" w:rsidDel="00000000" w:rsidP="00000000" w:rsidRDefault="00000000" w:rsidRPr="00000000" w14:paraId="00000057">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a transnational level, cases of international scrutiny such as interventions by UN experts may have temporarily prevented targeted extraditions to the UAE. However, these efforts are reactive rather than systematic, and their effectiveness depends  on cooperation of third states. This shortcoming emphasizes the urgent need for stronger preventative measures, such as the ones outlined in the present input.</w:t>
      </w:r>
    </w:p>
    <w:p w:rsidR="00000000" w:rsidDel="00000000" w:rsidP="00000000" w:rsidRDefault="00000000" w:rsidRPr="00000000" w14:paraId="0000005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F">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0">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1">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2">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3">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4">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5">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6">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7">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8">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9">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A">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B">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Sources consulted</w:t>
      </w:r>
    </w:p>
    <w:p w:rsidR="00000000" w:rsidDel="00000000" w:rsidP="00000000" w:rsidRDefault="00000000" w:rsidRPr="00000000" w14:paraId="0000006C">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D">
      <w:pPr>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Human Rights Watch. </w:t>
      </w:r>
      <w:r w:rsidDel="00000000" w:rsidR="00000000" w:rsidRPr="00000000">
        <w:rPr>
          <w:rFonts w:ascii="Times New Roman" w:cs="Times New Roman" w:eastAsia="Times New Roman" w:hAnsi="Times New Roman"/>
          <w:i w:val="1"/>
          <w:iCs w:val="1"/>
          <w:sz w:val="20"/>
          <w:szCs w:val="20"/>
          <w:rtl w:val="0"/>
        </w:rPr>
        <w:t xml:space="preserve">Fifty Years Since Establishment, UAE State Security Apparatus Should End Widespread Abuses of Emiratis’ Fundamental Rights</w:t>
      </w:r>
      <w:r w:rsidDel="00000000" w:rsidR="00000000" w:rsidRPr="00000000">
        <w:rPr>
          <w:rFonts w:ascii="Times New Roman" w:cs="Times New Roman" w:eastAsia="Times New Roman" w:hAnsi="Times New Roman"/>
          <w:sz w:val="20"/>
          <w:szCs w:val="20"/>
          <w:rtl w:val="0"/>
        </w:rPr>
        <w:t xml:space="preserve">. 10 June 2024. </w:t>
      </w:r>
      <w:hyperlink r:id="rId6">
        <w:r w:rsidDel="00000000" w:rsidR="00000000" w:rsidRPr="00000000">
          <w:rPr>
            <w:rFonts w:ascii="Times New Roman" w:cs="Times New Roman" w:eastAsia="Times New Roman" w:hAnsi="Times New Roman"/>
            <w:color w:val="1155cc"/>
            <w:sz w:val="20"/>
            <w:szCs w:val="20"/>
            <w:u w:val="single"/>
            <w:rtl w:val="0"/>
          </w:rPr>
          <w:t xml:space="preserve">https://www.hrw.org/news/2024/06/10/fifty-years-establishment-uae-state-security-apparatus-should-end-widespread-abuses</w:t>
        </w:r>
      </w:hyperlink>
      <w:r w:rsidDel="00000000" w:rsidR="00000000" w:rsidRPr="00000000">
        <w:rPr>
          <w:rtl w:val="0"/>
        </w:rPr>
      </w:r>
    </w:p>
    <w:p w:rsidR="00000000" w:rsidDel="00000000" w:rsidP="00000000" w:rsidRDefault="00000000" w:rsidRPr="00000000" w14:paraId="0000006E">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F">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Human Rights Watch. </w:t>
      </w:r>
      <w:r w:rsidDel="00000000" w:rsidR="00000000" w:rsidRPr="00000000">
        <w:rPr>
          <w:rFonts w:ascii="Times New Roman" w:cs="Times New Roman" w:eastAsia="Times New Roman" w:hAnsi="Times New Roman"/>
          <w:i w:val="1"/>
          <w:iCs w:val="1"/>
          <w:sz w:val="20"/>
          <w:szCs w:val="20"/>
          <w:rtl w:val="0"/>
        </w:rPr>
        <w:t xml:space="preserve">The Persecution of Ahmed Mansoor. </w:t>
      </w:r>
      <w:r w:rsidDel="00000000" w:rsidR="00000000" w:rsidRPr="00000000">
        <w:rPr>
          <w:rFonts w:ascii="Times New Roman" w:cs="Times New Roman" w:eastAsia="Times New Roman" w:hAnsi="Times New Roman"/>
          <w:sz w:val="20"/>
          <w:szCs w:val="20"/>
          <w:rtl w:val="0"/>
        </w:rPr>
        <w:t xml:space="preserve">2021. </w:t>
      </w:r>
      <w:hyperlink r:id="rId7">
        <w:r w:rsidDel="00000000" w:rsidR="00000000" w:rsidRPr="00000000">
          <w:rPr>
            <w:rFonts w:ascii="Times New Roman" w:cs="Times New Roman" w:eastAsia="Times New Roman" w:hAnsi="Times New Roman"/>
            <w:color w:val="1155cc"/>
            <w:sz w:val="20"/>
            <w:szCs w:val="20"/>
            <w:u w:val="single"/>
            <w:rtl w:val="0"/>
          </w:rPr>
          <w:t xml:space="preserve">https://www.hrw.org/report/2021/01/27/persecution-ahmed-mansoor/how-united-arab-emirates-silenced-its-most-famous-human</w:t>
        </w:r>
      </w:hyperlink>
      <w:r w:rsidDel="00000000" w:rsidR="00000000" w:rsidRPr="00000000">
        <w:rPr>
          <w:rtl w:val="0"/>
        </w:rPr>
      </w:r>
    </w:p>
    <w:p w:rsidR="00000000" w:rsidDel="00000000" w:rsidP="00000000" w:rsidRDefault="00000000" w:rsidRPr="00000000" w14:paraId="00000070">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1">
      <w:pPr>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MENA Rights Group. </w:t>
      </w:r>
      <w:r w:rsidDel="00000000" w:rsidR="00000000" w:rsidRPr="00000000">
        <w:rPr>
          <w:rFonts w:ascii="Times New Roman" w:cs="Times New Roman" w:eastAsia="Times New Roman" w:hAnsi="Times New Roman"/>
          <w:i w:val="1"/>
          <w:iCs w:val="1"/>
          <w:sz w:val="20"/>
          <w:szCs w:val="20"/>
          <w:rtl w:val="0"/>
        </w:rPr>
        <w:t xml:space="preserve">Emirati dissident and member of the “UAE94” and “UAE84” arrested in Syria.</w:t>
      </w:r>
      <w:r w:rsidDel="00000000" w:rsidR="00000000" w:rsidRPr="00000000">
        <w:rPr>
          <w:rFonts w:ascii="Times New Roman" w:cs="Times New Roman" w:eastAsia="Times New Roman" w:hAnsi="Times New Roman"/>
          <w:sz w:val="20"/>
          <w:szCs w:val="20"/>
          <w:rtl w:val="0"/>
        </w:rPr>
        <w:t xml:space="preserve"> 2025. </w:t>
      </w:r>
      <w:hyperlink r:id="rId8">
        <w:r w:rsidDel="00000000" w:rsidR="00000000" w:rsidRPr="00000000">
          <w:rPr>
            <w:rFonts w:ascii="Times New Roman" w:cs="Times New Roman" w:eastAsia="Times New Roman" w:hAnsi="Times New Roman"/>
            <w:color w:val="1155cc"/>
            <w:sz w:val="20"/>
            <w:szCs w:val="20"/>
            <w:u w:val="single"/>
            <w:rtl w:val="0"/>
          </w:rPr>
          <w:t xml:space="preserve">https://www.menarights.org/en/case/jasem-rashed-khalfan-rashed-al-shamsi</w:t>
        </w:r>
      </w:hyperlink>
      <w:r w:rsidDel="00000000" w:rsidR="00000000" w:rsidRPr="00000000">
        <w:rPr>
          <w:rtl w:val="0"/>
        </w:rPr>
      </w:r>
    </w:p>
    <w:p w:rsidR="00000000" w:rsidDel="00000000" w:rsidP="00000000" w:rsidRDefault="00000000" w:rsidRPr="00000000" w14:paraId="00000072">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3">
      <w:pPr>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MENA Rights Group. </w:t>
      </w:r>
      <w:r w:rsidDel="00000000" w:rsidR="00000000" w:rsidRPr="00000000">
        <w:rPr>
          <w:rFonts w:ascii="Times New Roman" w:cs="Times New Roman" w:eastAsia="Times New Roman" w:hAnsi="Times New Roman"/>
          <w:i w:val="1"/>
          <w:iCs w:val="1"/>
          <w:sz w:val="20"/>
          <w:szCs w:val="20"/>
          <w:rtl w:val="0"/>
        </w:rPr>
        <w:t xml:space="preserve">MENA Rights Group highlights widespread practice of enforced disappearance in the United Arab Emirates in general allegation to the UN.</w:t>
      </w:r>
      <w:r w:rsidDel="00000000" w:rsidR="00000000" w:rsidRPr="00000000">
        <w:rPr>
          <w:rFonts w:ascii="Times New Roman" w:cs="Times New Roman" w:eastAsia="Times New Roman" w:hAnsi="Times New Roman"/>
          <w:sz w:val="20"/>
          <w:szCs w:val="20"/>
          <w:rtl w:val="0"/>
        </w:rPr>
        <w:t xml:space="preserve"> 2022. </w:t>
      </w:r>
      <w:hyperlink r:id="rId9">
        <w:r w:rsidDel="00000000" w:rsidR="00000000" w:rsidRPr="00000000">
          <w:rPr>
            <w:rFonts w:ascii="Times New Roman" w:cs="Times New Roman" w:eastAsia="Times New Roman" w:hAnsi="Times New Roman"/>
            <w:color w:val="1155cc"/>
            <w:sz w:val="20"/>
            <w:szCs w:val="20"/>
            <w:u w:val="single"/>
            <w:rtl w:val="0"/>
          </w:rPr>
          <w:t xml:space="preserve">https://menarights.org/en/articles/mena-rights-group-highlights-widespread-practice-enforced-disappearance-united-arab</w:t>
        </w:r>
      </w:hyperlink>
      <w:r w:rsidDel="00000000" w:rsidR="00000000" w:rsidRPr="00000000">
        <w:rPr>
          <w:rtl w:val="0"/>
        </w:rPr>
      </w:r>
    </w:p>
    <w:p w:rsidR="00000000" w:rsidDel="00000000" w:rsidP="00000000" w:rsidRDefault="00000000" w:rsidRPr="00000000" w14:paraId="00000074">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5">
      <w:pPr>
        <w:spacing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sz w:val="20"/>
          <w:szCs w:val="20"/>
          <w:rtl w:val="0"/>
        </w:rPr>
        <w:t xml:space="preserve">MENA Rights Group. </w:t>
      </w:r>
      <w:r w:rsidDel="00000000" w:rsidR="00000000" w:rsidRPr="00000000">
        <w:rPr>
          <w:rFonts w:ascii="Times New Roman" w:cs="Times New Roman" w:eastAsia="Times New Roman" w:hAnsi="Times New Roman"/>
          <w:i w:val="1"/>
          <w:iCs w:val="1"/>
          <w:sz w:val="20"/>
          <w:szCs w:val="20"/>
          <w:rtl w:val="0"/>
        </w:rPr>
        <w:t xml:space="preserve">The UAE State Security Apparatus: A Tool of Repression Against Dissenting Voices. </w:t>
      </w:r>
      <w:r w:rsidDel="00000000" w:rsidR="00000000" w:rsidRPr="00000000">
        <w:rPr>
          <w:rFonts w:ascii="Times New Roman" w:cs="Times New Roman" w:eastAsia="Times New Roman" w:hAnsi="Times New Roman"/>
          <w:sz w:val="20"/>
          <w:szCs w:val="20"/>
          <w:rtl w:val="0"/>
        </w:rPr>
        <w:t xml:space="preserve">December 2022. </w:t>
      </w:r>
      <w:hyperlink r:id="rId10">
        <w:r w:rsidDel="00000000" w:rsidR="00000000" w:rsidRPr="00000000">
          <w:rPr>
            <w:rFonts w:ascii="Times New Roman" w:cs="Times New Roman" w:eastAsia="Times New Roman" w:hAnsi="Times New Roman"/>
            <w:color w:val="1155cc"/>
            <w:sz w:val="20"/>
            <w:szCs w:val="20"/>
            <w:u w:val="single"/>
            <w:rtl w:val="0"/>
          </w:rPr>
          <w:t xml:space="preserve">https://www.menarights.org/en/documents/uae-state-security-apparatus-tool-repression-against-dissenting-voices</w:t>
        </w:r>
      </w:hyperlink>
      <w:r w:rsidDel="00000000" w:rsidR="00000000" w:rsidRPr="00000000">
        <w:rPr>
          <w:rtl w:val="0"/>
        </w:rPr>
      </w:r>
    </w:p>
    <w:p w:rsidR="00000000" w:rsidDel="00000000" w:rsidP="00000000" w:rsidRDefault="00000000" w:rsidRPr="00000000" w14:paraId="00000076">
      <w:pPr>
        <w:spacing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7">
      <w:pPr>
        <w:spacing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sz w:val="20"/>
          <w:szCs w:val="20"/>
          <w:rtl w:val="0"/>
        </w:rPr>
        <w:t xml:space="preserve">MENA Rights Group.</w:t>
      </w:r>
      <w:r w:rsidDel="00000000" w:rsidR="00000000" w:rsidRPr="00000000">
        <w:rPr>
          <w:rFonts w:ascii="Times New Roman" w:cs="Times New Roman" w:eastAsia="Times New Roman" w:hAnsi="Times New Roman"/>
          <w:i w:val="1"/>
          <w:iCs w:val="1"/>
          <w:sz w:val="20"/>
          <w:szCs w:val="20"/>
          <w:rtl w:val="0"/>
        </w:rPr>
        <w:t xml:space="preserve"> UN Group questions United Arab Emirates on pattern of enforced disappearances in the country. </w:t>
      </w:r>
      <w:r w:rsidDel="00000000" w:rsidR="00000000" w:rsidRPr="00000000">
        <w:rPr>
          <w:rFonts w:ascii="Times New Roman" w:cs="Times New Roman" w:eastAsia="Times New Roman" w:hAnsi="Times New Roman"/>
          <w:sz w:val="20"/>
          <w:szCs w:val="20"/>
          <w:rtl w:val="0"/>
        </w:rPr>
        <w:t xml:space="preserve">2023. </w:t>
      </w:r>
      <w:hyperlink r:id="rId11">
        <w:r w:rsidDel="00000000" w:rsidR="00000000" w:rsidRPr="00000000">
          <w:rPr>
            <w:rFonts w:ascii="Times New Roman" w:cs="Times New Roman" w:eastAsia="Times New Roman" w:hAnsi="Times New Roman"/>
            <w:color w:val="1155cc"/>
            <w:sz w:val="20"/>
            <w:szCs w:val="20"/>
            <w:u w:val="single"/>
            <w:rtl w:val="0"/>
          </w:rPr>
          <w:t xml:space="preserve">https://menarights.org/en/articles/un-group-questions-united-arab-emirates-pattern-enforced-disappearances-country</w:t>
        </w:r>
      </w:hyperlink>
      <w:r w:rsidDel="00000000" w:rsidR="00000000" w:rsidRPr="00000000">
        <w:rPr>
          <w:rtl w:val="0"/>
        </w:rPr>
      </w:r>
    </w:p>
    <w:p w:rsidR="00000000" w:rsidDel="00000000" w:rsidP="00000000" w:rsidRDefault="00000000" w:rsidRPr="00000000" w14:paraId="00000078">
      <w:pPr>
        <w:spacing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9">
      <w:pPr>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Office of the United Nations High Commissioner for Human Rights (OHCHR). General allegation on the pattern of enforced disappearances in the United Arab Emirates (UAE). 2022. </w:t>
      </w:r>
      <w:hyperlink r:id="rId12">
        <w:r w:rsidDel="00000000" w:rsidR="00000000" w:rsidRPr="00000000">
          <w:rPr>
            <w:rFonts w:ascii="Times New Roman" w:cs="Times New Roman" w:eastAsia="Times New Roman" w:hAnsi="Times New Roman"/>
            <w:color w:val="1155cc"/>
            <w:sz w:val="20"/>
            <w:szCs w:val="20"/>
            <w:u w:val="single"/>
            <w:rtl w:val="0"/>
          </w:rPr>
          <w:t xml:space="preserve">https://www.ohchr.org/sites/default/files/documents/issues/disappearances/allegations/general-allegation-uae-128.pdf</w:t>
        </w:r>
      </w:hyperlink>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hyperlink" Target="https://www.menarights.org/en/case/jasem-rashed-khalfan-rashed-al-shamsi" TargetMode="External"/><Relationship Id="rId13" Type="http://schemas.openxmlformats.org/officeDocument/2006/relationships/customXml" Target="../customXml/item1.xml"/><Relationship Id="rId3" Type="http://schemas.openxmlformats.org/officeDocument/2006/relationships/fontTable" Target="fontTable.xml"/><Relationship Id="rId12" Type="http://schemas.openxmlformats.org/officeDocument/2006/relationships/hyperlink" Target="https://www.ohchr.org/sites/default/files/documents/issues/disappearances/allegations/general-allegation-uae-128.pdf" TargetMode="External"/><Relationship Id="rId7" Type="http://schemas.openxmlformats.org/officeDocument/2006/relationships/hyperlink" Target="https://www.hrw.org/report/2021/01/27/persecution-ahmed-mansoor/how-united-arab-emirates-silenced-its-most-famous-human" TargetMode="External"/><Relationship Id="rId2" Type="http://schemas.openxmlformats.org/officeDocument/2006/relationships/settings" Target="settings.xml"/><Relationship Id="rId1" Type="http://schemas.openxmlformats.org/officeDocument/2006/relationships/theme" Target="theme/theme1.xml"/><Relationship Id="rId11" Type="http://schemas.openxmlformats.org/officeDocument/2006/relationships/hyperlink" Target="https://menarights.org/en/articles/un-group-questions-united-arab-emirates-pattern-enforced-disappearances-country" TargetMode="External"/><Relationship Id="rId6" Type="http://schemas.openxmlformats.org/officeDocument/2006/relationships/hyperlink" Target="https://www.hrw.org/news/2024/06/10/fifty-years-establishment-uae-state-security-apparatus-should-end-widespread-abuses" TargetMode="External"/><Relationship Id="rId5" Type="http://schemas.openxmlformats.org/officeDocument/2006/relationships/styles" Target="styles.xml"/><Relationship Id="rId15" Type="http://schemas.openxmlformats.org/officeDocument/2006/relationships/customXml" Target="../customXml/item3.xml"/><Relationship Id="rId10" Type="http://schemas.openxmlformats.org/officeDocument/2006/relationships/hyperlink" Target="https://www.menarights.org/en/documents/uae-state-security-apparatus-tool-repression-against-dissenting-voices" TargetMode="External"/><Relationship Id="rId4" Type="http://schemas.openxmlformats.org/officeDocument/2006/relationships/numbering" Target="numbering.xml"/><Relationship Id="rId9" Type="http://schemas.openxmlformats.org/officeDocument/2006/relationships/hyperlink" Target="https://menarights.org/en/articles/mena-rights-group-highlights-widespread-practice-enforced-disappearance-united-arab"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Doctype xmlns="d42e65b2-cf21-49c1-b27d-d23f90380c0e">input-1</Doctype>
    <Contributor xmlns="d42e65b2-cf21-49c1-b27d-d23f90380c0e">European Center for Democracy &amp; Human Rights</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9ACF5FC8-C0AC-40E6-9BA7-53CE054C215B}"/>
</file>

<file path=customXml/itemProps2.xml><?xml version="1.0" encoding="utf-8"?>
<ds:datastoreItem xmlns:ds="http://schemas.openxmlformats.org/officeDocument/2006/customXml" ds:itemID="{F0796DC8-6241-4BAD-8AE6-14F7D8A5365C}"/>
</file>

<file path=customXml/itemProps3.xml><?xml version="1.0" encoding="utf-8"?>
<ds:datastoreItem xmlns:ds="http://schemas.openxmlformats.org/officeDocument/2006/customXml" ds:itemID="{98ACCB5E-F63B-4FB7-843D-128332683690}"/>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