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2071F" w14:textId="77777777" w:rsidR="00567395" w:rsidRPr="00567395" w:rsidRDefault="00EF19B6" w:rsidP="00EF19B6">
      <w:pPr>
        <w:pStyle w:val="Heading2"/>
        <w:jc w:val="center"/>
        <w:rPr>
          <w:b/>
          <w:bCs/>
          <w:color w:val="000000" w:themeColor="text1"/>
        </w:rPr>
      </w:pPr>
      <w:r>
        <w:rPr>
          <w:b/>
          <w:bCs/>
          <w:color w:val="000000" w:themeColor="text1"/>
        </w:rPr>
        <w:t xml:space="preserve">World </w:t>
      </w:r>
      <w:proofErr w:type="spellStart"/>
      <w:r>
        <w:rPr>
          <w:b/>
          <w:bCs/>
          <w:color w:val="000000" w:themeColor="text1"/>
        </w:rPr>
        <w:t>Organisation</w:t>
      </w:r>
      <w:proofErr w:type="spellEnd"/>
      <w:r>
        <w:rPr>
          <w:b/>
          <w:bCs/>
          <w:color w:val="000000" w:themeColor="text1"/>
        </w:rPr>
        <w:t xml:space="preserve"> Against Torture (OMCT)</w:t>
      </w:r>
      <w:r w:rsidR="00567395">
        <w:rPr>
          <w:b/>
          <w:bCs/>
          <w:color w:val="000000" w:themeColor="text1"/>
        </w:rPr>
        <w:t xml:space="preserve"> </w:t>
      </w:r>
      <w:r>
        <w:rPr>
          <w:b/>
          <w:bCs/>
          <w:color w:val="000000" w:themeColor="text1"/>
        </w:rPr>
        <w:br/>
      </w:r>
      <w:r w:rsidR="00567395">
        <w:rPr>
          <w:b/>
          <w:bCs/>
          <w:color w:val="000000" w:themeColor="text1"/>
        </w:rPr>
        <w:t>Inputs on Enforced Disappearances in the context of Transnational Repression</w:t>
      </w:r>
    </w:p>
    <w:p w14:paraId="08CC08D1" w14:textId="14EA5294" w:rsidR="00D140C3" w:rsidRPr="008C0FBF" w:rsidRDefault="00152214" w:rsidP="00152214">
      <w:pPr>
        <w:pStyle w:val="ListParagraph"/>
        <w:numPr>
          <w:ilvl w:val="0"/>
          <w:numId w:val="5"/>
        </w:numPr>
        <w:rPr>
          <w:rFonts w:ascii="Calibri" w:hAnsi="Calibri" w:cs="Calibri"/>
          <w:b/>
          <w:bCs/>
          <w:sz w:val="26"/>
          <w:szCs w:val="26"/>
        </w:rPr>
      </w:pPr>
      <w:r w:rsidRPr="008C0FBF">
        <w:rPr>
          <w:rFonts w:ascii="Calibri" w:hAnsi="Calibri" w:cs="Calibri"/>
          <w:b/>
          <w:bCs/>
          <w:sz w:val="26"/>
          <w:szCs w:val="26"/>
        </w:rPr>
        <w:t>E</w:t>
      </w:r>
      <w:r w:rsidR="00D140C3" w:rsidRPr="008C0FBF">
        <w:rPr>
          <w:rFonts w:ascii="Calibri" w:hAnsi="Calibri" w:cs="Calibri"/>
          <w:b/>
          <w:bCs/>
          <w:sz w:val="26"/>
          <w:szCs w:val="26"/>
        </w:rPr>
        <w:t>nforced disappearances in the context of transnational repression</w:t>
      </w:r>
      <w:r w:rsidRPr="008C0FBF">
        <w:rPr>
          <w:rFonts w:ascii="Calibri" w:hAnsi="Calibri" w:cs="Calibri"/>
          <w:b/>
          <w:bCs/>
          <w:sz w:val="26"/>
          <w:szCs w:val="26"/>
        </w:rPr>
        <w:t xml:space="preserve"> of Thai political opponents and activists </w:t>
      </w:r>
    </w:p>
    <w:p w14:paraId="2C3D3AF0" w14:textId="77777777" w:rsidR="00D140C3" w:rsidRPr="00D140C3" w:rsidRDefault="00D140C3" w:rsidP="00D140C3">
      <w:pPr>
        <w:spacing w:line="276" w:lineRule="auto"/>
        <w:rPr>
          <w:rFonts w:ascii="Calibri" w:hAnsi="Calibri" w:cs="Calibri"/>
          <w:iCs/>
          <w:lang w:val="en-CH"/>
        </w:rPr>
      </w:pPr>
      <w:r w:rsidRPr="00D140C3">
        <w:rPr>
          <w:rFonts w:ascii="Calibri" w:hAnsi="Calibri" w:cs="Calibri"/>
          <w:iCs/>
          <w:lang w:val="en-CH"/>
        </w:rPr>
        <w:t>Enforced disappearances in the context of transnational repression have emerged as a pressing concern for Thai political activists and dissidents living in exile in neighbouring countries following the 2014 military coup by the National Council for Peace and Order (NCPO). Individuals critical of the Thai government or monarchy, members of opposition movements such as the Red Shirts or underground republican networks, and those engaged in online activism have been systematically targeted through prior criminalisation, surveillance, and public vilification. Many faced charges under national security laws, including lèse-majesté (Article 112 of the Thai Criminal Code), compelling them to flee Thailand to avoid imprisonment. Their subsequent disappearances abroad were not isolated incidents but followed coordinated patterns suggesting planning, cross-border cooperation, and at minimum tacit acquiescence by State actors. Family members who seek truth and accountability have themselves become targets of intimidation and harassment.</w:t>
      </w:r>
    </w:p>
    <w:p w14:paraId="440ADD68" w14:textId="77777777" w:rsidR="00D140C3" w:rsidRPr="00D140C3" w:rsidRDefault="00D140C3" w:rsidP="00D140C3">
      <w:pPr>
        <w:spacing w:line="276" w:lineRule="auto"/>
        <w:rPr>
          <w:rFonts w:ascii="Calibri" w:hAnsi="Calibri" w:cs="Calibri"/>
          <w:iCs/>
          <w:lang w:val="en-CH"/>
        </w:rPr>
      </w:pPr>
      <w:r w:rsidRPr="00D140C3">
        <w:rPr>
          <w:rFonts w:ascii="Calibri" w:hAnsi="Calibri" w:cs="Calibri"/>
          <w:iCs/>
          <w:lang w:val="en-CH"/>
        </w:rPr>
        <w:t>Between 2016 and 2019, at least nine Thai political refugees disappeared under suspicious circumstances while residing in Cambodia, Laos, and Viet Nam. Across these cases, the disappearances exhibit strikingly similar patterns in timing, methods, and targeting, reflecting a systematic approach to suppress political dissent beyond Thailand’s borders.</w:t>
      </w:r>
    </w:p>
    <w:p w14:paraId="1CA71FDE"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b/>
          <w:iCs/>
          <w:lang w:val="en-CH"/>
        </w:rPr>
        <w:t>Wanchalearm “Tar” Satsaksit</w:t>
      </w:r>
      <w:r w:rsidRPr="00344BC1">
        <w:rPr>
          <w:rFonts w:ascii="Calibri" w:hAnsi="Calibri" w:cs="Calibri"/>
          <w:b/>
          <w:i/>
          <w:iCs/>
          <w:lang w:val="en-CH"/>
        </w:rPr>
        <w:t xml:space="preserve"> </w:t>
      </w:r>
      <w:r w:rsidRPr="00344BC1">
        <w:rPr>
          <w:rFonts w:ascii="Calibri" w:hAnsi="Calibri" w:cs="Calibri"/>
          <w:bCs/>
          <w:iCs/>
          <w:lang w:val="en-CH"/>
        </w:rPr>
        <w:t>was a former NGO officer who worked on HIV/AIDS issues, sexual diversity, and LGBTQ+ rights. He also served as a staff member for the Pheu Thai Party. Authorities identified him as the administrator of an anti-junta Facebook page titled "</w:t>
      </w:r>
      <w:r w:rsidRPr="00344BC1">
        <w:rPr>
          <w:rFonts w:ascii="Browallia New" w:hAnsi="Browallia New" w:cs="Browallia New"/>
          <w:bCs/>
          <w:iCs/>
          <w:lang w:val="en-CH"/>
        </w:rPr>
        <w:t>กูต้องได้</w:t>
      </w:r>
      <w:r w:rsidRPr="00344BC1">
        <w:rPr>
          <w:rFonts w:ascii="Calibri" w:hAnsi="Calibri" w:cs="Calibri"/>
          <w:bCs/>
          <w:iCs/>
          <w:lang w:val="en-CH"/>
        </w:rPr>
        <w:t xml:space="preserve"> 100 </w:t>
      </w:r>
      <w:r w:rsidRPr="00344BC1">
        <w:rPr>
          <w:rFonts w:ascii="Browallia New" w:hAnsi="Browallia New" w:cs="Browallia New"/>
          <w:bCs/>
          <w:iCs/>
          <w:lang w:val="en-CH"/>
        </w:rPr>
        <w:t>ล้าน</w:t>
      </w:r>
      <w:r w:rsidRPr="00344BC1">
        <w:rPr>
          <w:rFonts w:ascii="Calibri" w:hAnsi="Calibri" w:cs="Calibri"/>
          <w:bCs/>
          <w:iCs/>
          <w:lang w:val="en-CH"/>
        </w:rPr>
        <w:t xml:space="preserve"> </w:t>
      </w:r>
      <w:r w:rsidRPr="00344BC1">
        <w:rPr>
          <w:rFonts w:ascii="Browallia New" w:hAnsi="Browallia New" w:cs="Browallia New"/>
          <w:bCs/>
          <w:iCs/>
          <w:lang w:val="en-CH"/>
        </w:rPr>
        <w:t>จากทักษิณแน่ๆ</w:t>
      </w:r>
      <w:r w:rsidRPr="00344BC1">
        <w:rPr>
          <w:rFonts w:ascii="Calibri" w:hAnsi="Calibri" w:cs="Calibri"/>
          <w:bCs/>
          <w:iCs/>
          <w:lang w:val="en-CH"/>
        </w:rPr>
        <w:t>" ("I Must Get 100 million from Thaksin for Sure"). He faced charges for violating a National Council for Peace and Order (NCPO) summons order in 2014 and the Computer Crime Act in 2018</w:t>
      </w:r>
      <w:r w:rsidRPr="00344BC1">
        <w:rPr>
          <w:rFonts w:ascii="Calibri" w:hAnsi="Calibri" w:cs="Calibri"/>
          <w:bCs/>
          <w:i/>
          <w:iCs/>
          <w:lang w:val="en-CH"/>
        </w:rPr>
        <w:t xml:space="preserve">. </w:t>
      </w:r>
      <w:r w:rsidRPr="00344BC1">
        <w:rPr>
          <w:rFonts w:ascii="Calibri" w:hAnsi="Calibri" w:cs="Calibri"/>
          <w:bCs/>
          <w:iCs/>
          <w:lang w:val="en-CH"/>
        </w:rPr>
        <w:t>Additionally</w:t>
      </w:r>
      <w:r w:rsidRPr="00344BC1">
        <w:rPr>
          <w:rFonts w:ascii="Calibri" w:hAnsi="Calibri" w:cs="Calibri"/>
          <w:bCs/>
          <w:i/>
          <w:iCs/>
          <w:lang w:val="en-CH"/>
        </w:rPr>
        <w:t>,</w:t>
      </w:r>
      <w:r w:rsidRPr="00344BC1">
        <w:rPr>
          <w:rFonts w:ascii="Calibri" w:hAnsi="Calibri" w:cs="Calibri"/>
          <w:iCs/>
          <w:lang w:val="en-CH"/>
        </w:rPr>
        <w:t xml:space="preserve"> Isranews reported that he was accused of lèse-majesté in 2015.</w:t>
      </w:r>
      <w:r w:rsidRPr="00344BC1">
        <w:rPr>
          <w:rFonts w:ascii="Calibri" w:hAnsi="Calibri" w:cs="Calibri"/>
          <w:iCs/>
          <w:vertAlign w:val="superscript"/>
          <w:lang w:val="en-CH"/>
        </w:rPr>
        <w:footnoteReference w:id="1"/>
      </w:r>
      <w:r w:rsidRPr="00344BC1">
        <w:rPr>
          <w:rFonts w:ascii="Calibri" w:hAnsi="Calibri" w:cs="Calibri"/>
          <w:iCs/>
          <w:lang w:val="en-CH"/>
        </w:rPr>
        <w:t xml:space="preserve"> </w:t>
      </w:r>
    </w:p>
    <w:p w14:paraId="527E5A72"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iCs/>
          <w:lang w:val="en-CH"/>
        </w:rPr>
        <w:t xml:space="preserve">Wanchalearm fled Thailand following the 2014 military coup, seeking refuge in Phnom Penh, Cambodia. On 26 June 2002, the day of his disappearance, his sister, Ms. Sitanun Satsaksit, was speaking with him on the phone when she heard him exclaim, "I can't breathe" before </w:t>
      </w:r>
      <w:r w:rsidRPr="00344BC1">
        <w:rPr>
          <w:rFonts w:ascii="Calibri" w:hAnsi="Calibri" w:cs="Calibri"/>
          <w:iCs/>
          <w:lang w:val="en-CH"/>
        </w:rPr>
        <w:lastRenderedPageBreak/>
        <w:t>abruptly losing contact. It was later discovered that he had been abducted by unknown individuals in front of his apartment in Phnom Penh, a scene captured by CCTV cameras.</w:t>
      </w:r>
    </w:p>
    <w:p w14:paraId="5460963D"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iCs/>
          <w:lang w:val="en-CH"/>
        </w:rPr>
        <w:t xml:space="preserve">Despite overwhelming evidence, including CCTV footage and eyewitness accounts, the investigation into Wanchalearm’s disappearance has been marred by inaction and a lack of political will from both Cambodia and Thailand. While the Ministry of Interior and the Public Prosecutor of the Phnom Penh Municipal Court were approached by Wanchalearm’s family and legal team, there has been little tangible progress in the case. </w:t>
      </w:r>
    </w:p>
    <w:p w14:paraId="18707F4C"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iCs/>
          <w:lang w:val="en-CH"/>
        </w:rPr>
        <w:t>In March 2024, Cambodian authorities claimed they had closed the probe into Wanchalearm’s disappearance, citing a lack of evidence. However, the legal team has not received formal communication from the court, and it remains unclear whether the case has officially been closed by the Phnom Penh Municipal Court.</w:t>
      </w:r>
      <w:r w:rsidRPr="00344BC1">
        <w:rPr>
          <w:rFonts w:ascii="Calibri" w:hAnsi="Calibri" w:cs="Calibri"/>
          <w:iCs/>
          <w:vertAlign w:val="superscript"/>
          <w:lang w:val="en-CH"/>
        </w:rPr>
        <w:footnoteReference w:id="2"/>
      </w:r>
      <w:r w:rsidRPr="00344BC1">
        <w:rPr>
          <w:rFonts w:ascii="Calibri" w:hAnsi="Calibri" w:cs="Calibri"/>
          <w:iCs/>
          <w:lang w:val="en-CH"/>
        </w:rPr>
        <w:t xml:space="preserve">  </w:t>
      </w:r>
    </w:p>
    <w:p w14:paraId="2ED057FC"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iCs/>
          <w:lang w:val="en-CH"/>
        </w:rPr>
        <w:t>During the review of Cambodia’s first report under Article 29 of the International Convention for the Protection of All Persons from Enforced Disappearance (ICPPED), the Committee had urged the Cambodian government to conduct a thorough investigation into Wanchalearm’s disappearance and to provide information on his whereabouts. The Committee expressed concerns over the lack of progress and failure to hold those responsible accountable.</w:t>
      </w:r>
      <w:r w:rsidRPr="00344BC1">
        <w:rPr>
          <w:rFonts w:ascii="Calibri" w:hAnsi="Calibri" w:cs="Calibri"/>
          <w:iCs/>
          <w:vertAlign w:val="superscript"/>
          <w:lang w:val="en-CH"/>
        </w:rPr>
        <w:footnoteReference w:id="3"/>
      </w:r>
    </w:p>
    <w:p w14:paraId="09CC1C11"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iCs/>
          <w:lang w:val="en-CH"/>
        </w:rPr>
        <w:t>The Thai government’s lack of action in pursuing justice for Wanchalearm is also concerning, especially given the numerous appeals made by his family and legal team to various Thai institutions, including the OAG, the Rights and Liberties Protection Department of the Ministry of Justice (RLPD-MOJ), the National Human Rights Commission of Thailand (NHRCT), the Department of Special Investigation (DSI), and even the Prime Minister’s Office. Despite these efforts, Thai authorities have done little to investigate or pressure their Cambodian counterparts for a full inquiry.</w:t>
      </w:r>
    </w:p>
    <w:p w14:paraId="765D7085" w14:textId="77777777" w:rsidR="00344BC1" w:rsidRPr="00344BC1" w:rsidRDefault="00344BC1" w:rsidP="00344BC1">
      <w:pPr>
        <w:spacing w:line="276" w:lineRule="auto"/>
        <w:rPr>
          <w:rFonts w:ascii="Calibri" w:hAnsi="Calibri" w:cs="Calibri"/>
          <w:iCs/>
          <w:lang w:val="en-CH"/>
        </w:rPr>
      </w:pPr>
      <w:r w:rsidRPr="00344BC1">
        <w:rPr>
          <w:rFonts w:ascii="Calibri" w:hAnsi="Calibri" w:cs="Calibri"/>
          <w:iCs/>
          <w:lang w:val="en-CH"/>
        </w:rPr>
        <w:t xml:space="preserve">Despite these extensive efforts across both national and international platforms, their struggle has yielded no significant progress, leaving the family without answers or accountability for Wanchalearm's disappearance. Additionally, Sitanun Satsaksit, sister of Wanchalerm, has faced multiple forms of harassment. In April 2022, she received a disturbing photograph labeling her and another activist as individuals under "special surveillance" by Thai authorities. In February 2024, she was blockaded for over two hours by more than ten police while attempting to inquire about her brother’s disappearance during former Prime Minister of Cambodia Hun Sen Visit to Thaksin Shinawatra’s residence. The officers claimed </w:t>
      </w:r>
      <w:r w:rsidRPr="00344BC1">
        <w:rPr>
          <w:rFonts w:ascii="Calibri" w:hAnsi="Calibri" w:cs="Calibri"/>
          <w:iCs/>
          <w:lang w:val="en-CH"/>
        </w:rPr>
        <w:lastRenderedPageBreak/>
        <w:t xml:space="preserve">that she was a national security threat. Furthermore, during a September 2024 event marking the International Day of the Disappeared, efforts were made by co-organizers and security agencies to censor any mention of Wanchalerm’s case, leading to the cancellation of a book launch that included his story. </w:t>
      </w:r>
    </w:p>
    <w:p w14:paraId="79B28EEE"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b/>
          <w:iCs/>
          <w:lang w:val="en-CH"/>
        </w:rPr>
        <w:t>Chucheep “Uncle Sanam Luang” Cheewasut</w:t>
      </w:r>
      <w:r w:rsidRPr="00344BC1">
        <w:rPr>
          <w:rFonts w:ascii="Calibri" w:hAnsi="Calibri" w:cs="Calibri"/>
          <w:iCs/>
          <w:lang w:val="en-CH"/>
        </w:rPr>
        <w:t>, identified by Thai authorities as the leader of the “Thai Federation” group, an underground republican movement, disappeared in May 2019 after being arrested in Viet Nam and reportedly extradited to Thailand along fellow activists Siam Theerawutand and Kritsana Tapthai.</w:t>
      </w:r>
      <w:sdt>
        <w:sdtPr>
          <w:rPr>
            <w:rFonts w:ascii="Calibri" w:hAnsi="Calibri" w:cs="Calibri"/>
            <w:iCs/>
            <w:lang w:val="en-CH"/>
          </w:rPr>
          <w:tag w:val="goog_rdk_1"/>
          <w:id w:val="548260188"/>
        </w:sdtPr>
        <w:sdtContent>
          <w:r w:rsidRPr="00344BC1">
            <w:rPr>
              <w:rFonts w:ascii="Calibri" w:hAnsi="Calibri" w:cs="Calibri"/>
              <w:iCs/>
              <w:lang w:val="en-CH"/>
            </w:rPr>
            <w:t xml:space="preserve"> </w:t>
          </w:r>
        </w:sdtContent>
      </w:sdt>
      <w:r w:rsidRPr="00344BC1">
        <w:rPr>
          <w:rFonts w:ascii="Calibri" w:hAnsi="Calibri" w:cs="Calibri"/>
          <w:iCs/>
          <w:lang w:val="en-CH"/>
        </w:rPr>
        <w:t>He faced charges under Article 112 of Thailand’s Criminal Code (lèse-majesté) and sedition due to his radio broadcast activities. Their whereabouts have remained unknown since then.</w:t>
      </w:r>
    </w:p>
    <w:p w14:paraId="522240F6"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b/>
          <w:iCs/>
          <w:lang w:val="en-CH"/>
        </w:rPr>
        <w:t xml:space="preserve">Siam "Comrade Mango Sticky Rice" Theerawut, </w:t>
      </w:r>
      <w:r w:rsidRPr="00344BC1">
        <w:rPr>
          <w:rFonts w:ascii="Calibri" w:hAnsi="Calibri" w:cs="Calibri"/>
          <w:iCs/>
          <w:lang w:val="en-CH"/>
        </w:rPr>
        <w:t>a political science graduate from Ramkhamhaeng University and former member of the band Prakaifai, was charged under Article 112 for his role in the 2013 theater performance "Wolf Bride", held to commemorate the 40th anniversary of the October 14, 1973 uprising. According to Thai Lawyers for Human Rights, he last communicated with his sister via the Line messaging app between December 31, 2018, and January 1, 2019. Shortly after, reports surfaced of his arrest in Viet Nam alongside Chucheep and Kritsana.</w:t>
      </w:r>
    </w:p>
    <w:p w14:paraId="07230AFE"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iCs/>
          <w:lang w:val="en-CH"/>
        </w:rPr>
        <w:t>Despite the family's continuous efforts to seek justice through numerous national and international bodies—including the Crime Suppression Division, Ministry of Justice, and the UN—no information on his whereabouts has been obtained. In June 2024, the Anti-Torture and Enforced Disappearance Centre issued an order</w:t>
      </w:r>
      <w:r w:rsidRPr="00344BC1">
        <w:rPr>
          <w:rFonts w:ascii="Calibri" w:hAnsi="Calibri" w:cs="Calibri"/>
          <w:iCs/>
          <w:vertAlign w:val="superscript"/>
          <w:lang w:val="en-CH"/>
        </w:rPr>
        <w:footnoteReference w:id="4"/>
      </w:r>
      <w:r w:rsidRPr="00344BC1">
        <w:rPr>
          <w:rFonts w:ascii="Calibri" w:hAnsi="Calibri" w:cs="Calibri"/>
          <w:iCs/>
          <w:lang w:val="en-CH"/>
        </w:rPr>
        <w:t xml:space="preserve"> to terminate the complaint regarding Siam’s disappearance, citing insufficient evidence and uncertainty about state officials’ involvementd. Furthermore, it ruled that it has not been found that there were any other crimes punishable under Thai law committed outside the Kingdom of Thailand.</w:t>
      </w:r>
      <w:r w:rsidRPr="00344BC1">
        <w:rPr>
          <w:rFonts w:ascii="Calibri" w:hAnsi="Calibri" w:cs="Calibri"/>
          <w:iCs/>
          <w:vertAlign w:val="superscript"/>
          <w:lang w:val="en-CH"/>
        </w:rPr>
        <w:footnoteReference w:id="5"/>
      </w:r>
    </w:p>
    <w:p w14:paraId="66695BC8"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b/>
          <w:iCs/>
          <w:lang w:val="en-CH"/>
        </w:rPr>
        <w:t>Kritsana Thapthai ("Comrade Young Blood")</w:t>
      </w:r>
      <w:r w:rsidRPr="00344BC1">
        <w:rPr>
          <w:rFonts w:ascii="Calibri" w:hAnsi="Calibri" w:cs="Calibri"/>
          <w:iCs/>
          <w:lang w:val="en-CH"/>
        </w:rPr>
        <w:t>,</w:t>
      </w:r>
      <w:r w:rsidRPr="00344BC1">
        <w:rPr>
          <w:rFonts w:ascii="Calibri" w:hAnsi="Calibri" w:cs="Calibri"/>
          <w:b/>
          <w:iCs/>
          <w:lang w:val="en-CH"/>
        </w:rPr>
        <w:t xml:space="preserve"> </w:t>
      </w:r>
      <w:r w:rsidRPr="00344BC1">
        <w:rPr>
          <w:rFonts w:ascii="Calibri" w:hAnsi="Calibri" w:cs="Calibri"/>
          <w:iCs/>
          <w:lang w:val="en-CH"/>
        </w:rPr>
        <w:t>a member of the Thai Federation group, was charged under Thailand’s security laws for possession of weapons and explosives during the People's Democratic Reform Committee (PDRC)’s protests in 2013. A source in Laos informed BBC Thai that their last contact with Kritsana was on January 24, 2019, after which he became unresponsive, like Siam and Chucheep.</w:t>
      </w:r>
      <w:r w:rsidRPr="00344BC1">
        <w:rPr>
          <w:rFonts w:ascii="Calibri" w:hAnsi="Calibri" w:cs="Calibri"/>
          <w:iCs/>
          <w:vertAlign w:val="superscript"/>
          <w:lang w:val="en-CH"/>
        </w:rPr>
        <w:footnoteReference w:id="6"/>
      </w:r>
    </w:p>
    <w:p w14:paraId="72F2F99F"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b/>
          <w:iCs/>
          <w:lang w:val="en-CH"/>
        </w:rPr>
        <w:t>Surachai Danwattananusorn</w:t>
      </w:r>
      <w:r w:rsidRPr="00344BC1">
        <w:rPr>
          <w:rFonts w:ascii="Calibri" w:hAnsi="Calibri" w:cs="Calibri"/>
          <w:iCs/>
          <w:lang w:val="en-CH"/>
        </w:rPr>
        <w:t xml:space="preserve">, a prominent leader of the Red Shirt movement, underground radio broadcaster, and former lèse-majesté prisoner, went missing in December 2018, along </w:t>
      </w:r>
      <w:r w:rsidRPr="00344BC1">
        <w:rPr>
          <w:rFonts w:ascii="Calibri" w:hAnsi="Calibri" w:cs="Calibri"/>
          <w:iCs/>
          <w:lang w:val="en-CH"/>
        </w:rPr>
        <w:lastRenderedPageBreak/>
        <w:t>with two fellow activists, Chatchan Buppawan and Kraidej Luelert (see below). Surachai’s wife, Ms. Pranee Danwattananusorn, last communicated with him on 9 December 2018 via Line. Despite filing complaints to numerous domestic and international bodies including the Royal Thai Police (RTP), the NHRCT, the RLPD-MoJ, the OAG, the Prime Minister's Office, the Parliamentary Committee, the Victim Compensation department (Ministry of Justice), the Anti-Torture and Enforced Disappearance Centre,</w:t>
      </w:r>
      <w:r w:rsidRPr="00344BC1">
        <w:rPr>
          <w:rFonts w:ascii="Calibri" w:hAnsi="Calibri" w:cs="Calibri"/>
          <w:b/>
          <w:iCs/>
          <w:lang w:val="en-CH"/>
        </w:rPr>
        <w:t xml:space="preserve"> </w:t>
      </w:r>
      <w:r w:rsidRPr="00344BC1">
        <w:rPr>
          <w:rFonts w:ascii="Calibri" w:hAnsi="Calibri" w:cs="Calibri"/>
          <w:iCs/>
          <w:lang w:val="en-CH"/>
        </w:rPr>
        <w:t xml:space="preserve">and the UN, Surachai’s disappearance remains unresolved. </w:t>
      </w:r>
    </w:p>
    <w:p w14:paraId="6E5F2D2A"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b/>
          <w:iCs/>
          <w:lang w:val="en-CH"/>
        </w:rPr>
        <w:t xml:space="preserve">Chatchan “Comrade Phuchana” Buppawan </w:t>
      </w:r>
      <w:r w:rsidRPr="00344BC1">
        <w:rPr>
          <w:rFonts w:ascii="Calibri" w:hAnsi="Calibri" w:cs="Calibri"/>
          <w:iCs/>
          <w:lang w:val="en-CH"/>
        </w:rPr>
        <w:t>was a former member of the Red Shirt movement's security team and an underground radio broadcaster. He faced charges under security laws for possession of weapons and explosives during the PDRC protests. His son stated that his father last contacted him via Line on 12 December 2018, mentioning he would be away for three to four days but never returned. Shortly before the New Year, two mutilated bodies were discovered floating in the Mekong River in Nakhon Phanom province. They had been disemboweled and their stomachs stuffed with concrete blocks. Police contacted his family for DNA verification, and one of the bodies was identified as that of Chatchan.</w:t>
      </w:r>
    </w:p>
    <w:p w14:paraId="54548D62"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iCs/>
          <w:lang w:val="en-CH"/>
        </w:rPr>
        <w:t>However, despite the family’s efforts, the investigation has made no progress. The Nakhon Phanom police, who are responsible for the murder investigation, have reported that they are still awaiting further leads. They claim to have sought authorization from the Attorney General to extend their investigation into Laos, and that this request was denied. As a result, the case remains pending at the Nakhon Phanom City Police Station since 2018. Although the family has provided statements, no witnesses have come forward, likely due to fears of reprisals. On 13 March 2024, Chatchan’s family petitioned the Parliamentary Committee on Legal Affairs, Justice, and Human Rights demanding an investigation into his disappearance and a thorough search for all evidence. They also submitted a complaint to the NHRCT.</w:t>
      </w:r>
    </w:p>
    <w:p w14:paraId="4AC0BC72"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b/>
          <w:iCs/>
          <w:lang w:val="en-CH"/>
        </w:rPr>
        <w:t>Kraidej "Comrade Kasalong" Luelert</w:t>
      </w:r>
      <w:r w:rsidRPr="00344BC1">
        <w:rPr>
          <w:rFonts w:ascii="Calibri" w:hAnsi="Calibri" w:cs="Calibri"/>
          <w:iCs/>
          <w:lang w:val="en-CH"/>
        </w:rPr>
        <w:t xml:space="preserve">, a member of the Red Shirt movement and underground radio broadcast, disappeared with Surachai and Chatchan in Laos. His body was discovered in the Mekong River and later identified through DNA testing. His stomach was filled with concrete blocks. </w:t>
      </w:r>
    </w:p>
    <w:p w14:paraId="5F0A4511"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b/>
          <w:iCs/>
          <w:lang w:val="en-CH"/>
        </w:rPr>
        <w:t xml:space="preserve">Wutthipong "Ko Tee"/"Comrade Puppy" Kotthammakun </w:t>
      </w:r>
      <w:r w:rsidRPr="00344BC1">
        <w:rPr>
          <w:rFonts w:ascii="Calibri" w:hAnsi="Calibri" w:cs="Calibri"/>
          <w:iCs/>
          <w:lang w:val="en-CH"/>
        </w:rPr>
        <w:t xml:space="preserve">was a former Pathum Thani Red Shirt leader and owner of the local radio station "Red Guard". Authorities identified him as a member of the Thai Federation group. He faced multiple charges, including Article 112 (lèse-majesté) for allegedly defaming the monarchy in 2014 during an interview with foreign media, illegal trespassing at the 2009 ASEAN conference, possession of weapons, and his alleged involvement in a bombing at Mr. Samran Rodpetch's residence in 2014. He was reportedly abducted by armed men in Laos in July 2017 and has not been seen since. </w:t>
      </w:r>
    </w:p>
    <w:p w14:paraId="28088D58" w14:textId="77777777" w:rsidR="00344BC1" w:rsidRPr="00344BC1" w:rsidRDefault="00344BC1" w:rsidP="00344BC1">
      <w:pPr>
        <w:spacing w:line="276" w:lineRule="auto"/>
        <w:rPr>
          <w:rFonts w:ascii="Calibri" w:hAnsi="Calibri" w:cs="Calibri"/>
          <w:i/>
          <w:iCs/>
          <w:lang w:val="en-CH"/>
        </w:rPr>
      </w:pPr>
      <w:r w:rsidRPr="00344BC1">
        <w:rPr>
          <w:rFonts w:ascii="Calibri" w:hAnsi="Calibri" w:cs="Calibri"/>
          <w:b/>
          <w:iCs/>
          <w:lang w:val="en-CH"/>
        </w:rPr>
        <w:lastRenderedPageBreak/>
        <w:t>Ittipol "DJ Sunho"/"DJ Beer" Sukpan</w:t>
      </w:r>
      <w:r w:rsidRPr="00344BC1">
        <w:rPr>
          <w:rFonts w:ascii="Calibri" w:hAnsi="Calibri" w:cs="Calibri"/>
          <w:iCs/>
          <w:lang w:val="en-CH"/>
        </w:rPr>
        <w:t>, a former Red Shirt member based in Chiang Mai and an underground radio broadcaster, was charged under Article 112 (lèse-majesté) and went missing in July 2016 in Laos. According to the Internet Law Reform Dialogue (iLaw),</w:t>
      </w:r>
      <w:r w:rsidRPr="00344BC1">
        <w:rPr>
          <w:rFonts w:ascii="Calibri" w:hAnsi="Calibri" w:cs="Calibri"/>
          <w:iCs/>
          <w:vertAlign w:val="superscript"/>
          <w:lang w:val="en-CH"/>
        </w:rPr>
        <w:footnoteReference w:id="7"/>
      </w:r>
      <w:r w:rsidRPr="00344BC1">
        <w:rPr>
          <w:rFonts w:ascii="Calibri" w:hAnsi="Calibri" w:cs="Calibri"/>
          <w:iCs/>
          <w:lang w:val="en-CH"/>
        </w:rPr>
        <w:t xml:space="preserve"> he last contacted a close friend on 19 July 2016. Three days later, he was last seen leaving a restaurant on a motorcycle. That night, witnesses reported hearing a scream in the area. His motorcycle and one shoe were found one kilometer from the restaurant, and he has been missing ever since.</w:t>
      </w:r>
    </w:p>
    <w:p w14:paraId="073A6BF0" w14:textId="6935DA54" w:rsidR="00152214" w:rsidRPr="008C0FBF" w:rsidRDefault="00152214" w:rsidP="00152214">
      <w:pPr>
        <w:pStyle w:val="ListParagraph"/>
        <w:numPr>
          <w:ilvl w:val="0"/>
          <w:numId w:val="4"/>
        </w:numPr>
        <w:rPr>
          <w:rFonts w:ascii="Calibri" w:hAnsi="Calibri" w:cs="Calibri"/>
          <w:b/>
          <w:bCs/>
          <w:sz w:val="26"/>
          <w:szCs w:val="26"/>
        </w:rPr>
      </w:pPr>
      <w:r w:rsidRPr="008C0FBF">
        <w:rPr>
          <w:rFonts w:ascii="Calibri" w:hAnsi="Calibri" w:cs="Calibri"/>
          <w:b/>
          <w:bCs/>
          <w:sz w:val="26"/>
          <w:szCs w:val="26"/>
          <w:lang w:val="en-CH"/>
        </w:rPr>
        <w:t>Legal framework and practices</w:t>
      </w:r>
      <w:r w:rsidRPr="008C0FBF">
        <w:rPr>
          <w:rFonts w:ascii="Calibri" w:hAnsi="Calibri" w:cs="Calibri"/>
          <w:b/>
          <w:bCs/>
          <w:sz w:val="26"/>
          <w:szCs w:val="26"/>
        </w:rPr>
        <w:t xml:space="preserve"> contribut</w:t>
      </w:r>
      <w:r w:rsidRPr="008C0FBF">
        <w:rPr>
          <w:rFonts w:ascii="Calibri" w:hAnsi="Calibri" w:cs="Calibri"/>
          <w:b/>
          <w:bCs/>
          <w:sz w:val="26"/>
          <w:szCs w:val="26"/>
        </w:rPr>
        <w:t>ing</w:t>
      </w:r>
      <w:r w:rsidRPr="008C0FBF">
        <w:rPr>
          <w:rFonts w:ascii="Calibri" w:hAnsi="Calibri" w:cs="Calibri"/>
          <w:b/>
          <w:bCs/>
          <w:sz w:val="26"/>
          <w:szCs w:val="26"/>
        </w:rPr>
        <w:t xml:space="preserve"> to </w:t>
      </w:r>
      <w:r w:rsidRPr="008C0FBF">
        <w:rPr>
          <w:rFonts w:ascii="Calibri" w:hAnsi="Calibri" w:cs="Calibri"/>
          <w:b/>
          <w:bCs/>
          <w:sz w:val="26"/>
          <w:szCs w:val="26"/>
        </w:rPr>
        <w:t>enforced disappearance in the context of transnational repression</w:t>
      </w:r>
    </w:p>
    <w:p w14:paraId="424B366F" w14:textId="77777777" w:rsidR="00344BC1" w:rsidRPr="00344BC1" w:rsidRDefault="00344BC1" w:rsidP="00344BC1">
      <w:pPr>
        <w:spacing w:line="276" w:lineRule="auto"/>
        <w:rPr>
          <w:rFonts w:ascii="Calibri" w:hAnsi="Calibri" w:cs="Calibri"/>
          <w:iCs/>
          <w:lang w:val="en-CH"/>
        </w:rPr>
      </w:pPr>
      <w:r w:rsidRPr="00344BC1">
        <w:rPr>
          <w:rFonts w:ascii="Calibri" w:hAnsi="Calibri" w:cs="Calibri"/>
          <w:iCs/>
          <w:lang w:val="en-CH"/>
        </w:rPr>
        <w:t>At the national level, the legal framework in Thailand has contributed to an environment conducive to transnational repression. The broad and punitive application of lèse-majesté and other security-related offences has enabled authorities to portray dissidents as legitimate targets for pursuit beyond national borders. While Thailand enacted the Anti-Torture and Enforced Disappearance Act in 2022, its implementation has been limited, particularly in cases occurring outside the country. Investigative bodies have applied narrow interpretations of jurisdiction and evidentiary requirements, effectively excluding many transnational cases from meaningful scrutiny.</w:t>
      </w:r>
    </w:p>
    <w:p w14:paraId="5A740B2D" w14:textId="4943AFDC" w:rsidR="00344BC1" w:rsidRPr="00344BC1" w:rsidRDefault="00344BC1" w:rsidP="00344BC1">
      <w:pPr>
        <w:spacing w:line="276" w:lineRule="auto"/>
        <w:rPr>
          <w:rFonts w:ascii="Calibri" w:hAnsi="Calibri" w:cs="Calibri"/>
          <w:iCs/>
          <w:lang w:val="en-CH"/>
        </w:rPr>
      </w:pPr>
      <w:r w:rsidRPr="00344BC1">
        <w:rPr>
          <w:rFonts w:ascii="Calibri" w:hAnsi="Calibri" w:cs="Calibri"/>
          <w:iCs/>
          <w:lang w:val="en-CH"/>
        </w:rPr>
        <w:t xml:space="preserve">This is illustrated by the case of </w:t>
      </w:r>
      <w:r w:rsidRPr="00344BC1">
        <w:rPr>
          <w:rFonts w:ascii="Calibri" w:hAnsi="Calibri" w:cs="Calibri"/>
          <w:b/>
          <w:bCs/>
          <w:iCs/>
          <w:lang w:val="en-CH"/>
        </w:rPr>
        <w:t>Siam Theerawut</w:t>
      </w:r>
      <w:r w:rsidR="00152214">
        <w:rPr>
          <w:rFonts w:ascii="Calibri" w:hAnsi="Calibri" w:cs="Calibri"/>
          <w:b/>
          <w:bCs/>
          <w:iCs/>
          <w:lang w:val="en-CH"/>
        </w:rPr>
        <w:t xml:space="preserve"> </w:t>
      </w:r>
      <w:r w:rsidR="00152214" w:rsidRPr="00152214">
        <w:rPr>
          <w:rFonts w:ascii="Calibri" w:hAnsi="Calibri" w:cs="Calibri"/>
          <w:iCs/>
          <w:lang w:val="en-CH"/>
        </w:rPr>
        <w:t>in which d</w:t>
      </w:r>
      <w:r w:rsidRPr="00152214">
        <w:rPr>
          <w:rFonts w:ascii="Calibri" w:hAnsi="Calibri" w:cs="Calibri"/>
          <w:iCs/>
          <w:lang w:val="en-CH"/>
        </w:rPr>
        <w:t>espite</w:t>
      </w:r>
      <w:r w:rsidRPr="00344BC1">
        <w:rPr>
          <w:rFonts w:ascii="Calibri" w:hAnsi="Calibri" w:cs="Calibri"/>
          <w:iCs/>
          <w:lang w:val="en-CH"/>
        </w:rPr>
        <w:t xml:space="preserve"> consistent reports from civil society and families indicating State involvement, Thai authorities terminated the complaint under the Anti-Torture and Enforced Disappearance Act in 2024, citing insufficient evidence and uncertainty regarding the involvement of Thai officials. This approach contradicts international standards, which require States to investigate enforced disappearance whenever there are reasonable grounds to believe such a crime may have occurred.</w:t>
      </w:r>
    </w:p>
    <w:p w14:paraId="30DDA8CC" w14:textId="77777777" w:rsidR="00344BC1" w:rsidRPr="00344BC1" w:rsidRDefault="00344BC1" w:rsidP="00344BC1">
      <w:pPr>
        <w:spacing w:line="276" w:lineRule="auto"/>
        <w:rPr>
          <w:rFonts w:ascii="Calibri" w:hAnsi="Calibri" w:cs="Calibri"/>
          <w:iCs/>
          <w:lang w:val="en-CH"/>
        </w:rPr>
      </w:pPr>
      <w:r w:rsidRPr="00344BC1">
        <w:rPr>
          <w:rFonts w:ascii="Calibri" w:hAnsi="Calibri" w:cs="Calibri"/>
          <w:iCs/>
          <w:lang w:val="en-CH"/>
        </w:rPr>
        <w:t>Regionally, the absence of binding human rights enforcement mechanisms within ASEAN has resulted in limited accountability. Informal security cooperation, including intelligence sharing and undocumented transfers, appears to operate with minimal oversight. These practices, combined with weak asylum systems and limited protection for refugees, have created conditions in which cross-border abductions can occur with little risk of consequence.</w:t>
      </w:r>
    </w:p>
    <w:p w14:paraId="755460F8" w14:textId="77777777" w:rsidR="00152214" w:rsidRDefault="00344BC1" w:rsidP="00344BC1">
      <w:pPr>
        <w:spacing w:line="276" w:lineRule="auto"/>
        <w:rPr>
          <w:rFonts w:ascii="Calibri" w:hAnsi="Calibri" w:cs="Calibri"/>
          <w:iCs/>
        </w:rPr>
      </w:pPr>
      <w:r w:rsidRPr="00344BC1">
        <w:rPr>
          <w:rFonts w:ascii="Calibri" w:hAnsi="Calibri" w:cs="Calibri"/>
          <w:iCs/>
          <w:lang w:val="en-CH"/>
        </w:rPr>
        <w:t xml:space="preserve">Internationally, States involved in these cases are bound by treaties such as the Convention against Torture and, in some instances, the International Convention for the Protection of All Persons from Enforced Disappearance. </w:t>
      </w:r>
      <w:r w:rsidR="00347FEA">
        <w:rPr>
          <w:rFonts w:ascii="Calibri" w:hAnsi="Calibri" w:cs="Calibri"/>
          <w:iCs/>
          <w:lang w:val="en-CH"/>
        </w:rPr>
        <w:t>T</w:t>
      </w:r>
      <w:proofErr w:type="spellStart"/>
      <w:r w:rsidR="00347FEA" w:rsidRPr="00347FEA">
        <w:rPr>
          <w:rFonts w:ascii="Calibri" w:hAnsi="Calibri" w:cs="Calibri"/>
          <w:iCs/>
        </w:rPr>
        <w:t>hese</w:t>
      </w:r>
      <w:proofErr w:type="spellEnd"/>
      <w:r w:rsidR="00347FEA" w:rsidRPr="00347FEA">
        <w:rPr>
          <w:rFonts w:ascii="Calibri" w:hAnsi="Calibri" w:cs="Calibri"/>
          <w:iCs/>
        </w:rPr>
        <w:t xml:space="preserve"> instruments impose clear duties to investigate, prosecute, and provide remedies for human rights violations, and they explicitly prohibit refoulement. However, inconsistent implementation of these obligations has undermined the </w:t>
      </w:r>
      <w:r w:rsidR="00347FEA" w:rsidRPr="00347FEA">
        <w:rPr>
          <w:rFonts w:ascii="Calibri" w:hAnsi="Calibri" w:cs="Calibri"/>
          <w:iCs/>
        </w:rPr>
        <w:lastRenderedPageBreak/>
        <w:t>protections these treaties are meant to guarantee, creating conditions in which individuals at risk of persecution remain vulnerable.</w:t>
      </w:r>
      <w:r w:rsidR="00152214">
        <w:rPr>
          <w:rFonts w:ascii="Calibri" w:hAnsi="Calibri" w:cs="Calibri"/>
          <w:iCs/>
        </w:rPr>
        <w:t xml:space="preserve"> </w:t>
      </w:r>
    </w:p>
    <w:p w14:paraId="4AC25904" w14:textId="77777777" w:rsidR="00152214" w:rsidRDefault="00344BC1" w:rsidP="00344BC1">
      <w:pPr>
        <w:spacing w:line="276" w:lineRule="auto"/>
        <w:rPr>
          <w:rFonts w:ascii="Calibri" w:hAnsi="Calibri" w:cs="Calibri"/>
          <w:iCs/>
        </w:rPr>
      </w:pPr>
      <w:r w:rsidRPr="00344BC1">
        <w:rPr>
          <w:rFonts w:ascii="Calibri" w:hAnsi="Calibri" w:cs="Calibri"/>
          <w:iCs/>
          <w:lang w:val="en-CH"/>
        </w:rPr>
        <w:t xml:space="preserve">The extradition of Montagnard activist </w:t>
      </w:r>
      <w:hyperlink r:id="rId8" w:history="1">
        <w:r w:rsidRPr="00344BC1">
          <w:rPr>
            <w:rStyle w:val="Hyperlink"/>
            <w:rFonts w:ascii="Calibri" w:hAnsi="Calibri" w:cs="Calibri"/>
            <w:b/>
            <w:bCs/>
            <w:iCs/>
            <w:lang w:val="en-CH"/>
          </w:rPr>
          <w:t>Y Quynh Bdap</w:t>
        </w:r>
      </w:hyperlink>
      <w:r w:rsidRPr="00344BC1">
        <w:rPr>
          <w:rFonts w:ascii="Calibri" w:hAnsi="Calibri" w:cs="Calibri"/>
          <w:iCs/>
          <w:lang w:val="en-CH"/>
        </w:rPr>
        <w:t xml:space="preserve"> from Thailand to Viet Nam in 2025, despite substantial evidence of risk of torture and enforced disappearance, raises serious concerns about compliance with the principle of non-refoulement in transnational repression cases. </w:t>
      </w:r>
      <w:r w:rsidR="00347FEA">
        <w:rPr>
          <w:rFonts w:ascii="Calibri" w:hAnsi="Calibri" w:cs="Calibri"/>
          <w:iCs/>
          <w:lang w:val="en-CH"/>
        </w:rPr>
        <w:t xml:space="preserve"> </w:t>
      </w:r>
    </w:p>
    <w:p w14:paraId="2C3B08E4" w14:textId="048D4916" w:rsidR="00347FEA" w:rsidRPr="00152214" w:rsidRDefault="00347FEA" w:rsidP="00344BC1">
      <w:pPr>
        <w:spacing w:line="276" w:lineRule="auto"/>
        <w:rPr>
          <w:rFonts w:ascii="Calibri" w:hAnsi="Calibri" w:cs="Calibri"/>
          <w:iCs/>
        </w:rPr>
      </w:pPr>
      <w:r w:rsidRPr="00347FEA">
        <w:rPr>
          <w:rFonts w:ascii="Calibri" w:hAnsi="Calibri" w:cs="Calibri"/>
          <w:iCs/>
        </w:rPr>
        <w:t>Mr. Bd</w:t>
      </w:r>
      <w:proofErr w:type="spellStart"/>
      <w:r w:rsidRPr="00347FEA">
        <w:rPr>
          <w:rFonts w:ascii="Calibri" w:hAnsi="Calibri" w:cs="Calibri"/>
          <w:iCs/>
        </w:rPr>
        <w:t>ap</w:t>
      </w:r>
      <w:proofErr w:type="spellEnd"/>
      <w:r w:rsidRPr="00347FEA">
        <w:rPr>
          <w:rFonts w:ascii="Calibri" w:hAnsi="Calibri" w:cs="Calibri"/>
          <w:iCs/>
        </w:rPr>
        <w:t xml:space="preserve"> was arrested in Thailand on 11 June 2024 following his conviction in absentia by a Vietnamese court</w:t>
      </w:r>
      <w:r w:rsidR="00152214">
        <w:rPr>
          <w:rFonts w:ascii="Calibri" w:hAnsi="Calibri" w:cs="Calibri"/>
          <w:iCs/>
        </w:rPr>
        <w:t xml:space="preserve"> </w:t>
      </w:r>
      <w:r w:rsidRPr="00347FEA">
        <w:rPr>
          <w:rFonts w:ascii="Calibri" w:hAnsi="Calibri" w:cs="Calibri"/>
          <w:iCs/>
        </w:rPr>
        <w:t>to ten years’ imprisonment on terrorism-related charges allegedly connected to attacks on police stations in Dak Lak Province in 2023.</w:t>
      </w:r>
      <w:r w:rsidR="00152214">
        <w:rPr>
          <w:rFonts w:ascii="Calibri" w:hAnsi="Calibri" w:cs="Calibri"/>
          <w:iCs/>
        </w:rPr>
        <w:t xml:space="preserve"> </w:t>
      </w:r>
      <w:r w:rsidRPr="00347FEA">
        <w:rPr>
          <w:rFonts w:ascii="Calibri" w:hAnsi="Calibri" w:cs="Calibri"/>
          <w:iCs/>
          <w:lang w:val="en-CH"/>
        </w:rPr>
        <w:t>On</w:t>
      </w:r>
      <w:r w:rsidR="00344BC1" w:rsidRPr="00347FEA">
        <w:rPr>
          <w:rFonts w:ascii="Calibri" w:hAnsi="Calibri" w:cs="Calibri"/>
          <w:iCs/>
          <w:lang w:val="en-CH"/>
        </w:rPr>
        <w:t xml:space="preserve"> 28 November 2025, </w:t>
      </w:r>
      <w:r w:rsidR="00152214">
        <w:rPr>
          <w:rFonts w:ascii="Calibri" w:hAnsi="Calibri" w:cs="Calibri"/>
          <w:iCs/>
          <w:lang w:val="en-CH"/>
        </w:rPr>
        <w:t>t</w:t>
      </w:r>
      <w:r w:rsidRPr="00347FEA">
        <w:rPr>
          <w:rFonts w:ascii="Calibri" w:hAnsi="Calibri" w:cs="Calibri"/>
        </w:rPr>
        <w:t xml:space="preserve">he Thai Court of Appeals upheld a </w:t>
      </w:r>
      <w:hyperlink r:id="rId9" w:history="1">
        <w:r w:rsidRPr="00347FEA">
          <w:rPr>
            <w:rStyle w:val="Hyperlink"/>
            <w:rFonts w:ascii="Calibri" w:hAnsi="Calibri" w:cs="Calibri"/>
          </w:rPr>
          <w:t>30 September 2024</w:t>
        </w:r>
      </w:hyperlink>
      <w:r w:rsidRPr="00347FEA">
        <w:rPr>
          <w:rFonts w:ascii="Calibri" w:hAnsi="Calibri" w:cs="Calibri"/>
        </w:rPr>
        <w:t xml:space="preserve"> decision by the Criminal Court </w:t>
      </w:r>
      <w:proofErr w:type="spellStart"/>
      <w:r w:rsidRPr="00347FEA">
        <w:rPr>
          <w:rFonts w:ascii="Calibri" w:hAnsi="Calibri" w:cs="Calibri"/>
        </w:rPr>
        <w:t>authorising</w:t>
      </w:r>
      <w:proofErr w:type="spellEnd"/>
      <w:r w:rsidRPr="00347FEA">
        <w:rPr>
          <w:rFonts w:ascii="Calibri" w:hAnsi="Calibri" w:cs="Calibri"/>
        </w:rPr>
        <w:t xml:space="preserve"> his extradition, ruling that refugee status did not constitute an exception under Thailand’s Extradition Act. In reaching its decision, the Court concluded that there was “no real risk” of torture or enforced disappearance upon his return, relying solely on diplomatic assurances from the Vietnamese Ministry of Public Security and disregarding extensive documentation of systemic repression, including arbitrary detention, torture, and ill-treatment of Montagnard activists. This case demonstrates how the use of extradition and reliance on diplomatic guarantees, in defiance of substantial evidence of risk, can effectively facilitate enforced disappearance and undermine the protective framework of international human rights law.</w:t>
      </w:r>
    </w:p>
    <w:p w14:paraId="7213644B" w14:textId="7CD7E99F" w:rsidR="00152214" w:rsidRPr="008C0FBF" w:rsidRDefault="00B625FC" w:rsidP="00152214">
      <w:pPr>
        <w:pStyle w:val="ListParagraph"/>
        <w:numPr>
          <w:ilvl w:val="0"/>
          <w:numId w:val="4"/>
        </w:numPr>
        <w:spacing w:line="276" w:lineRule="auto"/>
        <w:rPr>
          <w:rFonts w:ascii="Calibri" w:hAnsi="Calibri" w:cs="Calibri"/>
          <w:b/>
          <w:bCs/>
          <w:iCs/>
          <w:sz w:val="26"/>
          <w:szCs w:val="26"/>
          <w:lang w:val="en-CH"/>
        </w:rPr>
      </w:pPr>
      <w:r w:rsidRPr="008C0FBF">
        <w:rPr>
          <w:rFonts w:ascii="Calibri" w:hAnsi="Calibri" w:cs="Calibri"/>
          <w:b/>
          <w:bCs/>
          <w:iCs/>
          <w:sz w:val="26"/>
          <w:szCs w:val="26"/>
          <w:lang w:val="en-CH"/>
        </w:rPr>
        <w:t>Lack of</w:t>
      </w:r>
      <w:r w:rsidR="00152214" w:rsidRPr="008C0FBF">
        <w:rPr>
          <w:rFonts w:ascii="Calibri" w:hAnsi="Calibri" w:cs="Calibri"/>
          <w:b/>
          <w:bCs/>
          <w:iCs/>
          <w:sz w:val="26"/>
          <w:szCs w:val="26"/>
          <w:lang w:val="en-CH"/>
        </w:rPr>
        <w:t xml:space="preserve"> </w:t>
      </w:r>
      <w:r w:rsidRPr="008C0FBF">
        <w:rPr>
          <w:rFonts w:ascii="Calibri" w:hAnsi="Calibri" w:cs="Calibri"/>
          <w:b/>
          <w:bCs/>
          <w:iCs/>
          <w:sz w:val="26"/>
          <w:szCs w:val="26"/>
          <w:lang w:val="en-CH"/>
        </w:rPr>
        <w:t xml:space="preserve">effective </w:t>
      </w:r>
      <w:r w:rsidR="0068208E" w:rsidRPr="008C0FBF">
        <w:rPr>
          <w:rFonts w:ascii="Calibri" w:hAnsi="Calibri" w:cs="Calibri"/>
          <w:b/>
          <w:bCs/>
          <w:iCs/>
          <w:sz w:val="26"/>
          <w:szCs w:val="26"/>
          <w:lang w:val="en-CH"/>
        </w:rPr>
        <w:t xml:space="preserve">accountability and remedy </w:t>
      </w:r>
    </w:p>
    <w:p w14:paraId="61C092CF" w14:textId="77777777" w:rsidR="00B625FC" w:rsidRPr="00B625FC" w:rsidRDefault="00B625FC" w:rsidP="0068208E">
      <w:pPr>
        <w:pStyle w:val="NormalWeb"/>
        <w:spacing w:line="276" w:lineRule="auto"/>
        <w:jc w:val="both"/>
        <w:rPr>
          <w:rFonts w:ascii="Calibri" w:hAnsi="Calibri" w:cs="Calibri"/>
        </w:rPr>
      </w:pPr>
      <w:r w:rsidRPr="00B625FC">
        <w:rPr>
          <w:rFonts w:ascii="Calibri" w:hAnsi="Calibri" w:cs="Calibri"/>
        </w:rPr>
        <w:t>In theory, mechanisms such as mutual legal assistance treaties, extradition procedures, and inter-agency cooperation frameworks exist to enable effective cross-border investigations. In practice, however, these mechanisms have rarely been mobilised in cases of enforced disappearance involving Thai dissidents. Investigations routinely stall due to jurisdictional disputes, lack of political authorization, or assertions that foreign authorities are uncooperative. This pattern of inaction is evident, for example, in the cases of Chatchan Buppawan and Kraidej Luelert, where Thai police acknowledged that further investigation required cooperation with Lao authorities but reported that authorization to pursue such cooperation was denied.</w:t>
      </w:r>
    </w:p>
    <w:p w14:paraId="33CCF45B" w14:textId="77777777" w:rsidR="00B625FC" w:rsidRPr="00B625FC" w:rsidRDefault="00B625FC" w:rsidP="0068208E">
      <w:pPr>
        <w:pStyle w:val="NormalWeb"/>
        <w:spacing w:line="276" w:lineRule="auto"/>
        <w:jc w:val="both"/>
        <w:rPr>
          <w:rFonts w:ascii="Calibri" w:hAnsi="Calibri" w:cs="Calibri"/>
        </w:rPr>
      </w:pPr>
      <w:r w:rsidRPr="00B625FC">
        <w:rPr>
          <w:rFonts w:ascii="Calibri" w:hAnsi="Calibri" w:cs="Calibri"/>
        </w:rPr>
        <w:t>These failures are compounded by systematic blame-shifting among domestic institutions. Responsibility is frequently passed between police, prosecutors, ministries, and foreign affairs departments, each invoking procedural or jurisdictional constraints. Such fragmentation not only delays investigations but effectively shields State authorities from scrutiny, entrenching a broader climate of impunity in transnational cases.</w:t>
      </w:r>
    </w:p>
    <w:p w14:paraId="5CE06BB8" w14:textId="3BEBFED6" w:rsidR="00B625FC" w:rsidRDefault="00B625FC" w:rsidP="0068208E">
      <w:pPr>
        <w:pStyle w:val="NormalWeb"/>
        <w:spacing w:line="276" w:lineRule="auto"/>
        <w:jc w:val="both"/>
        <w:rPr>
          <w:rFonts w:ascii="Calibri" w:hAnsi="Calibri" w:cs="Calibri"/>
        </w:rPr>
      </w:pPr>
      <w:r w:rsidRPr="00B625FC">
        <w:rPr>
          <w:rFonts w:ascii="Calibri" w:hAnsi="Calibri" w:cs="Calibri"/>
          <w:iCs/>
        </w:rPr>
        <w:lastRenderedPageBreak/>
        <w:t>While accountability remains limited, certain developments</w:t>
      </w:r>
      <w:r w:rsidR="0068208E">
        <w:rPr>
          <w:rFonts w:ascii="Calibri" w:hAnsi="Calibri" w:cs="Calibri"/>
          <w:iCs/>
        </w:rPr>
        <w:t xml:space="preserve"> represent</w:t>
      </w:r>
      <w:r w:rsidRPr="00B625FC">
        <w:rPr>
          <w:rFonts w:ascii="Calibri" w:hAnsi="Calibri" w:cs="Calibri"/>
          <w:iCs/>
        </w:rPr>
        <w:t xml:space="preserve"> </w:t>
      </w:r>
      <w:r w:rsidR="0068208E" w:rsidRPr="0068208E">
        <w:rPr>
          <w:rFonts w:ascii="Calibri" w:hAnsi="Calibri" w:cs="Calibri"/>
          <w:iCs/>
          <w:lang w:val="en-US"/>
        </w:rPr>
        <w:t>limited but important steps toward accountability</w:t>
      </w:r>
      <w:r w:rsidRPr="0068208E">
        <w:rPr>
          <w:rFonts w:ascii="Calibri" w:hAnsi="Calibri" w:cs="Calibri"/>
          <w:iCs/>
        </w:rPr>
        <w:t xml:space="preserve">. </w:t>
      </w:r>
      <w:r w:rsidRPr="00B625FC">
        <w:rPr>
          <w:rFonts w:ascii="Calibri" w:hAnsi="Calibri" w:cs="Calibri"/>
          <w:iCs/>
        </w:rPr>
        <w:t xml:space="preserve">Engagement by UN human rights mechanisms has helped maintain international attention and clarify States’ obligations in cases such as Wanchalearm Satsaksit. Domestically, the 2024 </w:t>
      </w:r>
      <w:hyperlink r:id="rId10" w:history="1">
        <w:r w:rsidRPr="00B625FC">
          <w:rPr>
            <w:rStyle w:val="Hyperlink"/>
            <w:rFonts w:ascii="Calibri" w:hAnsi="Calibri" w:cs="Calibri"/>
            <w:iCs/>
          </w:rPr>
          <w:t>report</w:t>
        </w:r>
      </w:hyperlink>
      <w:r w:rsidRPr="00B625FC">
        <w:rPr>
          <w:rFonts w:ascii="Calibri" w:hAnsi="Calibri" w:cs="Calibri"/>
          <w:iCs/>
        </w:rPr>
        <w:t xml:space="preserve"> of Thailand’s National Human Rights Commission represents a significant acknowledgment that the disappearance of the nine Thai dissidents likely constitutes enforced disappearance and identifies patterns suggestive of State acquiescence. While it could not definitively prove direct State involvement, it highlighted systematic targeting of the victims for their political activities, recurring patterns across cases, and the presence of outstanding arrest warrants, all of which suggest State acquiescence. The NHRCT also identified significant gaps in investigative procedures, cross-border cooperation, and legal safeguards, noting procedural delays, jurisdictional deflections, and lack of coordination as major obstacles to justice</w:t>
      </w:r>
    </w:p>
    <w:p w14:paraId="6CEA409D" w14:textId="26F0AA22" w:rsidR="00B625FC" w:rsidRPr="00B625FC" w:rsidRDefault="00B625FC" w:rsidP="0068208E">
      <w:pPr>
        <w:pStyle w:val="NormalWeb"/>
        <w:spacing w:line="276" w:lineRule="auto"/>
        <w:jc w:val="both"/>
        <w:rPr>
          <w:rFonts w:ascii="Calibri" w:hAnsi="Calibri" w:cs="Calibri"/>
        </w:rPr>
      </w:pPr>
      <w:r w:rsidRPr="00B625FC">
        <w:rPr>
          <w:rFonts w:ascii="Calibri" w:hAnsi="Calibri" w:cs="Calibri"/>
        </w:rPr>
        <w:t>Against this backdrop of weak domestic accountability</w:t>
      </w:r>
      <w:r w:rsidR="0068208E">
        <w:rPr>
          <w:rFonts w:ascii="Calibri" w:hAnsi="Calibri" w:cs="Calibri"/>
        </w:rPr>
        <w:t xml:space="preserve"> and fragmented cooperation</w:t>
      </w:r>
      <w:r w:rsidRPr="00B625FC">
        <w:rPr>
          <w:rFonts w:ascii="Calibri" w:hAnsi="Calibri" w:cs="Calibri"/>
        </w:rPr>
        <w:t>, international policing mechanisms assume heightened significance, while also posing serious risks. Tools such as INTERPOL Red Notices and diffusions may be misused to pursue political dissidents under the guise of ordinary criminal enforcement. Although Article 3 of INTERPOL’s Constitution prohibits interventions of a political character, limited independent verification and slow, inaccessible remedies leave affected individuals with little protection. Without strengthened transparency, oversight, and safeguards, international policing frameworks risk reinforcing</w:t>
      </w:r>
      <w:r>
        <w:rPr>
          <w:rFonts w:ascii="Calibri" w:hAnsi="Calibri" w:cs="Calibri"/>
        </w:rPr>
        <w:t xml:space="preserve"> </w:t>
      </w:r>
      <w:r w:rsidRPr="00B625FC">
        <w:rPr>
          <w:rFonts w:ascii="Calibri" w:hAnsi="Calibri" w:cs="Calibri"/>
        </w:rPr>
        <w:t>the structural failures that enable enforced disappearances across borders.</w:t>
      </w:r>
    </w:p>
    <w:p w14:paraId="09F3B843" w14:textId="77777777" w:rsidR="0068208E" w:rsidRDefault="0068208E" w:rsidP="00344BC1">
      <w:pPr>
        <w:spacing w:line="276" w:lineRule="auto"/>
        <w:rPr>
          <w:rFonts w:ascii="Calibri" w:hAnsi="Calibri" w:cs="Calibri"/>
          <w:iCs/>
        </w:rPr>
      </w:pPr>
      <w:r w:rsidRPr="0068208E">
        <w:rPr>
          <w:rFonts w:ascii="Calibri" w:hAnsi="Calibri" w:cs="Calibri"/>
          <w:iCs/>
        </w:rPr>
        <w:t xml:space="preserve">These structural shortcomings underscore the need for a shift from reactive and fragmented responses toward a comprehensive, protection-oriented approach. States must ensure that domestic legislation allows for extraterritorial jurisdiction over enforced disappearance and that investigations are initiated </w:t>
      </w:r>
      <w:proofErr w:type="gramStart"/>
      <w:r w:rsidRPr="0068208E">
        <w:rPr>
          <w:rFonts w:ascii="Calibri" w:hAnsi="Calibri" w:cs="Calibri"/>
          <w:iCs/>
        </w:rPr>
        <w:t>on the basis of</w:t>
      </w:r>
      <w:proofErr w:type="gramEnd"/>
      <w:r w:rsidRPr="0068208E">
        <w:rPr>
          <w:rFonts w:ascii="Calibri" w:hAnsi="Calibri" w:cs="Calibri"/>
          <w:iCs/>
        </w:rPr>
        <w:t xml:space="preserve"> reasonable grounds, rather than requiring conclusive proof of State involvement at the outset. Independent investigative bodies should be empowered to pursue cross-border inquiries, collect evidence abroad, and cooperate directly with foreign counterparts without political interference.</w:t>
      </w:r>
    </w:p>
    <w:p w14:paraId="4EAB91F7" w14:textId="63F244F7" w:rsidR="00344BC1" w:rsidRPr="00344BC1" w:rsidRDefault="0068208E" w:rsidP="00344BC1">
      <w:pPr>
        <w:spacing w:line="276" w:lineRule="auto"/>
        <w:rPr>
          <w:rFonts w:ascii="Calibri" w:hAnsi="Calibri" w:cs="Calibri"/>
          <w:iCs/>
          <w:lang w:val="en-CH"/>
        </w:rPr>
      </w:pPr>
      <w:r>
        <w:rPr>
          <w:rFonts w:ascii="Calibri" w:hAnsi="Calibri" w:cs="Calibri"/>
          <w:iCs/>
        </w:rPr>
        <w:t xml:space="preserve">More broadly, </w:t>
      </w:r>
      <w:r w:rsidRPr="00B625FC">
        <w:rPr>
          <w:rFonts w:ascii="Calibri" w:hAnsi="Calibri" w:cs="Calibri"/>
          <w:iCs/>
          <w:lang w:val="en-CH"/>
        </w:rPr>
        <w:t xml:space="preserve">States should adopt a comprehensive and victim-centered approach to addressing transnational enforced disappearances. </w:t>
      </w:r>
      <w:r w:rsidR="00B625FC" w:rsidRPr="00344BC1">
        <w:rPr>
          <w:rFonts w:ascii="Calibri" w:hAnsi="Calibri" w:cs="Calibri"/>
          <w:iCs/>
        </w:rPr>
        <w:t xml:space="preserve">Although Thailand’s Anti-Torture and Enforced Disappearance Act provide for financial and psychological assistance and financial compensation, including long-term medical rehabilitation for victims, the committee established under this law has yet to define criteria and methods for </w:t>
      </w:r>
      <w:r>
        <w:rPr>
          <w:rFonts w:ascii="Calibri" w:hAnsi="Calibri" w:cs="Calibri"/>
          <w:iCs/>
        </w:rPr>
        <w:t>delivering such support</w:t>
      </w:r>
      <w:r w:rsidR="00B625FC" w:rsidRPr="00344BC1">
        <w:rPr>
          <w:rFonts w:ascii="Calibri" w:hAnsi="Calibri" w:cs="Calibri"/>
          <w:iCs/>
        </w:rPr>
        <w:t xml:space="preserve">. </w:t>
      </w:r>
      <w:r w:rsidRPr="0068208E">
        <w:rPr>
          <w:rFonts w:ascii="Calibri" w:hAnsi="Calibri" w:cs="Calibri"/>
          <w:iCs/>
        </w:rPr>
        <w:t xml:space="preserve">As a result, families of disappeared persons have not received any compensation, </w:t>
      </w:r>
      <w:proofErr w:type="gramStart"/>
      <w:r w:rsidR="00CE79C7" w:rsidRPr="0068208E">
        <w:rPr>
          <w:rFonts w:ascii="Calibri" w:hAnsi="Calibri" w:cs="Calibri"/>
          <w:iCs/>
        </w:rPr>
        <w:t>deepe</w:t>
      </w:r>
      <w:r w:rsidR="00CE79C7">
        <w:rPr>
          <w:rFonts w:ascii="Calibri" w:hAnsi="Calibri" w:cs="Calibri"/>
          <w:iCs/>
        </w:rPr>
        <w:t>ning</w:t>
      </w:r>
      <w:proofErr w:type="gramEnd"/>
      <w:r w:rsidRPr="0068208E">
        <w:rPr>
          <w:rFonts w:ascii="Calibri" w:hAnsi="Calibri" w:cs="Calibri"/>
          <w:iCs/>
        </w:rPr>
        <w:t xml:space="preserve"> their suffering and prolonging the harm caused by the disappearances</w:t>
      </w:r>
      <w:r w:rsidR="00B625FC" w:rsidRPr="00344BC1">
        <w:rPr>
          <w:rFonts w:ascii="Calibri" w:hAnsi="Calibri" w:cs="Calibri"/>
          <w:iCs/>
        </w:rPr>
        <w:t>.</w:t>
      </w:r>
    </w:p>
    <w:p w14:paraId="3BF4B56D" w14:textId="039817DB" w:rsidR="00B625FC" w:rsidRDefault="0068208E" w:rsidP="00B625FC">
      <w:pPr>
        <w:spacing w:line="276" w:lineRule="auto"/>
        <w:rPr>
          <w:rFonts w:ascii="Calibri" w:hAnsi="Calibri" w:cs="Calibri"/>
          <w:iCs/>
          <w:lang w:val="en-CH"/>
        </w:rPr>
      </w:pPr>
      <w:r w:rsidRPr="00344BC1">
        <w:rPr>
          <w:rFonts w:ascii="Calibri" w:hAnsi="Calibri" w:cs="Calibri"/>
          <w:iCs/>
          <w:lang w:val="en-CH"/>
        </w:rPr>
        <w:lastRenderedPageBreak/>
        <w:t>Families should be recognized as victims in their own right and granted access to information</w:t>
      </w:r>
      <w:r>
        <w:rPr>
          <w:rFonts w:ascii="Calibri" w:hAnsi="Calibri" w:cs="Calibri"/>
          <w:iCs/>
          <w:lang w:val="en-CH"/>
        </w:rPr>
        <w:t xml:space="preserve"> and </w:t>
      </w:r>
      <w:r w:rsidRPr="00344BC1">
        <w:rPr>
          <w:rFonts w:ascii="Calibri" w:hAnsi="Calibri" w:cs="Calibri"/>
          <w:iCs/>
          <w:lang w:val="en-CH"/>
        </w:rPr>
        <w:t xml:space="preserve">participation in proceedings. </w:t>
      </w:r>
      <w:r w:rsidR="00344BC1" w:rsidRPr="00344BC1">
        <w:rPr>
          <w:rFonts w:ascii="Calibri" w:hAnsi="Calibri" w:cs="Calibri"/>
          <w:iCs/>
          <w:lang w:val="en-CH"/>
        </w:rPr>
        <w:t xml:space="preserve">Reparations should be prompt, adequate, and holistic, encompassing financial compensation, medical and psychological rehabilitation, and measures of satisfaction, including public acknowledgment of responsibility. </w:t>
      </w:r>
      <w:r>
        <w:rPr>
          <w:rFonts w:ascii="Calibri" w:hAnsi="Calibri" w:cs="Calibri"/>
          <w:iCs/>
          <w:lang w:val="en-CH"/>
        </w:rPr>
        <w:t>Finally, p</w:t>
      </w:r>
      <w:r w:rsidR="00B625FC" w:rsidRPr="00344BC1">
        <w:rPr>
          <w:rFonts w:ascii="Calibri" w:hAnsi="Calibri" w:cs="Calibri"/>
          <w:iCs/>
          <w:lang w:val="en-CH"/>
        </w:rPr>
        <w:t xml:space="preserve">rotection measures must extend to families, witnesses, and human rights defenders to prevent reprisals. </w:t>
      </w:r>
    </w:p>
    <w:p w14:paraId="270BA2D9" w14:textId="35E0FCCD" w:rsidR="00344BC1" w:rsidRPr="00344BC1" w:rsidRDefault="00344BC1" w:rsidP="00344BC1">
      <w:pPr>
        <w:spacing w:line="276" w:lineRule="auto"/>
        <w:rPr>
          <w:rFonts w:ascii="Calibri" w:hAnsi="Calibri" w:cs="Calibri"/>
          <w:i/>
          <w:iCs/>
        </w:rPr>
      </w:pPr>
    </w:p>
    <w:p w14:paraId="2DC34A8C" w14:textId="77777777" w:rsidR="00213E6A" w:rsidRPr="00567395" w:rsidRDefault="00213E6A" w:rsidP="00567395">
      <w:pPr>
        <w:spacing w:line="276" w:lineRule="auto"/>
        <w:rPr>
          <w:i/>
        </w:rPr>
      </w:pPr>
    </w:p>
    <w:sectPr w:rsidR="00213E6A" w:rsidRPr="0056739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67EB3" w14:textId="77777777" w:rsidR="0044269F" w:rsidRDefault="0044269F" w:rsidP="00567395">
      <w:pPr>
        <w:spacing w:before="0" w:after="0" w:line="240" w:lineRule="auto"/>
      </w:pPr>
      <w:r>
        <w:separator/>
      </w:r>
    </w:p>
  </w:endnote>
  <w:endnote w:type="continuationSeparator" w:id="0">
    <w:p w14:paraId="76281289" w14:textId="77777777" w:rsidR="0044269F" w:rsidRDefault="0044269F" w:rsidP="0056739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Browallia New">
    <w:panose1 w:val="020B06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BAC50" w14:textId="77777777" w:rsidR="0044269F" w:rsidRDefault="0044269F" w:rsidP="00567395">
      <w:pPr>
        <w:spacing w:before="0" w:after="0" w:line="240" w:lineRule="auto"/>
      </w:pPr>
      <w:r>
        <w:separator/>
      </w:r>
    </w:p>
  </w:footnote>
  <w:footnote w:type="continuationSeparator" w:id="0">
    <w:p w14:paraId="6774875A" w14:textId="77777777" w:rsidR="0044269F" w:rsidRDefault="0044269F" w:rsidP="00567395">
      <w:pPr>
        <w:spacing w:before="0" w:after="0" w:line="240" w:lineRule="auto"/>
      </w:pPr>
      <w:r>
        <w:continuationSeparator/>
      </w:r>
    </w:p>
  </w:footnote>
  <w:footnote w:id="1">
    <w:p w14:paraId="513E2815" w14:textId="77777777" w:rsidR="00344BC1" w:rsidRPr="00F92B88" w:rsidRDefault="00344BC1" w:rsidP="00344BC1">
      <w:pPr>
        <w:spacing w:before="0" w:after="0" w:line="240" w:lineRule="auto"/>
        <w:jc w:val="left"/>
        <w:rPr>
          <w:i/>
          <w:sz w:val="18"/>
          <w:szCs w:val="18"/>
        </w:rPr>
      </w:pPr>
      <w:r w:rsidRPr="00F92B88">
        <w:rPr>
          <w:rStyle w:val="FootnoteReference"/>
          <w:sz w:val="18"/>
          <w:szCs w:val="18"/>
        </w:rPr>
        <w:footnoteRef/>
      </w:r>
      <w:r w:rsidRPr="00F92B88">
        <w:rPr>
          <w:sz w:val="18"/>
          <w:szCs w:val="18"/>
        </w:rPr>
        <w:t xml:space="preserve"> </w:t>
      </w:r>
      <w:proofErr w:type="spellStart"/>
      <w:r w:rsidRPr="00F92B88">
        <w:rPr>
          <w:sz w:val="18"/>
          <w:szCs w:val="18"/>
        </w:rPr>
        <w:t>Isranews</w:t>
      </w:r>
      <w:proofErr w:type="spellEnd"/>
      <w:r w:rsidRPr="00F92B88">
        <w:rPr>
          <w:sz w:val="18"/>
          <w:szCs w:val="18"/>
        </w:rPr>
        <w:t xml:space="preserve">, </w:t>
      </w:r>
      <w:sdt>
        <w:sdtPr>
          <w:rPr>
            <w:sz w:val="18"/>
            <w:szCs w:val="18"/>
          </w:rPr>
          <w:tag w:val="goog_rdk_25"/>
          <w:id w:val="763499261"/>
        </w:sdtPr>
        <w:sdtContent>
          <w:proofErr w:type="spellStart"/>
          <w:r w:rsidRPr="00F92B88">
            <w:rPr>
              <w:rFonts w:ascii="Angsana New" w:eastAsia="Arial Unicode MS" w:hAnsi="Angsana New" w:cs="Angsana New"/>
              <w:sz w:val="18"/>
              <w:szCs w:val="18"/>
            </w:rPr>
            <w:t>รายชื่อ</w:t>
          </w:r>
          <w:proofErr w:type="spellEnd"/>
          <w:r w:rsidRPr="00F92B88">
            <w:rPr>
              <w:rFonts w:eastAsia="Arial Unicode MS"/>
              <w:sz w:val="18"/>
              <w:szCs w:val="18"/>
            </w:rPr>
            <w:t xml:space="preserve"> 29 </w:t>
          </w:r>
          <w:proofErr w:type="spellStart"/>
          <w:r w:rsidRPr="00F92B88">
            <w:rPr>
              <w:rFonts w:ascii="Angsana New" w:eastAsia="Arial Unicode MS" w:hAnsi="Angsana New" w:cs="Angsana New"/>
              <w:sz w:val="18"/>
              <w:szCs w:val="18"/>
            </w:rPr>
            <w:t>ผู้ต้องหา</w:t>
          </w:r>
          <w:proofErr w:type="spellEnd"/>
          <w:r w:rsidRPr="00F92B88">
            <w:rPr>
              <w:rFonts w:eastAsia="Arial Unicode MS"/>
              <w:sz w:val="18"/>
              <w:szCs w:val="18"/>
            </w:rPr>
            <w:t xml:space="preserve"> ‘</w:t>
          </w:r>
          <w:proofErr w:type="spellStart"/>
          <w:r w:rsidRPr="00F92B88">
            <w:rPr>
              <w:rFonts w:ascii="Angsana New" w:eastAsia="Arial Unicode MS" w:hAnsi="Angsana New" w:cs="Angsana New"/>
              <w:sz w:val="18"/>
              <w:szCs w:val="18"/>
            </w:rPr>
            <w:t>คดี</w:t>
          </w:r>
          <w:proofErr w:type="spellEnd"/>
          <w:r w:rsidRPr="00F92B88">
            <w:rPr>
              <w:rFonts w:eastAsia="Arial Unicode MS"/>
              <w:sz w:val="18"/>
              <w:szCs w:val="18"/>
            </w:rPr>
            <w:t xml:space="preserve"> 112’ </w:t>
          </w:r>
          <w:proofErr w:type="spellStart"/>
          <w:r w:rsidRPr="00F92B88">
            <w:rPr>
              <w:rFonts w:ascii="Angsana New" w:eastAsia="Arial Unicode MS" w:hAnsi="Angsana New" w:cs="Angsana New"/>
              <w:sz w:val="18"/>
              <w:szCs w:val="18"/>
            </w:rPr>
            <w:t>ในต่างแดน</w:t>
          </w:r>
          <w:proofErr w:type="spellEnd"/>
          <w:r w:rsidRPr="00F92B88">
            <w:rPr>
              <w:rFonts w:eastAsia="Arial Unicode MS"/>
              <w:sz w:val="18"/>
              <w:szCs w:val="18"/>
            </w:rPr>
            <w:t xml:space="preserve"> ‘</w:t>
          </w:r>
          <w:proofErr w:type="spellStart"/>
          <w:r w:rsidRPr="00F92B88">
            <w:rPr>
              <w:rFonts w:ascii="Angsana New" w:eastAsia="Arial Unicode MS" w:hAnsi="Angsana New" w:cs="Angsana New"/>
              <w:sz w:val="18"/>
              <w:szCs w:val="18"/>
            </w:rPr>
            <w:t>แบล็คลิสต์</w:t>
          </w:r>
          <w:r w:rsidRPr="00F92B88">
            <w:rPr>
              <w:rFonts w:eastAsia="Arial Unicode MS"/>
              <w:sz w:val="18"/>
              <w:szCs w:val="18"/>
            </w:rPr>
            <w:t>’</w:t>
          </w:r>
          <w:r w:rsidRPr="00F92B88">
            <w:rPr>
              <w:rFonts w:ascii="Angsana New" w:eastAsia="Arial Unicode MS" w:hAnsi="Angsana New" w:cs="Angsana New"/>
              <w:sz w:val="18"/>
              <w:szCs w:val="18"/>
            </w:rPr>
            <w:t>รัฐบาล</w:t>
          </w:r>
          <w:r w:rsidRPr="00F92B88">
            <w:rPr>
              <w:rFonts w:eastAsia="Arial Unicode MS"/>
              <w:sz w:val="18"/>
              <w:szCs w:val="18"/>
            </w:rPr>
            <w:t>-</w:t>
          </w:r>
          <w:r w:rsidRPr="00F92B88">
            <w:rPr>
              <w:rFonts w:ascii="Angsana New" w:eastAsia="Arial Unicode MS" w:hAnsi="Angsana New" w:cs="Angsana New"/>
              <w:sz w:val="18"/>
              <w:szCs w:val="18"/>
            </w:rPr>
            <w:t>คสช</w:t>
          </w:r>
          <w:proofErr w:type="spellEnd"/>
          <w:r w:rsidRPr="00F92B88">
            <w:rPr>
              <w:rFonts w:eastAsia="Arial Unicode MS"/>
              <w:sz w:val="18"/>
              <w:szCs w:val="18"/>
            </w:rPr>
            <w:t>. List of 29 refugees charged of “Section 112” case, “blacklist” of government-NCPO</w:t>
          </w:r>
        </w:sdtContent>
      </w:sdt>
      <w:r w:rsidRPr="00F92B88">
        <w:rPr>
          <w:sz w:val="18"/>
          <w:szCs w:val="18"/>
        </w:rPr>
        <w:t xml:space="preserve">, 3 June 2015, available at </w:t>
      </w:r>
      <w:hyperlink r:id="rId1">
        <w:r w:rsidRPr="00F92B88">
          <w:rPr>
            <w:color w:val="1155CC"/>
            <w:sz w:val="18"/>
            <w:szCs w:val="18"/>
            <w:u w:val="single"/>
          </w:rPr>
          <w:t>https://www.isranews.org/isranews-scoop/39015-blacklist_8882392392.html</w:t>
        </w:r>
      </w:hyperlink>
    </w:p>
  </w:footnote>
  <w:footnote w:id="2">
    <w:p w14:paraId="58948226" w14:textId="77777777" w:rsidR="00344BC1" w:rsidRDefault="00344BC1" w:rsidP="00344BC1">
      <w:pPr>
        <w:spacing w:before="0" w:after="0" w:line="240" w:lineRule="auto"/>
        <w:rPr>
          <w:i/>
          <w:sz w:val="18"/>
          <w:szCs w:val="18"/>
        </w:rPr>
      </w:pPr>
      <w:r w:rsidRPr="00F92B88">
        <w:rPr>
          <w:rStyle w:val="FootnoteReference"/>
          <w:sz w:val="18"/>
          <w:szCs w:val="18"/>
        </w:rPr>
        <w:footnoteRef/>
      </w:r>
      <w:r w:rsidRPr="00F92B88">
        <w:rPr>
          <w:sz w:val="18"/>
          <w:szCs w:val="18"/>
        </w:rPr>
        <w:t xml:space="preserve"> Narin, S., &amp; </w:t>
      </w:r>
      <w:proofErr w:type="spellStart"/>
      <w:r w:rsidRPr="00F92B88">
        <w:rPr>
          <w:sz w:val="18"/>
          <w:szCs w:val="18"/>
        </w:rPr>
        <w:t>Sutthichaya</w:t>
      </w:r>
      <w:proofErr w:type="spellEnd"/>
      <w:r w:rsidRPr="00F92B88">
        <w:rPr>
          <w:sz w:val="18"/>
          <w:szCs w:val="18"/>
        </w:rPr>
        <w:t xml:space="preserve">, Voice of America, Cambodia Ends Probe </w:t>
      </w:r>
      <w:proofErr w:type="gramStart"/>
      <w:r w:rsidRPr="00F92B88">
        <w:rPr>
          <w:sz w:val="18"/>
          <w:szCs w:val="18"/>
        </w:rPr>
        <w:t>Into</w:t>
      </w:r>
      <w:proofErr w:type="gramEnd"/>
      <w:r w:rsidRPr="00F92B88">
        <w:rPr>
          <w:sz w:val="18"/>
          <w:szCs w:val="18"/>
        </w:rPr>
        <w:t xml:space="preserve"> Abduction of Thai Activist. 9 March 2024. </w:t>
      </w:r>
      <w:hyperlink r:id="rId2">
        <w:r w:rsidRPr="00F92B88">
          <w:rPr>
            <w:color w:val="1155CC"/>
            <w:sz w:val="18"/>
            <w:szCs w:val="18"/>
            <w:u w:val="single"/>
          </w:rPr>
          <w:t>https://www.voanews.com/a/cambodia-ends-probe-into-2020-abduction-of-pheu-thai-activist-/7520128.html</w:t>
        </w:r>
      </w:hyperlink>
    </w:p>
  </w:footnote>
  <w:footnote w:id="3">
    <w:p w14:paraId="5451C172" w14:textId="77777777" w:rsidR="00344BC1" w:rsidRPr="00F92B88" w:rsidRDefault="00344BC1" w:rsidP="00344BC1">
      <w:pPr>
        <w:spacing w:before="0" w:after="0" w:line="240" w:lineRule="auto"/>
        <w:jc w:val="left"/>
        <w:rPr>
          <w:sz w:val="18"/>
          <w:szCs w:val="18"/>
        </w:rPr>
      </w:pPr>
      <w:r w:rsidRPr="00F92B88">
        <w:rPr>
          <w:rStyle w:val="FootnoteReference"/>
          <w:sz w:val="18"/>
          <w:szCs w:val="18"/>
        </w:rPr>
        <w:footnoteRef/>
      </w:r>
      <w:r w:rsidRPr="00F92B88">
        <w:rPr>
          <w:sz w:val="18"/>
          <w:szCs w:val="18"/>
        </w:rPr>
        <w:t xml:space="preserve"> FIDH, </w:t>
      </w:r>
      <w:proofErr w:type="spellStart"/>
      <w:r w:rsidRPr="00F92B88">
        <w:rPr>
          <w:sz w:val="18"/>
          <w:szCs w:val="18"/>
        </w:rPr>
        <w:t>CrCF</w:t>
      </w:r>
      <w:proofErr w:type="spellEnd"/>
      <w:r w:rsidRPr="00F92B88">
        <w:rPr>
          <w:sz w:val="18"/>
          <w:szCs w:val="18"/>
        </w:rPr>
        <w:t>, TLHR, Cambodia: UN body calls for investigations into the disappearances of Cambodian boy and Thai activist 14 March 2024, available at: https://www.fidh.org/en/region/asia/cambodia/cambodia-un-body-calls-for-investigations-into-the-disappearances-of</w:t>
      </w:r>
    </w:p>
  </w:footnote>
  <w:footnote w:id="4">
    <w:p w14:paraId="5F7723DB" w14:textId="77777777" w:rsidR="00344BC1" w:rsidRPr="00327F94" w:rsidRDefault="00344BC1" w:rsidP="00344BC1">
      <w:pPr>
        <w:spacing w:before="0" w:after="0" w:line="240" w:lineRule="auto"/>
        <w:jc w:val="left"/>
        <w:rPr>
          <w:sz w:val="18"/>
          <w:szCs w:val="18"/>
        </w:rPr>
      </w:pPr>
      <w:r w:rsidRPr="007701DF">
        <w:rPr>
          <w:rStyle w:val="FootnoteReference"/>
          <w:i/>
          <w:iCs/>
          <w:sz w:val="18"/>
          <w:szCs w:val="18"/>
        </w:rPr>
        <w:footnoteRef/>
      </w:r>
      <w:r w:rsidRPr="007701DF">
        <w:rPr>
          <w:i/>
          <w:iCs/>
          <w:sz w:val="18"/>
          <w:szCs w:val="18"/>
        </w:rPr>
        <w:t xml:space="preserve"> </w:t>
      </w:r>
      <w:r w:rsidRPr="00327F94">
        <w:rPr>
          <w:sz w:val="18"/>
          <w:szCs w:val="18"/>
        </w:rPr>
        <w:t>OAG's Letter of Termination of Case No. OAG00335/536, dated 27 June 2024.</w:t>
      </w:r>
    </w:p>
  </w:footnote>
  <w:footnote w:id="5">
    <w:p w14:paraId="78A7628B" w14:textId="77777777" w:rsidR="00344BC1" w:rsidRPr="00327F94" w:rsidRDefault="00344BC1" w:rsidP="00344BC1">
      <w:pPr>
        <w:spacing w:before="0" w:after="0" w:line="240" w:lineRule="auto"/>
        <w:jc w:val="left"/>
        <w:rPr>
          <w:sz w:val="18"/>
          <w:szCs w:val="18"/>
        </w:rPr>
      </w:pPr>
      <w:r w:rsidRPr="00327F94">
        <w:rPr>
          <w:rStyle w:val="FootnoteReference"/>
          <w:sz w:val="18"/>
          <w:szCs w:val="18"/>
        </w:rPr>
        <w:footnoteRef/>
      </w:r>
      <w:r w:rsidRPr="00327F94">
        <w:rPr>
          <w:sz w:val="18"/>
          <w:szCs w:val="18"/>
        </w:rPr>
        <w:t xml:space="preserve">  Ibid.</w:t>
      </w:r>
    </w:p>
  </w:footnote>
  <w:footnote w:id="6">
    <w:p w14:paraId="487C7478" w14:textId="77777777" w:rsidR="00344BC1" w:rsidRPr="00327F94" w:rsidRDefault="00344BC1" w:rsidP="00344BC1">
      <w:pPr>
        <w:spacing w:before="0" w:after="0" w:line="240" w:lineRule="auto"/>
        <w:jc w:val="left"/>
        <w:rPr>
          <w:sz w:val="18"/>
          <w:szCs w:val="18"/>
        </w:rPr>
      </w:pPr>
      <w:r w:rsidRPr="00327F94">
        <w:rPr>
          <w:rStyle w:val="FootnoteReference"/>
          <w:sz w:val="18"/>
          <w:szCs w:val="18"/>
        </w:rPr>
        <w:footnoteRef/>
      </w:r>
      <w:r w:rsidRPr="00327F94">
        <w:rPr>
          <w:sz w:val="18"/>
          <w:szCs w:val="18"/>
        </w:rPr>
        <w:t xml:space="preserve"> BBC News, </w:t>
      </w:r>
      <w:sdt>
        <w:sdtPr>
          <w:rPr>
            <w:sz w:val="18"/>
            <w:szCs w:val="18"/>
          </w:rPr>
          <w:tag w:val="goog_rdk_26"/>
          <w:id w:val="-1210564027"/>
        </w:sdtPr>
        <w:sdtContent>
          <w:r w:rsidRPr="00327F94">
            <w:rPr>
              <w:rFonts w:eastAsia="Arial Unicode MS"/>
              <w:sz w:val="18"/>
              <w:szCs w:val="18"/>
            </w:rPr>
            <w:t xml:space="preserve"> </w:t>
          </w:r>
          <w:proofErr w:type="spellStart"/>
          <w:r w:rsidRPr="00327F94">
            <w:rPr>
              <w:rFonts w:ascii="Angsana New" w:eastAsia="Arial Unicode MS" w:hAnsi="Angsana New" w:cs="Angsana New"/>
              <w:sz w:val="18"/>
              <w:szCs w:val="18"/>
            </w:rPr>
            <w:t>วันเฉลิม</w:t>
          </w:r>
          <w:proofErr w:type="spellEnd"/>
          <w:r w:rsidRPr="00327F94">
            <w:rPr>
              <w:rFonts w:eastAsia="Arial Unicode MS"/>
              <w:sz w:val="18"/>
              <w:szCs w:val="18"/>
            </w:rPr>
            <w:t xml:space="preserve">: </w:t>
          </w:r>
          <w:proofErr w:type="spellStart"/>
          <w:r w:rsidRPr="00327F94">
            <w:rPr>
              <w:rFonts w:ascii="Angsana New" w:eastAsia="Arial Unicode MS" w:hAnsi="Angsana New" w:cs="Angsana New"/>
              <w:sz w:val="18"/>
              <w:szCs w:val="18"/>
            </w:rPr>
            <w:t>ย้อนรอยผู้ลี้ภัย</w:t>
          </w:r>
          <w:proofErr w:type="spellEnd"/>
          <w:r w:rsidRPr="00327F94">
            <w:rPr>
              <w:rFonts w:eastAsia="Arial Unicode MS"/>
              <w:sz w:val="18"/>
              <w:szCs w:val="18"/>
            </w:rPr>
            <w:t xml:space="preserve"> </w:t>
          </w:r>
          <w:proofErr w:type="spellStart"/>
          <w:r w:rsidRPr="00327F94">
            <w:rPr>
              <w:rFonts w:ascii="Angsana New" w:eastAsia="Arial Unicode MS" w:hAnsi="Angsana New" w:cs="Angsana New"/>
              <w:sz w:val="18"/>
              <w:szCs w:val="18"/>
            </w:rPr>
            <w:t>ใครถูก</w:t>
          </w:r>
          <w:proofErr w:type="spellEnd"/>
          <w:r w:rsidRPr="00327F94">
            <w:rPr>
              <w:rFonts w:eastAsia="Arial Unicode MS"/>
              <w:sz w:val="18"/>
              <w:szCs w:val="18"/>
            </w:rPr>
            <w:t xml:space="preserve"> “</w:t>
          </w:r>
          <w:proofErr w:type="spellStart"/>
          <w:r w:rsidRPr="00327F94">
            <w:rPr>
              <w:rFonts w:ascii="Angsana New" w:eastAsia="Arial Unicode MS" w:hAnsi="Angsana New" w:cs="Angsana New"/>
              <w:sz w:val="18"/>
              <w:szCs w:val="18"/>
            </w:rPr>
            <w:t>อุ้มหาย</w:t>
          </w:r>
          <w:proofErr w:type="spellEnd"/>
          <w:r w:rsidRPr="00327F94">
            <w:rPr>
              <w:rFonts w:eastAsia="Arial Unicode MS"/>
              <w:sz w:val="18"/>
              <w:szCs w:val="18"/>
            </w:rPr>
            <w:t xml:space="preserve">” </w:t>
          </w:r>
          <w:proofErr w:type="spellStart"/>
          <w:r w:rsidRPr="00327F94">
            <w:rPr>
              <w:rFonts w:ascii="Angsana New" w:eastAsia="Arial Unicode MS" w:hAnsi="Angsana New" w:cs="Angsana New"/>
              <w:sz w:val="18"/>
              <w:szCs w:val="18"/>
            </w:rPr>
            <w:t>บ้างหลังรัฐประหาร</w:t>
          </w:r>
          <w:proofErr w:type="spellEnd"/>
          <w:r w:rsidRPr="00327F94">
            <w:rPr>
              <w:rFonts w:eastAsia="Arial Unicode MS"/>
              <w:sz w:val="18"/>
              <w:szCs w:val="18"/>
            </w:rPr>
            <w:t xml:space="preserve"> 2557 </w:t>
          </w:r>
          <w:proofErr w:type="spellStart"/>
          <w:r w:rsidRPr="00327F94">
            <w:rPr>
              <w:rFonts w:eastAsia="Arial Unicode MS"/>
              <w:sz w:val="18"/>
              <w:szCs w:val="18"/>
            </w:rPr>
            <w:t>Wanchalerm</w:t>
          </w:r>
          <w:proofErr w:type="spellEnd"/>
          <w:r w:rsidRPr="00327F94">
            <w:rPr>
              <w:rFonts w:eastAsia="Arial Unicode MS"/>
              <w:sz w:val="18"/>
              <w:szCs w:val="18"/>
            </w:rPr>
            <w:t xml:space="preserve">: Retracing the history of refugees: Who was “abducted” after the 2014 coup? (n.d.). </w:t>
          </w:r>
          <w:proofErr w:type="spellStart"/>
          <w:r w:rsidRPr="00327F94">
            <w:rPr>
              <w:rFonts w:ascii="Angsana New" w:eastAsia="Arial Unicode MS" w:hAnsi="Angsana New" w:cs="Angsana New"/>
              <w:sz w:val="18"/>
              <w:szCs w:val="18"/>
            </w:rPr>
            <w:t>ไทย</w:t>
          </w:r>
          <w:proofErr w:type="spellEnd"/>
          <w:r w:rsidRPr="00327F94">
            <w:rPr>
              <w:rFonts w:eastAsia="Arial Unicode MS"/>
              <w:sz w:val="18"/>
              <w:szCs w:val="18"/>
            </w:rPr>
            <w:t>. Retrieved October 2, 2024, from</w:t>
          </w:r>
        </w:sdtContent>
      </w:sdt>
      <w:hyperlink r:id="rId3">
        <w:r w:rsidRPr="00327F94">
          <w:rPr>
            <w:sz w:val="18"/>
            <w:szCs w:val="18"/>
          </w:rPr>
          <w:t xml:space="preserve"> </w:t>
        </w:r>
      </w:hyperlink>
      <w:hyperlink r:id="rId4">
        <w:r w:rsidRPr="00327F94">
          <w:rPr>
            <w:color w:val="1155CC"/>
            <w:sz w:val="18"/>
            <w:szCs w:val="18"/>
            <w:u w:val="single"/>
          </w:rPr>
          <w:t>https://www.bbc.com/thai/thailand-52946342</w:t>
        </w:r>
      </w:hyperlink>
    </w:p>
  </w:footnote>
  <w:footnote w:id="7">
    <w:p w14:paraId="698CF0BD" w14:textId="77777777" w:rsidR="00344BC1" w:rsidRPr="007701DF" w:rsidRDefault="00344BC1" w:rsidP="00344BC1">
      <w:pPr>
        <w:spacing w:before="0" w:after="0" w:line="240" w:lineRule="auto"/>
        <w:rPr>
          <w:i/>
          <w:sz w:val="18"/>
          <w:szCs w:val="18"/>
        </w:rPr>
      </w:pPr>
      <w:r w:rsidRPr="007701DF">
        <w:rPr>
          <w:rStyle w:val="FootnoteReference"/>
          <w:sz w:val="18"/>
          <w:szCs w:val="18"/>
        </w:rPr>
        <w:footnoteRef/>
      </w:r>
      <w:sdt>
        <w:sdtPr>
          <w:rPr>
            <w:sz w:val="18"/>
            <w:szCs w:val="18"/>
          </w:rPr>
          <w:tag w:val="goog_rdk_27"/>
          <w:id w:val="-1579749793"/>
        </w:sdtPr>
        <w:sdtContent>
          <w:r w:rsidRPr="007701DF">
            <w:rPr>
              <w:rFonts w:eastAsia="Arial Unicode MS"/>
              <w:sz w:val="18"/>
              <w:szCs w:val="18"/>
            </w:rPr>
            <w:t xml:space="preserve"> </w:t>
          </w:r>
          <w:proofErr w:type="spellStart"/>
          <w:r w:rsidRPr="007701DF">
            <w:rPr>
              <w:rFonts w:eastAsia="Arial Unicode MS"/>
              <w:sz w:val="18"/>
              <w:szCs w:val="18"/>
            </w:rPr>
            <w:t>iLaw</w:t>
          </w:r>
          <w:proofErr w:type="spellEnd"/>
          <w:r>
            <w:rPr>
              <w:rFonts w:eastAsia="Arial Unicode MS"/>
              <w:sz w:val="18"/>
              <w:szCs w:val="18"/>
            </w:rPr>
            <w:t xml:space="preserve">, </w:t>
          </w:r>
          <w:proofErr w:type="spellStart"/>
          <w:r w:rsidRPr="007701DF">
            <w:rPr>
              <w:rFonts w:ascii="Angsana New" w:eastAsia="Arial Unicode MS" w:hAnsi="Angsana New" w:cs="Angsana New"/>
              <w:sz w:val="18"/>
              <w:szCs w:val="18"/>
            </w:rPr>
            <w:t>ผู้ลี้ภัยชาวไทยสูญหายเพิ่มอย่างน้อย</w:t>
          </w:r>
          <w:proofErr w:type="spellEnd"/>
          <w:r w:rsidRPr="007701DF">
            <w:rPr>
              <w:rFonts w:eastAsia="Arial Unicode MS"/>
              <w:sz w:val="18"/>
              <w:szCs w:val="18"/>
            </w:rPr>
            <w:t xml:space="preserve"> 3 </w:t>
          </w:r>
          <w:proofErr w:type="spellStart"/>
          <w:r w:rsidRPr="007701DF">
            <w:rPr>
              <w:rFonts w:ascii="Angsana New" w:eastAsia="Arial Unicode MS" w:hAnsi="Angsana New" w:cs="Angsana New"/>
              <w:sz w:val="18"/>
              <w:szCs w:val="18"/>
            </w:rPr>
            <w:t>คน</w:t>
          </w:r>
          <w:proofErr w:type="spellEnd"/>
          <w:r w:rsidRPr="007701DF">
            <w:rPr>
              <w:rFonts w:eastAsia="Arial Unicode MS"/>
              <w:sz w:val="18"/>
              <w:szCs w:val="18"/>
            </w:rPr>
            <w:t xml:space="preserve"> </w:t>
          </w:r>
          <w:proofErr w:type="spellStart"/>
          <w:r w:rsidRPr="007701DF">
            <w:rPr>
              <w:rFonts w:ascii="Angsana New" w:eastAsia="Arial Unicode MS" w:hAnsi="Angsana New" w:cs="Angsana New"/>
              <w:sz w:val="18"/>
              <w:szCs w:val="18"/>
            </w:rPr>
            <w:t>ยังไม่ทราบชะตากรรม</w:t>
          </w:r>
          <w:proofErr w:type="spellEnd"/>
          <w:r w:rsidRPr="007701DF">
            <w:rPr>
              <w:rFonts w:eastAsia="Arial Unicode MS"/>
              <w:sz w:val="18"/>
              <w:szCs w:val="18"/>
            </w:rPr>
            <w:t xml:space="preserve"> At least three more Thai refugees missing, fate still unknown. </w:t>
          </w:r>
          <w:proofErr w:type="spellStart"/>
          <w:r w:rsidRPr="007701DF">
            <w:rPr>
              <w:rFonts w:eastAsia="Arial Unicode MS"/>
              <w:sz w:val="18"/>
              <w:szCs w:val="18"/>
            </w:rPr>
            <w:t>iLaw</w:t>
          </w:r>
          <w:proofErr w:type="spellEnd"/>
          <w:r w:rsidRPr="007701DF">
            <w:rPr>
              <w:rFonts w:eastAsia="Arial Unicode MS"/>
              <w:sz w:val="18"/>
              <w:szCs w:val="18"/>
            </w:rPr>
            <w:t>.</w:t>
          </w:r>
        </w:sdtContent>
      </w:sdt>
      <w:hyperlink r:id="rId5">
        <w:r w:rsidRPr="007701DF">
          <w:rPr>
            <w:sz w:val="18"/>
            <w:szCs w:val="18"/>
          </w:rPr>
          <w:t xml:space="preserve"> </w:t>
        </w:r>
      </w:hyperlink>
      <w:hyperlink r:id="rId6">
        <w:r w:rsidRPr="007701DF">
          <w:rPr>
            <w:color w:val="1155CC"/>
            <w:sz w:val="18"/>
            <w:szCs w:val="18"/>
            <w:u w:val="single"/>
          </w:rPr>
          <w:t>https://www.ilaw.or.th/articles/9407</w:t>
        </w:r>
      </w:hyperlink>
      <w:r w:rsidRPr="007701DF">
        <w:rPr>
          <w:sz w:val="18"/>
          <w:szCs w:val="18"/>
        </w:rPr>
        <w:t>, 13 May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7F52" w14:textId="77777777" w:rsidR="00EF19B6" w:rsidRDefault="00EF19B6" w:rsidP="00EF19B6">
    <w:pPr>
      <w:pStyle w:val="Header"/>
      <w:jc w:val="center"/>
    </w:pPr>
    <w:r>
      <w:rPr>
        <w:b/>
        <w:bCs/>
        <w:noProof/>
        <w:color w:val="000000" w:themeColor="text1"/>
        <w14:ligatures w14:val="standardContextual"/>
      </w:rPr>
      <w:drawing>
        <wp:inline distT="0" distB="0" distL="0" distR="0" wp14:anchorId="564335FE" wp14:editId="6B7B403D">
          <wp:extent cx="1459753" cy="850091"/>
          <wp:effectExtent l="0" t="0" r="1270" b="1270"/>
          <wp:docPr id="577731231" name="Picture 1" descr="A black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990" name="Picture 1" descr="A black and red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75584" cy="859310"/>
                  </a:xfrm>
                  <a:prstGeom prst="rect">
                    <a:avLst/>
                  </a:prstGeom>
                </pic:spPr>
              </pic:pic>
            </a:graphicData>
          </a:graphic>
        </wp:inline>
      </w:drawing>
    </w:r>
  </w:p>
  <w:p w14:paraId="39D35D4C" w14:textId="77777777" w:rsidR="00B625FC" w:rsidRDefault="00B625FC" w:rsidP="00EF19B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0838"/>
    <w:multiLevelType w:val="hybridMultilevel"/>
    <w:tmpl w:val="F48C413C"/>
    <w:lvl w:ilvl="0" w:tplc="6214190A">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81349A"/>
    <w:multiLevelType w:val="hybridMultilevel"/>
    <w:tmpl w:val="01FEDBFC"/>
    <w:lvl w:ilvl="0" w:tplc="76C030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2076B0"/>
    <w:multiLevelType w:val="hybridMultilevel"/>
    <w:tmpl w:val="9FD89A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3F731F"/>
    <w:multiLevelType w:val="multilevel"/>
    <w:tmpl w:val="6414E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0B55AEA"/>
    <w:multiLevelType w:val="hybridMultilevel"/>
    <w:tmpl w:val="3594C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5917475">
    <w:abstractNumId w:val="3"/>
  </w:num>
  <w:num w:numId="2" w16cid:durableId="16660729">
    <w:abstractNumId w:val="4"/>
  </w:num>
  <w:num w:numId="3" w16cid:durableId="1805737348">
    <w:abstractNumId w:val="2"/>
  </w:num>
  <w:num w:numId="4" w16cid:durableId="220482092">
    <w:abstractNumId w:val="0"/>
  </w:num>
  <w:num w:numId="5" w16cid:durableId="1921450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395"/>
    <w:rsid w:val="00033909"/>
    <w:rsid w:val="00152214"/>
    <w:rsid w:val="001A19CF"/>
    <w:rsid w:val="00213E6A"/>
    <w:rsid w:val="00344BC1"/>
    <w:rsid w:val="00347FEA"/>
    <w:rsid w:val="0044269F"/>
    <w:rsid w:val="00567395"/>
    <w:rsid w:val="00576D59"/>
    <w:rsid w:val="0068208E"/>
    <w:rsid w:val="006F7BB6"/>
    <w:rsid w:val="00727A7F"/>
    <w:rsid w:val="007872E2"/>
    <w:rsid w:val="00794A39"/>
    <w:rsid w:val="00877910"/>
    <w:rsid w:val="008C0FBF"/>
    <w:rsid w:val="008C710B"/>
    <w:rsid w:val="00946368"/>
    <w:rsid w:val="00981728"/>
    <w:rsid w:val="00A537B3"/>
    <w:rsid w:val="00B625FC"/>
    <w:rsid w:val="00C24165"/>
    <w:rsid w:val="00CE79C7"/>
    <w:rsid w:val="00D121C9"/>
    <w:rsid w:val="00D140C3"/>
    <w:rsid w:val="00D82AD7"/>
    <w:rsid w:val="00E05788"/>
    <w:rsid w:val="00EF19B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1ED8C"/>
  <w15:chartTrackingRefBased/>
  <w15:docId w15:val="{ECB11C9B-61E7-4A4B-8ACB-74F5178E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395"/>
    <w:pPr>
      <w:spacing w:before="240" w:after="240" w:line="259" w:lineRule="auto"/>
      <w:jc w:val="both"/>
    </w:pPr>
    <w:rPr>
      <w:rFonts w:ascii="Times New Roman" w:eastAsia="Times New Roman" w:hAnsi="Times New Roman" w:cs="Times New Roman"/>
      <w:kern w:val="0"/>
      <w:lang w:val="en-US" w:eastAsia="en-GB"/>
      <w14:ligatures w14:val="none"/>
    </w:rPr>
  </w:style>
  <w:style w:type="paragraph" w:styleId="Heading1">
    <w:name w:val="heading 1"/>
    <w:aliases w:val="Heading 1.1"/>
    <w:basedOn w:val="Normal"/>
    <w:next w:val="Normal"/>
    <w:link w:val="Heading1Char"/>
    <w:uiPriority w:val="9"/>
    <w:qFormat/>
    <w:rsid w:val="00E05788"/>
    <w:pPr>
      <w:keepNext/>
      <w:keepLines/>
      <w:spacing w:before="360" w:after="80"/>
      <w:outlineLvl w:val="0"/>
    </w:pPr>
    <w:rPr>
      <w:rFonts w:asciiTheme="majorHAnsi" w:eastAsiaTheme="majorEastAsia" w:hAnsiTheme="majorHAnsi" w:cstheme="majorBidi"/>
      <w:b/>
      <w:color w:val="000000" w:themeColor="text1"/>
      <w:sz w:val="56"/>
      <w:szCs w:val="50"/>
    </w:rPr>
  </w:style>
  <w:style w:type="paragraph" w:styleId="Heading2">
    <w:name w:val="heading 2"/>
    <w:basedOn w:val="Normal"/>
    <w:next w:val="Normal"/>
    <w:link w:val="Heading2Char"/>
    <w:uiPriority w:val="9"/>
    <w:unhideWhenUsed/>
    <w:qFormat/>
    <w:rsid w:val="00567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673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3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3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3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3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3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3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
    <w:basedOn w:val="DefaultParagraphFont"/>
    <w:link w:val="Heading1"/>
    <w:uiPriority w:val="9"/>
    <w:rsid w:val="00E05788"/>
    <w:rPr>
      <w:rFonts w:asciiTheme="majorHAnsi" w:eastAsiaTheme="majorEastAsia" w:hAnsiTheme="majorHAnsi" w:cstheme="majorBidi"/>
      <w:b/>
      <w:color w:val="000000" w:themeColor="text1"/>
      <w:sz w:val="56"/>
      <w:szCs w:val="50"/>
    </w:rPr>
  </w:style>
  <w:style w:type="character" w:customStyle="1" w:styleId="Heading2Char">
    <w:name w:val="Heading 2 Char"/>
    <w:basedOn w:val="DefaultParagraphFont"/>
    <w:link w:val="Heading2"/>
    <w:uiPriority w:val="9"/>
    <w:semiHidden/>
    <w:rsid w:val="005673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3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3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3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3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3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3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395"/>
    <w:rPr>
      <w:rFonts w:eastAsiaTheme="majorEastAsia" w:cstheme="majorBidi"/>
      <w:color w:val="272727" w:themeColor="text1" w:themeTint="D8"/>
    </w:rPr>
  </w:style>
  <w:style w:type="paragraph" w:styleId="Title">
    <w:name w:val="Title"/>
    <w:basedOn w:val="Normal"/>
    <w:next w:val="Normal"/>
    <w:link w:val="TitleChar"/>
    <w:uiPriority w:val="10"/>
    <w:qFormat/>
    <w:rsid w:val="00567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3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395"/>
    <w:pPr>
      <w:spacing w:before="160"/>
      <w:jc w:val="center"/>
    </w:pPr>
    <w:rPr>
      <w:i/>
      <w:iCs/>
      <w:color w:val="404040" w:themeColor="text1" w:themeTint="BF"/>
    </w:rPr>
  </w:style>
  <w:style w:type="character" w:customStyle="1" w:styleId="QuoteChar">
    <w:name w:val="Quote Char"/>
    <w:basedOn w:val="DefaultParagraphFont"/>
    <w:link w:val="Quote"/>
    <w:uiPriority w:val="29"/>
    <w:rsid w:val="00567395"/>
    <w:rPr>
      <w:i/>
      <w:iCs/>
      <w:color w:val="404040" w:themeColor="text1" w:themeTint="BF"/>
    </w:rPr>
  </w:style>
  <w:style w:type="paragraph" w:styleId="ListParagraph">
    <w:name w:val="List Paragraph"/>
    <w:basedOn w:val="Normal"/>
    <w:uiPriority w:val="34"/>
    <w:qFormat/>
    <w:rsid w:val="00567395"/>
    <w:pPr>
      <w:ind w:left="720"/>
      <w:contextualSpacing/>
    </w:pPr>
  </w:style>
  <w:style w:type="character" w:styleId="IntenseEmphasis">
    <w:name w:val="Intense Emphasis"/>
    <w:basedOn w:val="DefaultParagraphFont"/>
    <w:uiPriority w:val="21"/>
    <w:qFormat/>
    <w:rsid w:val="00567395"/>
    <w:rPr>
      <w:i/>
      <w:iCs/>
      <w:color w:val="0F4761" w:themeColor="accent1" w:themeShade="BF"/>
    </w:rPr>
  </w:style>
  <w:style w:type="paragraph" w:styleId="IntenseQuote">
    <w:name w:val="Intense Quote"/>
    <w:basedOn w:val="Normal"/>
    <w:next w:val="Normal"/>
    <w:link w:val="IntenseQuoteChar"/>
    <w:uiPriority w:val="30"/>
    <w:qFormat/>
    <w:rsid w:val="00567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395"/>
    <w:rPr>
      <w:i/>
      <w:iCs/>
      <w:color w:val="0F4761" w:themeColor="accent1" w:themeShade="BF"/>
    </w:rPr>
  </w:style>
  <w:style w:type="character" w:styleId="IntenseReference">
    <w:name w:val="Intense Reference"/>
    <w:basedOn w:val="DefaultParagraphFont"/>
    <w:uiPriority w:val="32"/>
    <w:qFormat/>
    <w:rsid w:val="00567395"/>
    <w:rPr>
      <w:b/>
      <w:bCs/>
      <w:smallCaps/>
      <w:color w:val="0F4761" w:themeColor="accent1" w:themeShade="BF"/>
      <w:spacing w:val="5"/>
    </w:rPr>
  </w:style>
  <w:style w:type="character" w:styleId="FootnoteReference">
    <w:name w:val="footnote reference"/>
    <w:basedOn w:val="DefaultParagraphFont"/>
    <w:uiPriority w:val="99"/>
    <w:semiHidden/>
    <w:unhideWhenUsed/>
    <w:rsid w:val="00567395"/>
    <w:rPr>
      <w:vertAlign w:val="superscript"/>
    </w:rPr>
  </w:style>
  <w:style w:type="paragraph" w:styleId="Header">
    <w:name w:val="header"/>
    <w:basedOn w:val="Normal"/>
    <w:link w:val="HeaderChar"/>
    <w:uiPriority w:val="99"/>
    <w:unhideWhenUsed/>
    <w:rsid w:val="00EF19B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F19B6"/>
    <w:rPr>
      <w:rFonts w:ascii="Times New Roman" w:eastAsia="Times New Roman" w:hAnsi="Times New Roman" w:cs="Times New Roman"/>
      <w:kern w:val="0"/>
      <w:lang w:val="en-US" w:eastAsia="en-GB"/>
      <w14:ligatures w14:val="none"/>
    </w:rPr>
  </w:style>
  <w:style w:type="paragraph" w:styleId="Footer">
    <w:name w:val="footer"/>
    <w:basedOn w:val="Normal"/>
    <w:link w:val="FooterChar"/>
    <w:uiPriority w:val="99"/>
    <w:unhideWhenUsed/>
    <w:rsid w:val="00EF19B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F19B6"/>
    <w:rPr>
      <w:rFonts w:ascii="Times New Roman" w:eastAsia="Times New Roman" w:hAnsi="Times New Roman" w:cs="Times New Roman"/>
      <w:kern w:val="0"/>
      <w:lang w:val="en-US" w:eastAsia="en-GB"/>
      <w14:ligatures w14:val="none"/>
    </w:rPr>
  </w:style>
  <w:style w:type="character" w:styleId="Hyperlink">
    <w:name w:val="Hyperlink"/>
    <w:basedOn w:val="DefaultParagraphFont"/>
    <w:uiPriority w:val="99"/>
    <w:unhideWhenUsed/>
    <w:rsid w:val="00213E6A"/>
    <w:rPr>
      <w:color w:val="467886" w:themeColor="hyperlink"/>
      <w:u w:val="single"/>
    </w:rPr>
  </w:style>
  <w:style w:type="character" w:styleId="UnresolvedMention">
    <w:name w:val="Unresolved Mention"/>
    <w:basedOn w:val="DefaultParagraphFont"/>
    <w:uiPriority w:val="99"/>
    <w:semiHidden/>
    <w:unhideWhenUsed/>
    <w:rsid w:val="00213E6A"/>
    <w:rPr>
      <w:color w:val="605E5C"/>
      <w:shd w:val="clear" w:color="auto" w:fill="E1DFDD"/>
    </w:rPr>
  </w:style>
  <w:style w:type="paragraph" w:styleId="NormalWeb">
    <w:name w:val="Normal (Web)"/>
    <w:basedOn w:val="Normal"/>
    <w:uiPriority w:val="99"/>
    <w:semiHidden/>
    <w:unhideWhenUsed/>
    <w:rsid w:val="00B625FC"/>
    <w:pPr>
      <w:spacing w:before="100" w:beforeAutospacing="1" w:after="100" w:afterAutospacing="1" w:line="240" w:lineRule="auto"/>
      <w:jc w:val="left"/>
    </w:pPr>
    <w:rPr>
      <w:lang w:val="en-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ct.org/en/resources/individual-cases/thailand-concerns-over-the-potential-extradition-of-y-quyhn-bda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static.nhrc.or.th/file/content/pdf/27662/22-1716800488.pdf" TargetMode="External"/><Relationship Id="rId4" Type="http://schemas.openxmlformats.org/officeDocument/2006/relationships/settings" Target="settings.xml"/><Relationship Id="rId9" Type="http://schemas.openxmlformats.org/officeDocument/2006/relationships/hyperlink" Target="https://www.omct.org/en/resources/statements/open-letter-to-the-royal-thai-government-on-the-extradition-of-united-nations-recognized-refugee-y-quynh-bdap" TargetMode="Externa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bbc.com/thai/thailand-52946342" TargetMode="External"/><Relationship Id="rId2" Type="http://schemas.openxmlformats.org/officeDocument/2006/relationships/hyperlink" Target="https://www.voanews.com/a/cambodia-ends-probe-into-2020-abduction-of-pheu-thai-activist-/7520128.html" TargetMode="External"/><Relationship Id="rId1" Type="http://schemas.openxmlformats.org/officeDocument/2006/relationships/hyperlink" Target="https://www.isranews.org/isranews-scoop/39015-blacklist_8882392392.html" TargetMode="External"/><Relationship Id="rId6" Type="http://schemas.openxmlformats.org/officeDocument/2006/relationships/hyperlink" Target="https://www.ilaw.or.th/articles/9407" TargetMode="External"/><Relationship Id="rId5" Type="http://schemas.openxmlformats.org/officeDocument/2006/relationships/hyperlink" Target="https://www.ilaw.or.th/articles/9407" TargetMode="External"/><Relationship Id="rId4" Type="http://schemas.openxmlformats.org/officeDocument/2006/relationships/hyperlink" Target="https://www.bbc.com/thai/thailand-5294634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World Organisation Against Torture (OMCT)</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3FD4851C-EF04-1D45-B261-D8E15C4F668B}">
  <ds:schemaRefs>
    <ds:schemaRef ds:uri="http://schemas.openxmlformats.org/officeDocument/2006/bibliography"/>
  </ds:schemaRefs>
</ds:datastoreItem>
</file>

<file path=customXml/itemProps2.xml><?xml version="1.0" encoding="utf-8"?>
<ds:datastoreItem xmlns:ds="http://schemas.openxmlformats.org/officeDocument/2006/customXml" ds:itemID="{2060C73D-7422-45FF-B14D-8A315EC1D88B}"/>
</file>

<file path=customXml/itemProps3.xml><?xml version="1.0" encoding="utf-8"?>
<ds:datastoreItem xmlns:ds="http://schemas.openxmlformats.org/officeDocument/2006/customXml" ds:itemID="{7FCD7702-536D-4C5B-99CD-AE71D4943C24}"/>
</file>

<file path=customXml/itemProps4.xml><?xml version="1.0" encoding="utf-8"?>
<ds:datastoreItem xmlns:ds="http://schemas.openxmlformats.org/officeDocument/2006/customXml" ds:itemID="{3B668DCA-592C-4205-83C5-93431DD24444}"/>
</file>

<file path=docProps/app.xml><?xml version="1.0" encoding="utf-8"?>
<Properties xmlns="http://schemas.openxmlformats.org/officeDocument/2006/extended-properties" xmlns:vt="http://schemas.openxmlformats.org/officeDocument/2006/docPropsVTypes">
  <Template>Normal.dotm</Template>
  <TotalTime>3</TotalTime>
  <Pages>8</Pages>
  <Words>2971</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Anastasia</dc:creator>
  <cp:keywords/>
  <dc:description/>
  <cp:lastModifiedBy>Stella Anastasia</cp:lastModifiedBy>
  <cp:revision>3</cp:revision>
  <cp:lastPrinted>2026-01-29T20:29:00Z</cp:lastPrinted>
  <dcterms:created xsi:type="dcterms:W3CDTF">2026-01-29T20:29:00Z</dcterms:created>
  <dcterms:modified xsi:type="dcterms:W3CDTF">2026-01-29T20:32:00Z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