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How do enforced disappearances occur in the context of transnational repression, and which individuals are most at risk? </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Enforced disappearances in Bahrain have been repeatedly documented during periods of heightened political unrest, particularly since 2011, reflecting broader patterns of authoritarian consolidation. The Bahraini government has used enforced disappearances to silence political dissidents, activists and students both abroad and within the country. In the context of transnational repression, exiled Bahraini dissidents, asylum seekers, and human rights defenders are among those most at risk, as the government frequently uses tools such as </w:t>
      </w:r>
      <w:hyperlink r:id="rId6">
        <w:r w:rsidDel="00000000" w:rsidR="00000000" w:rsidRPr="00000000">
          <w:rPr>
            <w:rFonts w:ascii="Times New Roman" w:cs="Times New Roman" w:eastAsia="Times New Roman" w:hAnsi="Times New Roman"/>
            <w:color w:val="1155cc"/>
            <w:sz w:val="24"/>
            <w:szCs w:val="24"/>
            <w:rtl w:val="0"/>
          </w:rPr>
          <w:t xml:space="preserve">Interpol Red Notices</w:t>
        </w:r>
      </w:hyperlink>
      <w:r w:rsidDel="00000000" w:rsidR="00000000" w:rsidRPr="00000000">
        <w:rPr>
          <w:rFonts w:ascii="Times New Roman" w:cs="Times New Roman" w:eastAsia="Times New Roman" w:hAnsi="Times New Roman"/>
          <w:sz w:val="24"/>
          <w:szCs w:val="24"/>
          <w:rtl w:val="0"/>
        </w:rPr>
        <w:t xml:space="preserve">, diplomatic pressure, and threats to family members to secure their return. Once repatriated or detained abroad, these individuals face a heightened likelihood of enforced disappearance, torture, and prolonged incommunicado detention. For instance, Human Rights Watch documents the case of </w:t>
      </w:r>
      <w:hyperlink r:id="rId7">
        <w:r w:rsidDel="00000000" w:rsidR="00000000" w:rsidRPr="00000000">
          <w:rPr>
            <w:rFonts w:ascii="Times New Roman" w:cs="Times New Roman" w:eastAsia="Times New Roman" w:hAnsi="Times New Roman"/>
            <w:color w:val="1155cc"/>
            <w:sz w:val="24"/>
            <w:szCs w:val="24"/>
            <w:rtl w:val="0"/>
          </w:rPr>
          <w:t xml:space="preserve">Ahmed Jaffer Muhammad</w:t>
        </w:r>
      </w:hyperlink>
      <w:r w:rsidDel="00000000" w:rsidR="00000000" w:rsidRPr="00000000">
        <w:rPr>
          <w:rFonts w:ascii="Times New Roman" w:cs="Times New Roman" w:eastAsia="Times New Roman" w:hAnsi="Times New Roman"/>
          <w:sz w:val="24"/>
          <w:szCs w:val="24"/>
          <w:rtl w:val="0"/>
        </w:rPr>
        <w:t xml:space="preserve">, a Bahraini dissident who escaped to Serbia after suffering torture at the hands of state authorities, only to be extradited in January 2022 when Bahrain secured an Interpol Red Notice against him. Muhammad had been sentenced to life in prison in unfair, in absentia trials. Although he notified the Belgrade court multiple times of his intention to seek asylum, the extradition went ahead and he is now serving a life sentence in Bahrain. </w:t>
      </w:r>
    </w:p>
    <w:p w:rsidR="00000000" w:rsidDel="00000000" w:rsidP="00000000" w:rsidRDefault="00000000" w:rsidRPr="00000000" w14:paraId="00000004">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the enforced disappearance and arbitrary detention of the </w:t>
      </w:r>
      <w:hyperlink r:id="rId8">
        <w:r w:rsidDel="00000000" w:rsidR="00000000" w:rsidRPr="00000000">
          <w:rPr>
            <w:rFonts w:ascii="Times New Roman" w:cs="Times New Roman" w:eastAsia="Times New Roman" w:hAnsi="Times New Roman"/>
            <w:color w:val="1155cc"/>
            <w:sz w:val="24"/>
            <w:szCs w:val="24"/>
            <w:u w:val="single"/>
            <w:rtl w:val="0"/>
          </w:rPr>
          <w:t xml:space="preserve">family</w:t>
        </w:r>
      </w:hyperlink>
      <w:r w:rsidDel="00000000" w:rsidR="00000000" w:rsidRPr="00000000">
        <w:rPr>
          <w:rFonts w:ascii="Times New Roman" w:cs="Times New Roman" w:eastAsia="Times New Roman" w:hAnsi="Times New Roman"/>
          <w:sz w:val="24"/>
          <w:szCs w:val="24"/>
          <w:rtl w:val="0"/>
        </w:rPr>
        <w:t xml:space="preserve"> of Sayed Ahmed Alwadaei, Director of Advocacy at the London-based Bahrain Institute for Rights and Democracy (BIRD) and a prominent exiled critic of the Bahraini government since the 2011 protests, demonstrates how Bahraini authorities deploy reprisals against relatives to punish and deter human rights activism abroad. His brother-in-law, mother-in-law, and wife faced a range of alleged charges, including planting a bomb and insulting a public official, and were subjected to incommunicado detention for several hours as well as proceedings conducted in absentia. Reports further indicate that Hajer Mansoor, Alwadaei’s mother-in-law, was assaulted while in detention following the publication of a United Nations Secretary-General’s report documenting reprisals against Sayed Ahmed Alwadaei’s family in response to his engagement with UN mechanisms.</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Which national, regional, or international laws, practices, or (bilateral) agreements contribute to or prevent such acts? </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several national and international legal frameworks formally prohibit enforced disappearance, including Bahrain’s own Constitution, the Convention against Torture and Other Cruel Inhuman or Degrading Treatment or Punishment (CAT), and customary international human rights law, these have had limited restraining effect in practice. Article 19 of the </w:t>
      </w:r>
      <w:hyperlink r:id="rId9">
        <w:r w:rsidDel="00000000" w:rsidR="00000000" w:rsidRPr="00000000">
          <w:rPr>
            <w:rFonts w:ascii="Times New Roman" w:cs="Times New Roman" w:eastAsia="Times New Roman" w:hAnsi="Times New Roman"/>
            <w:color w:val="1155cc"/>
            <w:sz w:val="24"/>
            <w:szCs w:val="24"/>
            <w:rtl w:val="0"/>
          </w:rPr>
          <w:t xml:space="preserve">Bahraini Constitution</w:t>
        </w:r>
      </w:hyperlink>
      <w:r w:rsidDel="00000000" w:rsidR="00000000" w:rsidRPr="00000000">
        <w:rPr>
          <w:rFonts w:ascii="Times New Roman" w:cs="Times New Roman" w:eastAsia="Times New Roman" w:hAnsi="Times New Roman"/>
          <w:sz w:val="24"/>
          <w:szCs w:val="24"/>
          <w:rtl w:val="0"/>
        </w:rPr>
        <w:t xml:space="preserve"> explicitly guarantees personal liberty and prohibits arbitrary arrest, incommunicado detention, and torture. Article 19(b) requires that any deprivation of liberty must occur under judicial supervision, while Article 19(c) forbids detention in undisclosed or unauthorised locations, precisely the conditions violated in cases of enforced disappearance. Article 19(d) further prohibits physical or mental torture and renders any confession extracted through such means null and void. Article 20(c) additionally establishes that no person shall be considered guilty without trial, with the assurance of necessary guarantees to exercise the right of defence at all stages. Article 20(d) reinforces the prohibition of harming an accused person both physically and mentally, while Article 20(e) guarantees every person the right to legal representation. By engaging in enforced disappearances, Bahraini authorities directly contravene these constitutional guarantees, highlighting a profound gap between the country’s formal legal commitments and its actual security practices. </w:t>
      </w:r>
    </w:p>
    <w:p w:rsidR="00000000" w:rsidDel="00000000" w:rsidP="00000000" w:rsidRDefault="00000000" w:rsidRPr="00000000" w14:paraId="0000000B">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regional level, the </w:t>
      </w:r>
      <w:hyperlink r:id="rId10">
        <w:r w:rsidDel="00000000" w:rsidR="00000000" w:rsidRPr="00000000">
          <w:rPr>
            <w:rFonts w:ascii="Times New Roman" w:cs="Times New Roman" w:eastAsia="Times New Roman" w:hAnsi="Times New Roman"/>
            <w:color w:val="1155cc"/>
            <w:sz w:val="24"/>
            <w:szCs w:val="24"/>
            <w:rtl w:val="0"/>
          </w:rPr>
          <w:t xml:space="preserve">Arab Charter on Human Rights</w:t>
        </w:r>
      </w:hyperlink>
      <w:r w:rsidDel="00000000" w:rsidR="00000000" w:rsidRPr="00000000">
        <w:rPr>
          <w:rFonts w:ascii="Times New Roman" w:cs="Times New Roman" w:eastAsia="Times New Roman" w:hAnsi="Times New Roman"/>
          <w:sz w:val="24"/>
          <w:szCs w:val="24"/>
          <w:rtl w:val="0"/>
        </w:rPr>
        <w:t xml:space="preserve"> reinforces these protections. Article 8 prohibits physical or psychological torture and cruel, degrading, or inhuman treatment, obliging states to prevent such practices, criminalize perpetrators, and guarantee victims legal redress and rehabilitation. Articles 12 and 13 emphasize equality before the courts, judicial independence, the right to seek legal remedies, and the right to a fair trial before competent, impartial courts with access to legal aid. Articles 14 and 16 guarantee liberty and security of the person, prohibit arbitrary arrest, ensure timely notification of charges in a language understood by the accused, permit communication with family, provide the right to legal counsel and free interpretation if necessary, and entitle victims of arbitrary detention to compensation. Article 16 additionally ensures the presumption of innocence, the right to defend oneself or through a lawyer, examine prosecution witnesses, appeal convictions, and maintain personal security and privacy throughout proceedings. Article 17 provides special procedural safeguards for minors, including protection of dignity, rehabilitation, and reintegration. Articles 20 and 21 further require that all persons deprived of liberty be treated humanely and with dignity, separate pre-trial from convicted persons, promote rehabilitation, and protect individuals from arbitrary interference with privacy, family, home, correspondence, honor, or reputation. Lastly, Article 28 guarantees the right to seek political asylum and prohibits the extradition of political refugees. </w:t>
      </w:r>
    </w:p>
    <w:p w:rsidR="00000000" w:rsidDel="00000000" w:rsidP="00000000" w:rsidRDefault="00000000" w:rsidRPr="00000000" w14:paraId="0000000D">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international level, Bahrain is also bound by the Convention Against Torture (</w:t>
      </w:r>
      <w:hyperlink r:id="rId11">
        <w:r w:rsidDel="00000000" w:rsidR="00000000" w:rsidRPr="00000000">
          <w:rPr>
            <w:rFonts w:ascii="Times New Roman" w:cs="Times New Roman" w:eastAsia="Times New Roman" w:hAnsi="Times New Roman"/>
            <w:color w:val="1155cc"/>
            <w:sz w:val="24"/>
            <w:szCs w:val="24"/>
            <w:rtl w:val="0"/>
          </w:rPr>
          <w:t xml:space="preserve">CAT</w:t>
        </w:r>
      </w:hyperlink>
      <w:r w:rsidDel="00000000" w:rsidR="00000000" w:rsidRPr="00000000">
        <w:rPr>
          <w:rFonts w:ascii="Times New Roman" w:cs="Times New Roman" w:eastAsia="Times New Roman" w:hAnsi="Times New Roman"/>
          <w:sz w:val="24"/>
          <w:szCs w:val="24"/>
          <w:rtl w:val="0"/>
        </w:rPr>
        <w:t xml:space="preserve">) and the International Covenant on Civil and Political Rights (</w:t>
      </w:r>
      <w:hyperlink r:id="rId12">
        <w:r w:rsidDel="00000000" w:rsidR="00000000" w:rsidRPr="00000000">
          <w:rPr>
            <w:rFonts w:ascii="Times New Roman" w:cs="Times New Roman" w:eastAsia="Times New Roman" w:hAnsi="Times New Roman"/>
            <w:color w:val="1155cc"/>
            <w:sz w:val="24"/>
            <w:szCs w:val="24"/>
            <w:rtl w:val="0"/>
          </w:rPr>
          <w:t xml:space="preserve">ICCPR</w:t>
        </w:r>
      </w:hyperlink>
      <w:r w:rsidDel="00000000" w:rsidR="00000000" w:rsidRPr="00000000">
        <w:rPr>
          <w:rFonts w:ascii="Times New Roman" w:cs="Times New Roman" w:eastAsia="Times New Roman" w:hAnsi="Times New Roman"/>
          <w:sz w:val="24"/>
          <w:szCs w:val="24"/>
          <w:rtl w:val="0"/>
        </w:rPr>
        <w:t xml:space="preserve">), both of which prohibit arbitrary detention, torture, and ill-treatment. CAT Article 1 explicitly defines torture as the intentional infliction of severe physical or mental pain for purposes such as punishment, intimidation, coercion, or the extraction of information, when carried out by or with the acquiescence of state officials. The patterns observed in previous cases of unlawful detention in Bahrain closely mirror this definition, with victims routinely subjected to coercive interrogation, intimidation, and prolonged incommunicado detention in order to extract confessions or punish political dissent.  Bahrain has also ratified the ICCPR, and Article 2(3) of the Covenant obliges each State Party to ensure that anyone whose rights are violated has an effective remedy, that claims to such remedies are determined by competent authorities, and that any granted remedies are enforced. Article 7(1) ICCPR explicitly prohibits torture and cruel, inhuman, or degrading treatment or punishment. Article 9 guarantees the right to liberty and security of the person, prohibits arbitrary arrest or detention, requires that anyone arrested be informed of the reasons and promptly brought before a competent judicial authority, and provides for the right to challenge unlawful detention and receive compensation. Article 17 protects individuals from arbitrary or unlawful interference with privacy, family, home, or correspondence, and guarantees legal protection against such interference.</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Which mechanisms exist—or are lacking—to ensure investigation, prosecution, and mutual legal assistance in cases of transnational enforced disappearances? </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Bahrain provides only limited and weak investigation and prosecution mechanisms. For instance, although the National Institute for Human Rights (NIHR) is formally presented as the country’s independent human rights watchdog, in practice it functions largely as a legitimising arm of the state. Despite legal amendments in 2014 and 2016 intended to strengthen its independence, the NIHR has remained only partially compliant with the Paris Principles and continues to receive </w:t>
      </w:r>
      <w:hyperlink r:id="rId13">
        <w:r w:rsidDel="00000000" w:rsidR="00000000" w:rsidRPr="00000000">
          <w:rPr>
            <w:rFonts w:ascii="Times New Roman" w:cs="Times New Roman" w:eastAsia="Times New Roman" w:hAnsi="Times New Roman"/>
            <w:color w:val="1155cc"/>
            <w:sz w:val="24"/>
            <w:szCs w:val="24"/>
            <w:rtl w:val="0"/>
          </w:rPr>
          <w:t xml:space="preserve">B-status</w:t>
        </w:r>
      </w:hyperlink>
      <w:r w:rsidDel="00000000" w:rsidR="00000000" w:rsidRPr="00000000">
        <w:rPr>
          <w:rFonts w:ascii="Times New Roman" w:cs="Times New Roman" w:eastAsia="Times New Roman" w:hAnsi="Times New Roman"/>
          <w:sz w:val="24"/>
          <w:szCs w:val="24"/>
          <w:rtl w:val="0"/>
        </w:rPr>
        <w:t xml:space="preserve"> accreditation. Both the UN Human Rights Committee and the GANHRI Sub-Committee on Accreditation have raised concerns that the Institution lacks independence, operates with an opaque appointment process, and provides little evidence of effective investigations into complaints. Findings by </w:t>
      </w:r>
      <w:hyperlink r:id="rId14">
        <w:r w:rsidDel="00000000" w:rsidR="00000000" w:rsidRPr="00000000">
          <w:rPr>
            <w:rFonts w:ascii="Times New Roman" w:cs="Times New Roman" w:eastAsia="Times New Roman" w:hAnsi="Times New Roman"/>
            <w:color w:val="1155cc"/>
            <w:sz w:val="24"/>
            <w:szCs w:val="24"/>
            <w:rtl w:val="0"/>
          </w:rPr>
          <w:t xml:space="preserve">ADHRB</w:t>
        </w:r>
      </w:hyperlink>
      <w:r w:rsidDel="00000000" w:rsidR="00000000" w:rsidRPr="00000000">
        <w:rPr>
          <w:rFonts w:ascii="Times New Roman" w:cs="Times New Roman" w:eastAsia="Times New Roman" w:hAnsi="Times New Roman"/>
          <w:sz w:val="24"/>
          <w:szCs w:val="24"/>
          <w:rtl w:val="0"/>
        </w:rPr>
        <w:t xml:space="preserve"> noted that the NIHR routinely praises Bahrain’s human rights record while overlooking extensive evidence of arbitrary arrests, torture, enforced disappearances, and unfair trials targeting activists and human rights defenders. Rather than investigating such abuses, the NIHR frequently declares itself  “not a competent body” to assess due process violations or detention-related complaints. </w:t>
      </w:r>
    </w:p>
    <w:p w:rsidR="00000000" w:rsidDel="00000000" w:rsidP="00000000" w:rsidRDefault="00000000" w:rsidRPr="00000000" w14:paraId="00000016">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Bahrain also points to its Special Investigation Unit (SIU) within the Public Prosecution Office and the Ombudsman offices in the Ministry of Interior and National Security Agency. Both bodies are nominally mandated to investigate complaints of torture, ill-treatment, and other abuses by security forces, yet they lack the independence necessary to operate as effective accountability mechanisms. Further undermining accountability, the Bahrain Institute for Rights and Democracy (</w:t>
      </w:r>
      <w:hyperlink r:id="rId15">
        <w:r w:rsidDel="00000000" w:rsidR="00000000" w:rsidRPr="00000000">
          <w:rPr>
            <w:rFonts w:ascii="Times New Roman" w:cs="Times New Roman" w:eastAsia="Times New Roman" w:hAnsi="Times New Roman"/>
            <w:color w:val="1155cc"/>
            <w:sz w:val="24"/>
            <w:szCs w:val="24"/>
            <w:u w:val="single"/>
            <w:rtl w:val="0"/>
          </w:rPr>
          <w:t xml:space="preserve">BIRD</w:t>
        </w:r>
      </w:hyperlink>
      <w:r w:rsidDel="00000000" w:rsidR="00000000" w:rsidRPr="00000000">
        <w:rPr>
          <w:rFonts w:ascii="Times New Roman" w:cs="Times New Roman" w:eastAsia="Times New Roman" w:hAnsi="Times New Roman"/>
          <w:sz w:val="24"/>
          <w:szCs w:val="24"/>
          <w:rtl w:val="0"/>
        </w:rPr>
        <w:t xml:space="preserve">) has shown how how the Ombudsman and SIU have covered up serious torture allegations raised by death-row inmates, allowing courts to rely on coerced confessions in securing their convictions. The </w:t>
      </w:r>
      <w:hyperlink r:id="rId16">
        <w:r w:rsidDel="00000000" w:rsidR="00000000" w:rsidRPr="00000000">
          <w:rPr>
            <w:rFonts w:ascii="Times New Roman" w:cs="Times New Roman" w:eastAsia="Times New Roman" w:hAnsi="Times New Roman"/>
            <w:color w:val="1155cc"/>
            <w:sz w:val="24"/>
            <w:szCs w:val="24"/>
            <w:u w:val="single"/>
            <w:rtl w:val="0"/>
          </w:rPr>
          <w:t xml:space="preserve">SIU</w:t>
        </w:r>
      </w:hyperlink>
      <w:r w:rsidDel="00000000" w:rsidR="00000000" w:rsidRPr="00000000">
        <w:rPr>
          <w:rFonts w:ascii="Times New Roman" w:cs="Times New Roman" w:eastAsia="Times New Roman" w:hAnsi="Times New Roman"/>
          <w:sz w:val="24"/>
          <w:szCs w:val="24"/>
          <w:rtl w:val="0"/>
        </w:rPr>
        <w:t xml:space="preserve">, created in 2012 to hold government officials accountable for torture and ill-treatment, has repeatedly failed to act independently or effectively. It operates under the Public Prosecutor’s Office (PPO), which has been complicit in abuses by accepting coerced confessions and disregarding torture allegations; until 2022, the PPO was directly overseen by the Ministry of Interior (MOI), further limiting its autonomy. Likewise, the MOI Ombudsman has referred very few cases for serious prosecution and has routinely neglected prisoners’ complaints, including those concerning inadequate medical care. Its independence is severely compromised, as it remains administratively and financially dependent on the MOI, with personnel appointed by the Minister of Interior. Moreover, in response to the 2011 uprisings, the Bahraini government created the Bahrain Independent Commission of Inquiry (BICI), staffed by internationally recognized jurists and legal scholars, to examine government abuses and propose legal and policy measures to prevent such violations in the future. However, the majority of BICI’s recommendations have yet to be implemented.</w:t>
      </w:r>
    </w:p>
    <w:p w:rsidR="00000000" w:rsidDel="00000000" w:rsidP="00000000" w:rsidRDefault="00000000" w:rsidRPr="00000000" w14:paraId="00000018">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international level, victims can present formal complaints or urgent appeals to the </w:t>
      </w:r>
      <w:hyperlink r:id="rId17">
        <w:r w:rsidDel="00000000" w:rsidR="00000000" w:rsidRPr="00000000">
          <w:rPr>
            <w:rFonts w:ascii="Times New Roman" w:cs="Times New Roman" w:eastAsia="Times New Roman" w:hAnsi="Times New Roman"/>
            <w:color w:val="1155cc"/>
            <w:sz w:val="24"/>
            <w:szCs w:val="24"/>
            <w:rtl w:val="0"/>
          </w:rPr>
          <w:t xml:space="preserve">Working Group on Arbitrary Detention</w:t>
        </w:r>
      </w:hyperlink>
      <w:r w:rsidDel="00000000" w:rsidR="00000000" w:rsidRPr="00000000">
        <w:rPr>
          <w:rFonts w:ascii="Times New Roman" w:cs="Times New Roman" w:eastAsia="Times New Roman" w:hAnsi="Times New Roman"/>
          <w:sz w:val="24"/>
          <w:szCs w:val="24"/>
          <w:rtl w:val="0"/>
        </w:rPr>
        <w:t xml:space="preserve">, which reviews the information provided and communicates directly with the relevant governments to clarify the cases and draw attention to alleged instances of arbitrary detention; however, it can only issue opinions or commentaries and lacks binding enforcement powers. Moreover, Bahrain has yet to ratify the International Convention for the Protection of All Persons from Enforced Disappearance, leaving an important gap in the legal framework for protecting individuals from enforced disappearance.</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Which measures should States adopt to ensure effective protection, truth, justice, and reparation for victims and their relatives? </w:t>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the fact that enforced disappearances are a highly centralised issue, whereby central authorities are responsible for the pattern of enforced disappearances, it is important to use international standards to enforce the protection, truth, justice, and reparation for victims and their relatives.</w:t>
      </w:r>
    </w:p>
    <w:p w:rsidR="00000000" w:rsidDel="00000000" w:rsidP="00000000" w:rsidRDefault="00000000" w:rsidRPr="00000000" w14:paraId="0000001F">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Bahrain has not ratified the International Convention for the Protection of All Persons from Enforced Disappearance. It is crucial to ratify the Convention in order to set the precedent in Bahrain that enforced disappearances are indeed a human rights issue, as well as allowing the country to be held accountable if enforced disappearances continue. After ratifying and joining the Convention, Bahrain would be obliged to </w:t>
      </w:r>
      <w:hyperlink r:id="rId18">
        <w:r w:rsidDel="00000000" w:rsidR="00000000" w:rsidRPr="00000000">
          <w:rPr>
            <w:rFonts w:ascii="Times New Roman" w:cs="Times New Roman" w:eastAsia="Times New Roman" w:hAnsi="Times New Roman"/>
            <w:color w:val="1155cc"/>
            <w:sz w:val="24"/>
            <w:szCs w:val="24"/>
            <w:rtl w:val="0"/>
          </w:rPr>
          <w:t xml:space="preserve">submit reports to the panel of independent experts</w:t>
        </w:r>
      </w:hyperlink>
      <w:r w:rsidDel="00000000" w:rsidR="00000000" w:rsidRPr="00000000">
        <w:rPr>
          <w:rFonts w:ascii="Times New Roman" w:cs="Times New Roman" w:eastAsia="Times New Roman" w:hAnsi="Times New Roman"/>
          <w:sz w:val="24"/>
          <w:szCs w:val="24"/>
          <w:rtl w:val="0"/>
        </w:rPr>
        <w:t xml:space="preserve"> - the Committee on Enforced Disappearances (CED). This body can monitor the implementation and progression of Bahrain’s commitment to the Convention. This will contribute to the effective protection and truth with regards to cases of enforced disappearances.</w:t>
      </w:r>
    </w:p>
    <w:p w:rsidR="00000000" w:rsidDel="00000000" w:rsidP="00000000" w:rsidRDefault="00000000" w:rsidRPr="00000000" w14:paraId="00000021">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 be argued that it is important to criminalise the commission of acts resulting in enforced disappearances. However, Bahrain is breaching its own constitution by engaging in enforced disappearances, particularly when considering that enforced disappearances are often linked with torture, inhumane treatment, and physical and psychological harm against persons. Article 19 of the Bahraini Constitution outlines the rights afforded to people pertaining to personal freedoms. Article 19(a) cements that “Personal liberty is guaranteed under the law.” Article 19(b) stipulates that “A person cannot be arrested, detained, imprisoned or searched, or his place of residence specified or his freedom of residence or movement restricted, except under the provisions of the law and under judicial supervision”, which in theory should protect people who are arbitrarily detained and later subjected to enforced disappearances. Finally, pursuant to Article 19(d) “No person shall be subjected to physical or mental torture, enticement or degrading treatment, and the law shall provide the penalty for these acts.” When it comes to enforced disappearances, physical or mental torture is likely being inflicted upon the individual who has been detained or in any other way labelled an “enforced disappearance”, however, mental torture is applicable to the relatives of the disappeared individual.</w:t>
      </w:r>
    </w:p>
    <w:p w:rsidR="00000000" w:rsidDel="00000000" w:rsidP="00000000" w:rsidRDefault="00000000" w:rsidRPr="00000000" w14:paraId="00000023">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concrete form of protection against enforced disappearances in Bahrain, would be to ensure that the practice is not carried out in the first place. This, however, does not take into account the cases which have already taken place, as well as the possibility that cases can still take place in the future. In order to address the aspects of justice and reparation for victims and their relatives, there are several approaches that should be in place. In a </w:t>
      </w:r>
      <w:hyperlink r:id="rId19">
        <w:r w:rsidDel="00000000" w:rsidR="00000000" w:rsidRPr="00000000">
          <w:rPr>
            <w:rFonts w:ascii="Times New Roman" w:cs="Times New Roman" w:eastAsia="Times New Roman" w:hAnsi="Times New Roman"/>
            <w:color w:val="1155cc"/>
            <w:sz w:val="24"/>
            <w:szCs w:val="24"/>
            <w:rtl w:val="0"/>
          </w:rPr>
          <w:t xml:space="preserve">Report of the Working Group on Enforced or Involuntary Disappearances</w:t>
        </w:r>
      </w:hyperlink>
      <w:r w:rsidDel="00000000" w:rsidR="00000000" w:rsidRPr="00000000">
        <w:rPr>
          <w:rFonts w:ascii="Times New Roman" w:cs="Times New Roman" w:eastAsia="Times New Roman" w:hAnsi="Times New Roman"/>
          <w:sz w:val="24"/>
          <w:szCs w:val="24"/>
          <w:rtl w:val="0"/>
        </w:rPr>
        <w:t xml:space="preserve">, several reparations mechanisms are discussed. This consists of a national programme that includes compensation, restitution, rehabilitation, satisfaction and guarantees of non-repetition for all victims of human rights violations, including enforced disappearances. It is important to note that the implementation of such a system is likely to be more effective once a general precedent against enforced disappearances is set, and the sign of an initiative to take action is shown.  </w:t>
      </w:r>
      <w:r w:rsidDel="00000000" w:rsidR="00000000" w:rsidRPr="00000000">
        <w:rPr>
          <w:rtl w:val="0"/>
        </w:rPr>
      </w:r>
    </w:p>
    <w:p w:rsidR="00000000" w:rsidDel="00000000" w:rsidP="00000000" w:rsidRDefault="00000000" w:rsidRPr="00000000" w14:paraId="0000002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How can international organizations such as INTERPOL strengthen safeguards against misuse of their mechanisms? </w:t>
      </w:r>
      <w:r w:rsidDel="00000000" w:rsidR="00000000" w:rsidRPr="00000000">
        <w:rPr>
          <w:rtl w:val="0"/>
        </w:rPr>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INTERPOL’s Red Notice is a mechanism which is enforced worldwide in order to locate and arrest a person pending extradition, surrender, or similar legal action. It is not an international arrest warrant, as countries apply their own laws with regards to the decision of arresting a person. While the overarching objective points to greater global security, it is clear that this mechanism can be misused by states with the objective of detaining persons who have fled the country. </w:t>
      </w:r>
    </w:p>
    <w:p w:rsidR="00000000" w:rsidDel="00000000" w:rsidP="00000000" w:rsidRDefault="00000000" w:rsidRPr="00000000" w14:paraId="00000028">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Bahrain has misused the Red Notice mechanism on several occasions. In 2023, Ahmed Jaffar Mohammed Ali was arrested and extradited from Serbia following a Red Notice issued by Bahrain. He is currently serving a life sentence, despite an order from the European Court of Human Rights preventing it, given the risk of torture and ill-treatment that the detainee would face if extradited. Bahrain has frequently used the claim of terrorism-related offences to detain those who are deemed dissidents and have fled the country, particularly after the Arab Spring of 2011. Among others, the most prominent case of Bahrain’s misuse took place against Bahraini footballer Hakeem al-Araibi, who was wrongfully arrested in Thailand. It is clear that Bahrain is quick to use the Red Notice to impose its regime upon its people, and silence the voices of any individual who is politically outspoken. The high likelihood of those extradited to Bahrain being tortured and subjected to ill-treatment is a clear violation of principles of non-refoulement, though there are mechanisms to enforce the prevention of misuse of this mechanism. </w:t>
      </w:r>
    </w:p>
    <w:p w:rsidR="00000000" w:rsidDel="00000000" w:rsidP="00000000" w:rsidRDefault="00000000" w:rsidRPr="00000000" w14:paraId="0000002A">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Lawyers from ADHRB take on cases of persons subjected to Red Notices, particularly journalists. Lawyers fight for the deletion of the Red Notice in Lyon, France, where INTERPOL is headquartered, whilst coordinating for the provision of legal aid in the country where the individual may find themselves. ADHRB lawyers have been successful in defeating the Red Notice, and providing aid to the local attorney to combat the extradition.</w:t>
      </w:r>
    </w:p>
    <w:p w:rsidR="00000000" w:rsidDel="00000000" w:rsidP="00000000" w:rsidRDefault="00000000" w:rsidRPr="00000000" w14:paraId="0000002C">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Red Notice Dossier Research, ADHRB lawyers can tackle the misuse of Red Notices preemptively. Any person in the world can file a request to INTERPOL, in order to see if INTERPOL retains any information or open files concerning them. Those persons can then modify or delete data, thereby addressing potential Red Notices before they are issued by the state. </w:t>
      </w:r>
    </w:p>
    <w:p w:rsidR="00000000" w:rsidDel="00000000" w:rsidP="00000000" w:rsidRDefault="00000000" w:rsidRPr="00000000" w14:paraId="0000002E">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Americans for Democracy &amp; Human Rights in Bahrain (ADHRB) have also noted the issue of diffusions in MENA countries, largely used against activists. Diffusion is a covert INTERPOL procedure wherein governments discreetly alert other nations of an individual’s wanted status without formal extradition requests. Through this process, INTERPOL generates a concealed file on an individual without their knowledge or public disclosure. In theory, diffusions are intended to be a means of rapid information exchange between law enforcement agencies, which means that the </w:t>
      </w:r>
      <w:hyperlink r:id="rId20">
        <w:r w:rsidDel="00000000" w:rsidR="00000000" w:rsidRPr="00000000">
          <w:rPr>
            <w:rFonts w:ascii="Times New Roman" w:cs="Times New Roman" w:eastAsia="Times New Roman" w:hAnsi="Times New Roman"/>
            <w:color w:val="1155cc"/>
            <w:sz w:val="24"/>
            <w:szCs w:val="24"/>
            <w:rtl w:val="0"/>
          </w:rPr>
          <w:t xml:space="preserve">verification or approval by the INTERPOL General Secretariat is entirely bypassed</w:t>
        </w:r>
      </w:hyperlink>
      <w:r w:rsidDel="00000000" w:rsidR="00000000" w:rsidRPr="00000000">
        <w:rPr>
          <w:rFonts w:ascii="Times New Roman" w:cs="Times New Roman" w:eastAsia="Times New Roman" w:hAnsi="Times New Roman"/>
          <w:sz w:val="24"/>
          <w:szCs w:val="24"/>
          <w:rtl w:val="0"/>
        </w:rPr>
        <w:t xml:space="preserve">. While the Red Notice entails greater legal obligations with regards to the arrest and extradition of requested individuals, diffusions can be used to greater effect when the requested individual has fled to a country that is likely to cooperate with the country sending the diffusion. </w:t>
      </w:r>
    </w:p>
    <w:p w:rsidR="00000000" w:rsidDel="00000000" w:rsidP="00000000" w:rsidRDefault="00000000" w:rsidRPr="00000000" w14:paraId="00000030">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therefore recommended that, in order to avoid the misuse of INTERPOL’s mechanisms, INTERPOL publish all diffusions on the INTERPOL website, like the publication of notices; ensure prompt notification to affected individuals with explanation of the methods available for challenging diffusions; establish an office within INTEPROL to screen and review diffusions for abuse and conduct a thorough legality review; require that all diffusions undergo a human rights assessment, particularly from countries with a history of human rights violations; and increase the resources for diffusion reviews to reduce the response times to two week from up to a year. </w:t>
      </w:r>
    </w:p>
    <w:p w:rsidR="00000000" w:rsidDel="00000000" w:rsidP="00000000" w:rsidRDefault="00000000" w:rsidRPr="00000000" w14:paraId="00000032">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organizations can contribute to safeguarding the misuse of INTERPOL mechanisms by advocating for these same recommendations, as well as by providing legal representation or aid to those who have received Red Notices. Whether the Notice itself is defeated, or enough time is won to coordinate with local authorities, Bahrain’s misuse of INTERPOL mechanisms can be directly confronted.</w:t>
      </w:r>
    </w:p>
    <w:p w:rsidR="00000000" w:rsidDel="00000000" w:rsidP="00000000" w:rsidRDefault="00000000" w:rsidRPr="00000000" w14:paraId="00000034">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Are there positive examples of domestic or international cooperation that have effectively prevented or addressed enforced disappearances in a transnational context?</w:t>
      </w:r>
    </w:p>
    <w:p w:rsidR="00000000" w:rsidDel="00000000" w:rsidP="00000000" w:rsidRDefault="00000000" w:rsidRPr="00000000" w14:paraId="00000036">
      <w:pP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3" Type="http://schemas.openxmlformats.org/officeDocument/2006/relationships/hyperlink" Target="https://menarights.org/en/documents/evaluation-report-bahraini-national-institution-human-rights" TargetMode="External"/><Relationship Id="rId18" Type="http://schemas.openxmlformats.org/officeDocument/2006/relationships/hyperlink" Target="https://bahrainileaks.com/en/bchr-enforced-disappearance-deprives-victims-from-protection-of-the-law/" TargetMode="External"/><Relationship Id="rId8" Type="http://schemas.openxmlformats.org/officeDocument/2006/relationships/hyperlink" Target="https://birdbh.org/champions-of-justice/family-members-of-sayed-ahmed-alwadaei/" TargetMode="External"/><Relationship Id="rId3" Type="http://schemas.openxmlformats.org/officeDocument/2006/relationships/fontTable" Target="fontTable.xml"/><Relationship Id="rId21" Type="http://schemas.openxmlformats.org/officeDocument/2006/relationships/customXml" Target="../customXml/item1.xml"/><Relationship Id="rId12" Type="http://schemas.openxmlformats.org/officeDocument/2006/relationships/hyperlink" Target="https://www.ohchr.org/en/instruments-mechanisms/instruments/international-covenant-civil-and-political-rights" TargetMode="External"/><Relationship Id="rId17" Type="http://schemas.openxmlformats.org/officeDocument/2006/relationships/hyperlink" Target="https://www.ohchr.org/en/special-procedures/wg-arbitrary-detention/complaints-and-urgent-appeals" TargetMode="External"/><Relationship Id="rId7" Type="http://schemas.openxmlformats.org/officeDocument/2006/relationships/hyperlink" Target="https://www.hrw.org/news/2022/01/27/serbia-bahraini-dissident-unlawfully-extradited" TargetMode="External"/><Relationship Id="rId20" Type="http://schemas.openxmlformats.org/officeDocument/2006/relationships/hyperlink" Target="https://humanrights-lawyer.com/blog/what-is-the-difference-between-an-interpol-red-notice-and-a-diffusion/#:~:text=Interpol's%20diffusion%20is%20a%20means,escaping%20justice%20becomes%20much%20less." TargetMode="External"/><Relationship Id="rId2" Type="http://schemas.openxmlformats.org/officeDocument/2006/relationships/settings" Target="settings.xml"/><Relationship Id="rId16" Type="http://schemas.openxmlformats.org/officeDocument/2006/relationships/hyperlink" Target="https://www.ecdhr.org/the-chain-of-responsibility-ending-bahrains-culture-of-impunity/" TargetMode="External"/><Relationship Id="rId11" Type="http://schemas.openxmlformats.org/officeDocument/2006/relationships/hyperlink" Target="https://www.ohchr.org/en/instruments-mechanisms/instruments/convention-against-torture-and-other-cruel-inhuman-or-degrading" TargetMode="External"/><Relationship Id="rId1" Type="http://schemas.openxmlformats.org/officeDocument/2006/relationships/theme" Target="theme/theme1.xml"/><Relationship Id="rId6" Type="http://schemas.openxmlformats.org/officeDocument/2006/relationships/hyperlink" Target="https://news.sky.com/story/because-of-interpol-my-life-is-destroyed-bahrain-accused-of-abusing-the-red-notice-system-12933177" TargetMode="External"/><Relationship Id="rId15" Type="http://schemas.openxmlformats.org/officeDocument/2006/relationships/hyperlink" Target="https://committees.parliament.uk/writtenevidence/91566/html/" TargetMode="External"/><Relationship Id="rId5" Type="http://schemas.openxmlformats.org/officeDocument/2006/relationships/styles" Target="styles.xml"/><Relationship Id="rId23" Type="http://schemas.openxmlformats.org/officeDocument/2006/relationships/customXml" Target="../customXml/item3.xml"/><Relationship Id="rId10" Type="http://schemas.openxmlformats.org/officeDocument/2006/relationships/hyperlink" Target="https://digitallibrary.un.org/record/551368?ln=en&amp;v=pdf#files" TargetMode="External"/><Relationship Id="rId19" Type="http://schemas.openxmlformats.org/officeDocument/2006/relationships/hyperlink" Target="https://documents.un.org/doc/undoc/gen/g13/104/18/pdf/g1310418.pdf" TargetMode="External"/><Relationship Id="rId4" Type="http://schemas.openxmlformats.org/officeDocument/2006/relationships/numbering" Target="numbering.xml"/><Relationship Id="rId9" Type="http://schemas.openxmlformats.org/officeDocument/2006/relationships/hyperlink" Target="https://www.bahrain.bh/wps/wcm/connect/5711fc2a-e02d-4e8e-8b38-11320876866c/Constitution+Kingdom+of+Bahrain.pdf?MOD=AJPERES&amp;CVID=o8-mJ.G" TargetMode="External"/><Relationship Id="rId14" Type="http://schemas.openxmlformats.org/officeDocument/2006/relationships/hyperlink" Target="https://www.adhrb.org/2021/08/adhrb-condemn-the-nihrs-whitewashing-of-human-rights-abuses-in-bahrain/"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input-2</Doctype>
    <Contributor xmlns="d42e65b2-cf21-49c1-b27d-d23f90380c0e">European Center for Democracy &amp; Human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5A39F910-047D-44C6-A749-FE60F292B10D}"/>
</file>

<file path=customXml/itemProps2.xml><?xml version="1.0" encoding="utf-8"?>
<ds:datastoreItem xmlns:ds="http://schemas.openxmlformats.org/officeDocument/2006/customXml" ds:itemID="{F1AD5344-C1CD-48EC-8E17-9FF07D51AD8E}"/>
</file>

<file path=customXml/itemProps3.xml><?xml version="1.0" encoding="utf-8"?>
<ds:datastoreItem xmlns:ds="http://schemas.openxmlformats.org/officeDocument/2006/customXml" ds:itemID="{F75C2EAF-575B-4AEF-9DE0-D760E08B36A8}"/>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