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5240A" w:rsidRPr="00134521" w:rsidRDefault="0005240A" w:rsidP="00134521">
      <w:pPr>
        <w:spacing w:line="360" w:lineRule="auto"/>
      </w:pPr>
    </w:p>
    <w:p w:rsidR="0005240A" w:rsidRPr="00134521" w:rsidRDefault="00000000" w:rsidP="00134521">
      <w:pPr>
        <w:spacing w:before="240" w:after="240" w:line="360" w:lineRule="auto"/>
        <w:ind w:firstLine="720"/>
        <w:jc w:val="both"/>
        <w:rPr>
          <w:lang w:val="en-US"/>
        </w:rPr>
      </w:pPr>
      <w:r w:rsidRPr="00134521">
        <w:rPr>
          <w:lang w:val="en-US"/>
        </w:rPr>
        <w:t>Enforced disappearances in the context of transnational repression constitute a distinct and evolving manifestation of serious human rights violations. In such cases, State authorities or actors acting with the authorization, support, or acquiescence of the State extend coercive practices beyond national borders to target individuals perceived as political opponents, critics, or threats to State interests. As noted by Amnesty International, enforced disappearances generate a climate of fear and insecurity that extends beyond the disappeared person to their families, communities, and society as a whole. Unlike domestic cases, transnational enforced disappearances are characterized by the exploitation of jurisdictional fragmentation, legal disparities, and limitations in cross-border cooperation. These dynamics significantly complicate efforts to investigate such cases, establish accountability, and clarify the fate and whereabouts of disappeared persons. As a result, victims and their relatives often face prolonged uncertainty and restricted access to effective remedies, underscoring the particular gravity of enforced disappearances when employed as a tool of transnational repression.</w:t>
      </w:r>
    </w:p>
    <w:p w:rsidR="0005240A" w:rsidRPr="00134521" w:rsidRDefault="00000000" w:rsidP="00134521">
      <w:pPr>
        <w:spacing w:before="240" w:after="240" w:line="360" w:lineRule="auto"/>
        <w:jc w:val="both"/>
        <w:rPr>
          <w:lang w:val="en-US"/>
        </w:rPr>
      </w:pPr>
      <w:r w:rsidRPr="00134521">
        <w:rPr>
          <w:lang w:val="en-US"/>
        </w:rPr>
        <w:tab/>
        <w:t xml:space="preserve">Enforced disappearances are deeply embedded in Argentina’s historical experience, particularly during the last civic-military dictatorship (1976–1983). During this period, enforced disappearance was employed as a systematic tool of repression and social control. According to information provided by the International Commission on Missing Persons, an </w:t>
      </w:r>
      <w:r w:rsidR="008E0F7E" w:rsidRPr="00134521">
        <w:rPr>
          <w:lang w:val="en-US"/>
        </w:rPr>
        <w:t xml:space="preserve">estimate </w:t>
      </w:r>
      <w:r w:rsidRPr="00134521">
        <w:rPr>
          <w:lang w:val="en-US"/>
        </w:rPr>
        <w:t xml:space="preserve">of 30,000 persons were abducted by State agents during the dictatorship, many of whom remain disappeared to this day. The Argentine State has since formally acknowledged the systematic nature of these violations, including practices such as the so-called </w:t>
      </w:r>
      <w:r w:rsidRPr="00134521">
        <w:rPr>
          <w:i/>
          <w:iCs/>
          <w:lang w:val="en-US"/>
        </w:rPr>
        <w:t>“vuelos de la muerte”</w:t>
      </w:r>
      <w:r w:rsidRPr="00134521">
        <w:rPr>
          <w:lang w:val="en-US"/>
        </w:rPr>
        <w:t xml:space="preserve"> (“death flights”), in which detainees were extrajudicially executed by being thrown from aircraft operated by military forces.</w:t>
      </w:r>
    </w:p>
    <w:p w:rsidR="0005240A" w:rsidRPr="00134521" w:rsidRDefault="00000000" w:rsidP="00134521">
      <w:pPr>
        <w:spacing w:before="240" w:after="240" w:line="360" w:lineRule="auto"/>
        <w:ind w:firstLine="720"/>
        <w:jc w:val="both"/>
        <w:rPr>
          <w:lang w:val="en-US"/>
        </w:rPr>
      </w:pPr>
      <w:r w:rsidRPr="00134521">
        <w:rPr>
          <w:lang w:val="en-US"/>
        </w:rPr>
        <w:t xml:space="preserve">Alongside this official recognition, sustained efforts by civil society organizations and international human rights actors have played a significant role in advancing truth, accountability, and justice for victims and their families. Organizations such as Amnesty International, together with local human rights movements, have contributed to documenting violations, advocating for judicial accountability, and maintaining international attention on the enduring consequences of enforced disappearances. These advocacy efforts have been instrumental in reinforcing a strong normative rejection of enforced disappearance as an </w:t>
      </w:r>
      <w:r w:rsidRPr="00134521">
        <w:rPr>
          <w:lang w:val="en-US"/>
        </w:rPr>
        <w:lastRenderedPageBreak/>
        <w:t>unacceptable State practice within Argentina. At the institutional level, Argentina’s post-dictatorship response illustrates how domestic mechanisms can contribute to preventing the recurrence of enforced disappearances. In 1983, then-President Raúl Alfonsín established the National Commission on the Disappearance of Persons (CONADEP), with the mandate to investigate cases of enforced disappearance committed during the dictatorship. Although CONADEP cannot be considered a current enforcement body, it functioned as a truth-seeking mechanism whose findings documented the systematic nature of these crimes and laid the evidentiary foundation for subsequent judicial proceedings, including landmark prosecutions of those responsible. Beyond its investigative role, CONADEP contributed to the recognition of enforced disappearance as an unacceptable violation of human rights, reinforcing the rights to truth and justice for victims and society as a whole. Its findings have continued to inform public memory and institutional safeguards in Argentina, contributing to national guarantees of non-recurrence.</w:t>
      </w:r>
    </w:p>
    <w:p w:rsidR="00C86B2F" w:rsidRPr="00134521" w:rsidRDefault="00000000" w:rsidP="00134521">
      <w:pPr>
        <w:spacing w:before="240" w:after="240" w:line="360" w:lineRule="auto"/>
        <w:jc w:val="both"/>
        <w:rPr>
          <w:lang w:val="en-US"/>
        </w:rPr>
      </w:pPr>
      <w:r w:rsidRPr="00134521">
        <w:rPr>
          <w:lang w:val="en-US"/>
        </w:rPr>
        <w:tab/>
        <w:t xml:space="preserve">Beyond Argentina, similar patterns of repression involving enforced disappearances and transnational elements have been documented elsewhere in the </w:t>
      </w:r>
      <w:r w:rsidR="004F047F" w:rsidRPr="00134521">
        <w:rPr>
          <w:lang w:val="en-US"/>
        </w:rPr>
        <w:t xml:space="preserve">Latin American </w:t>
      </w:r>
      <w:r w:rsidRPr="00134521">
        <w:rPr>
          <w:lang w:val="en-US"/>
        </w:rPr>
        <w:t>region, including in Nicaragua. In recent years, national and international human rights organizations have reported cases of arbitrary detention, enforced disappearance, and severe restrictions on civic space targeting political opponents, journalists, and human rights defenders. While many violations occur within Nicaragua’s territory, concerns have also been raised regarding the persecution of Nicaraguan dissidents who have fled abroad, including through threats, intimidation of family members remaining in the country, and efforts to deter political activity in exile. These practices underscore how enforced disappearance may function not only as domestic tools of repression but also as mechanisms with transnational impact, particularly in contexts of forced displacement.</w:t>
      </w:r>
    </w:p>
    <w:p w:rsidR="0005240A" w:rsidRPr="00134521" w:rsidRDefault="00000000" w:rsidP="00134521">
      <w:pPr>
        <w:spacing w:before="240" w:after="240" w:line="360" w:lineRule="auto"/>
        <w:ind w:firstLine="720"/>
        <w:jc w:val="both"/>
        <w:rPr>
          <w:lang w:val="en-US"/>
        </w:rPr>
      </w:pPr>
      <w:r w:rsidRPr="00134521">
        <w:rPr>
          <w:lang w:val="en-US"/>
        </w:rPr>
        <w:t>In addition to developments observed in other regional contexts, concerns have also been raised regarding certain enforcement practices in the United States, particularly in relation to immigration control operations carried out by U.S. Immigration and Customs Enforcement (ICE). While these practices cannot be categorized as enforced disappearances under international law, this is a situation in which individuals are subjected to detention, transfer, or removal processes that raise questions about transparency, due process, and access to information for families and legal representatives.</w:t>
      </w:r>
    </w:p>
    <w:p w:rsidR="0005240A" w:rsidRPr="00134521" w:rsidRDefault="0005240A" w:rsidP="00134521">
      <w:pPr>
        <w:spacing w:before="240" w:after="240" w:line="360" w:lineRule="auto"/>
        <w:jc w:val="both"/>
        <w:rPr>
          <w:lang w:val="en-US"/>
        </w:rPr>
      </w:pPr>
    </w:p>
    <w:p w:rsidR="0005240A" w:rsidRPr="00134521" w:rsidRDefault="00255F60" w:rsidP="00134521">
      <w:pPr>
        <w:spacing w:before="240" w:after="240" w:line="360" w:lineRule="auto"/>
        <w:ind w:firstLine="720"/>
        <w:jc w:val="both"/>
        <w:rPr>
          <w:lang w:val="en-US"/>
        </w:rPr>
      </w:pPr>
      <w:r w:rsidRPr="00134521">
        <w:rPr>
          <w:lang w:val="en-US"/>
        </w:rPr>
        <w:t>Beyond the regional cases discussed</w:t>
      </w:r>
      <w:r w:rsidR="00000000" w:rsidRPr="00134521">
        <w:rPr>
          <w:lang w:val="en-US"/>
        </w:rPr>
        <w:t>, concerns regarding enforced disappearances and transnational repression have been raised in the context of the Islamic Republic of Iran.</w:t>
      </w:r>
      <w:r w:rsidRPr="00134521">
        <w:rPr>
          <w:lang w:val="en-US"/>
        </w:rPr>
        <w:t xml:space="preserve"> </w:t>
      </w:r>
      <w:r w:rsidR="00A74EA2" w:rsidRPr="00134521">
        <w:rPr>
          <w:lang w:val="en-US"/>
        </w:rPr>
        <w:t>Following the massacres during the protests, authorities in the Islamic Republic of Iran have imposed a suffocating militarization. This is characterized by widespread arbitrary arrests, enforced disappearances, bans on gatherings, and attacks aimed at silencing the families of victims</w:t>
      </w:r>
      <w:r w:rsidR="00000000" w:rsidRPr="00134521">
        <w:rPr>
          <w:lang w:val="en-US"/>
        </w:rPr>
        <w:t>. While internal crackdowns in Iran have been widely documented, including widespread arbitrary detention, enforced disappearance, and restrictions on freedoms following nationwide protests, concerns have also been raised about the targeting of Iranian dissidents beyond its borders.</w:t>
      </w:r>
      <w:r w:rsidR="002B56A8" w:rsidRPr="00134521">
        <w:rPr>
          <w:lang w:val="en-US"/>
        </w:rPr>
        <w:t xml:space="preserve"> </w:t>
      </w:r>
      <w:r w:rsidR="00000000" w:rsidRPr="00134521">
        <w:rPr>
          <w:lang w:val="en-US"/>
        </w:rPr>
        <w:t>On January 21, 2026, Iran's Supreme National Security Council issued a statement claiming that 3,117 people had died during the uprising. However, on January 16, 2026, the UN Special Rapporteur on Iran, Mai Sato, had stated in a press interview that at least 5,000 people had been killed. Governments and civil society actors have described attempts by Iranian security services to silence, intimidate, or physically harm opponents residing abroad through acts such as alleged assassination plots, kidnapping attempts, and harassment of diaspora communities in Europe and North America. These patterns highlight the continued use of coercive measures against perceived opponents and raise particular concerns regarding the protection of individuals at risk of enforced disappearance in transnational contexts, including journalists, human rights defenders, and members of diaspora communities.</w:t>
      </w:r>
    </w:p>
    <w:p w:rsidR="0005240A" w:rsidRPr="00134521" w:rsidRDefault="00000000" w:rsidP="00134521">
      <w:pPr>
        <w:spacing w:before="240" w:after="240" w:line="360" w:lineRule="auto"/>
        <w:jc w:val="both"/>
        <w:rPr>
          <w:lang w:val="en-US"/>
        </w:rPr>
      </w:pPr>
      <w:r w:rsidRPr="00134521">
        <w:rPr>
          <w:lang w:val="en-US"/>
        </w:rPr>
        <w:tab/>
        <w:t xml:space="preserve">These contemporary patterns highlight the imperative for strengthened international safeguards and cooperation. At the international level, the International Convention for the Protection of All Persons from Enforced Disappearance constitutes the primary legal instrument aimed at preventing and addressing enforced disappearances. The Convention obliges States Parties to criminalize enforced disappearance under domestic law, ensure prompt and impartial investigations, and guarantee victims’ rights to truth, justice, and reparation. Importantly, it also establishes obligations related to international cooperation, including mutual legal assistance and measures to prevent enforced disappearance in situations involving cross-border transfers, extradition, or deportation. In the context of transnational repression, these provisions are particularly significant, as they seek to prevent enforced disappearance beyond territorial borders and to close jurisdictional gaps that enable </w:t>
      </w:r>
      <w:r w:rsidRPr="00134521">
        <w:rPr>
          <w:lang w:val="en-US"/>
        </w:rPr>
        <w:lastRenderedPageBreak/>
        <w:t>impunity. However, the effectiveness of the Convention in addressing transnational cases remains dependent on domestic implementation and the political will of States to cooperate in investigations and accountability efforts. Meaning that the room for action of the convention remains limited and dependent on state cooperation.</w:t>
      </w:r>
    </w:p>
    <w:p w:rsidR="0005240A" w:rsidRPr="00134521" w:rsidRDefault="00000000" w:rsidP="00134521">
      <w:pPr>
        <w:spacing w:before="240" w:after="240" w:line="360" w:lineRule="auto"/>
        <w:jc w:val="both"/>
        <w:rPr>
          <w:lang w:val="en-US"/>
        </w:rPr>
      </w:pPr>
      <w:r w:rsidRPr="00134521">
        <w:rPr>
          <w:lang w:val="en-US"/>
        </w:rPr>
        <w:tab/>
        <w:t>Despite the existence of domestic and international mechanisms that are designed to prevent and address this issue, cases of transnational disappearance are still present, and highlight the limitations in accountability and enforcement these frameworks have. Domestic accountability mechanisms play a crucial role in addressing enforced disappearances. However, they are inherently limited by territorial jurisdiction and are generally designed to address violations committed within a State’s borders, meaning transnational violations are outside their jurisdiction. As a result, even States with strong legal frameworks and historical commitments to accountability may encounter significant obstacles when addressing enforced disappearances that involve foreign actors, cross-border transfers. These constraints create gaps in protection that can be exploited .</w:t>
      </w:r>
    </w:p>
    <w:p w:rsidR="0005240A" w:rsidRPr="00134521" w:rsidRDefault="00000000" w:rsidP="00134521">
      <w:pPr>
        <w:spacing w:before="240" w:after="240" w:line="360" w:lineRule="auto"/>
        <w:jc w:val="both"/>
        <w:rPr>
          <w:lang w:val="en-US"/>
        </w:rPr>
      </w:pPr>
      <w:r w:rsidRPr="00134521">
        <w:rPr>
          <w:lang w:val="en-US"/>
        </w:rPr>
        <w:tab/>
        <w:t>In this regard, international organizations such as INTERPOL could strengthen their safeguards through greater transparency and notification to individuals affected by their mechanisms.  In particular, ensuring that individuals are informed in a timely manner about the existence of alerts or requests against them would allow for more effective access to due process and available review mechanisms.  Furthermore, INTERPOL could benefit from closer coordination with United Nations human rights mechanisms, especially in cases involving journalists, human rights defenders, or individuals at risk of political persecution. The systematic use of information from Special Rapporteurs or Working Groups could contribute to better assessing the risks of abuse and preventing the misuse of these mechanisms in contexts of transnational repression.</w:t>
      </w:r>
    </w:p>
    <w:p w:rsidR="0005240A" w:rsidRDefault="00000000" w:rsidP="00134521">
      <w:pPr>
        <w:spacing w:before="240" w:after="240" w:line="360" w:lineRule="auto"/>
        <w:jc w:val="both"/>
        <w:rPr>
          <w:lang w:val="en-US"/>
        </w:rPr>
      </w:pPr>
      <w:r w:rsidRPr="00134521">
        <w:rPr>
          <w:lang w:val="en-US"/>
        </w:rPr>
        <w:tab/>
        <w:t xml:space="preserve">Enforced disappearances in the context of transnational repression continue to pose a significant challenge to existing human rights protection frameworks, particularly when these practices extend beyond national borders and exploit different loopholes. As demonstrated by the examples analyzed at the national, regional, and international levels, the effectiveness of current mechanisms depends not only on the existence of adequate legal frameworks but also on their effective implementation, cooperation among states, and sustained commitment.  </w:t>
      </w:r>
      <w:r w:rsidRPr="00134521">
        <w:rPr>
          <w:lang w:val="en-US"/>
        </w:rPr>
        <w:lastRenderedPageBreak/>
        <w:t>Addressing this phenomenon therefore requires strengthening international cooperation, reinforcing preventive safeguards, and maintaining a priority focus on protecting individuals at risk, including dissidents, journalists, and human rights defenders operating in transnational spaces. The continued engagement of states, international organizations, and civil society is essential to prevent the recurrence of enforced disappearances and to guarantee the rights to truth, justice, and accountability.</w:t>
      </w:r>
    </w:p>
    <w:p w:rsidR="00134521" w:rsidRPr="00134521" w:rsidRDefault="00134521" w:rsidP="00134521">
      <w:pPr>
        <w:spacing w:before="240" w:after="240" w:line="360" w:lineRule="auto"/>
        <w:jc w:val="both"/>
        <w:rPr>
          <w:lang w:val="en-US"/>
        </w:rPr>
      </w:pPr>
      <w:r>
        <w:rPr>
          <w:lang w:val="en-US"/>
        </w:rPr>
        <w:tab/>
      </w:r>
      <w:r w:rsidRPr="00134521">
        <w:rPr>
          <w:lang w:val="en-US"/>
        </w:rPr>
        <w:t>In light of the analysis presented, we urge the Committee and the Working Group to emphasize the following imperative actions in their joint statement: First, states must fully implement the International Convention for the Protection of All Persons from Enforced Disappearance, with particular attention to its provisions on international cooperation and the criminalization of transnational acts. Second, international police and judicial cooperation mechanisms, notably INTERPOL, must institute robust, transparent safeguards</w:t>
      </w:r>
      <w:r>
        <w:rPr>
          <w:lang w:val="en-US"/>
        </w:rPr>
        <w:t xml:space="preserve"> -</w:t>
      </w:r>
      <w:r w:rsidRPr="00134521">
        <w:rPr>
          <w:lang w:val="en-US"/>
        </w:rPr>
        <w:t>including mandatory notification and integration of UN human rights findings</w:t>
      </w:r>
      <w:r>
        <w:rPr>
          <w:lang w:val="en-US"/>
        </w:rPr>
        <w:t xml:space="preserve">- </w:t>
      </w:r>
      <w:r w:rsidRPr="00134521">
        <w:rPr>
          <w:lang w:val="en-US"/>
        </w:rPr>
        <w:t>to prevent their misuse for transnational repression. Third, host states have a heightened responsibility to protect individuals within their jurisdiction from cross-border repression, through vigilant investigation of incidents, provision of asylum, and proactive diplomatic and legal responses. Finally, sustained support for victims’ families and civil society documentation efforts remains crucial to challenge impunity and uphold the universal rights to truth, justice, and reparation. Only through reinforced multilateral commitment and the closure of legal and operational loopholes can the international community effectively combat the sinister evolution of enforced disappearance into a tool of transnational repression.</w:t>
      </w:r>
    </w:p>
    <w:p w:rsidR="00134521" w:rsidRDefault="00134521">
      <w:pPr>
        <w:rPr>
          <w:b/>
          <w:bCs/>
          <w:lang w:val="en-US"/>
        </w:rPr>
      </w:pPr>
      <w:r>
        <w:rPr>
          <w:b/>
          <w:bCs/>
          <w:lang w:val="en-US"/>
        </w:rPr>
        <w:br w:type="page"/>
      </w:r>
    </w:p>
    <w:p w:rsidR="0005240A" w:rsidRPr="00134521" w:rsidRDefault="00000000" w:rsidP="00134521">
      <w:pPr>
        <w:spacing w:before="240" w:after="240" w:line="360" w:lineRule="auto"/>
        <w:jc w:val="both"/>
        <w:rPr>
          <w:b/>
          <w:bCs/>
          <w:lang w:val="en-US"/>
        </w:rPr>
      </w:pPr>
      <w:r w:rsidRPr="00134521">
        <w:rPr>
          <w:b/>
          <w:bCs/>
          <w:lang w:val="en-US"/>
        </w:rPr>
        <w:lastRenderedPageBreak/>
        <w:t>Bibliography</w:t>
      </w:r>
    </w:p>
    <w:p w:rsidR="0005240A" w:rsidRPr="00134521" w:rsidRDefault="00000000" w:rsidP="00134521">
      <w:pPr>
        <w:spacing w:before="240" w:after="240" w:line="360" w:lineRule="auto"/>
        <w:jc w:val="both"/>
        <w:rPr>
          <w:color w:val="1155CC"/>
          <w:u w:val="single"/>
        </w:rPr>
      </w:pPr>
      <w:r w:rsidRPr="00134521">
        <w:rPr>
          <w:b/>
          <w:bCs/>
          <w:lang w:val="en-US"/>
        </w:rPr>
        <w:t>Amnesty International.</w:t>
      </w:r>
      <w:r w:rsidRPr="00134521">
        <w:rPr>
          <w:lang w:val="en-US"/>
        </w:rPr>
        <w:t xml:space="preserve"> </w:t>
      </w:r>
      <w:r w:rsidRPr="00134521">
        <w:rPr>
          <w:i/>
          <w:iCs/>
          <w:lang w:val="en-US"/>
        </w:rPr>
        <w:t>Enforced Disappearances: What We Do</w:t>
      </w:r>
      <w:r w:rsidRPr="00134521">
        <w:rPr>
          <w:lang w:val="en-US"/>
        </w:rPr>
        <w:t xml:space="preserve">. </w:t>
      </w:r>
      <w:r w:rsidRPr="00134521">
        <w:t>Amnesty International.</w:t>
      </w:r>
      <w:r w:rsidRPr="00134521">
        <w:br/>
      </w:r>
      <w:hyperlink r:id="rId6">
        <w:r w:rsidRPr="00134521">
          <w:rPr>
            <w:color w:val="1155CC"/>
            <w:u w:val="single"/>
          </w:rPr>
          <w:t>https://www.amnesty.org/es/what-we-do/enforced-disappearances/?</w:t>
        </w:r>
      </w:hyperlink>
    </w:p>
    <w:p w:rsidR="0005240A" w:rsidRPr="00134521" w:rsidRDefault="00000000" w:rsidP="00134521">
      <w:pPr>
        <w:spacing w:before="240" w:after="240" w:line="360" w:lineRule="auto"/>
        <w:jc w:val="both"/>
        <w:rPr>
          <w:color w:val="1155CC"/>
          <w:u w:val="single"/>
          <w:lang w:val="en-US"/>
        </w:rPr>
      </w:pPr>
      <w:r w:rsidRPr="00134521">
        <w:rPr>
          <w:b/>
          <w:bCs/>
          <w:lang w:val="en-US"/>
        </w:rPr>
        <w:t>International Commission on Missing Persons.</w:t>
      </w:r>
      <w:r w:rsidRPr="00134521">
        <w:rPr>
          <w:lang w:val="en-US"/>
        </w:rPr>
        <w:t xml:space="preserve"> </w:t>
      </w:r>
      <w:r w:rsidRPr="00134521">
        <w:rPr>
          <w:i/>
          <w:iCs/>
          <w:lang w:val="en-US"/>
        </w:rPr>
        <w:t>Argentina — Where Are the Missing</w:t>
      </w:r>
      <w:r w:rsidRPr="00134521">
        <w:rPr>
          <w:lang w:val="en-US"/>
        </w:rPr>
        <w:t>. ICMP.</w:t>
      </w:r>
      <w:r w:rsidRPr="00134521">
        <w:rPr>
          <w:lang w:val="en-US"/>
        </w:rPr>
        <w:br/>
      </w:r>
      <w:hyperlink r:id="rId7">
        <w:r w:rsidRPr="00134521">
          <w:rPr>
            <w:color w:val="1155CC"/>
            <w:u w:val="single"/>
            <w:lang w:val="en-US"/>
          </w:rPr>
          <w:t>https://icmp.int/es/los-desaparecidos/donde-estan-los-desaparecidos/argentina/</w:t>
        </w:r>
      </w:hyperlink>
    </w:p>
    <w:p w:rsidR="0005240A" w:rsidRPr="00134521" w:rsidRDefault="00000000" w:rsidP="00134521">
      <w:pPr>
        <w:spacing w:before="240" w:after="240" w:line="360" w:lineRule="auto"/>
        <w:jc w:val="both"/>
        <w:rPr>
          <w:color w:val="1155CC"/>
          <w:u w:val="single"/>
        </w:rPr>
      </w:pPr>
      <w:r w:rsidRPr="00134521">
        <w:rPr>
          <w:b/>
          <w:bCs/>
        </w:rPr>
        <w:t>Ministerio de Justicia y Derechos Humanos de la Nación – Archivo Nacional de la Memoria.</w:t>
      </w:r>
      <w:r w:rsidRPr="00134521">
        <w:t xml:space="preserve"> </w:t>
      </w:r>
      <w:r w:rsidRPr="00134521">
        <w:rPr>
          <w:i/>
          <w:iCs/>
        </w:rPr>
        <w:t>Los “vuelos de la muerte” en Campo de Mayo</w:t>
      </w:r>
      <w:r w:rsidRPr="00134521">
        <w:t>. Gobierno de Argentina (2023).</w:t>
      </w:r>
      <w:r w:rsidRPr="00134521">
        <w:br/>
      </w:r>
      <w:hyperlink r:id="rId8">
        <w:r w:rsidRPr="00134521">
          <w:rPr>
            <w:color w:val="1155CC"/>
            <w:u w:val="single"/>
          </w:rPr>
          <w:t>https://www.argentina.gob.ar/sites/default/files/2023-11-13-icm6-los-vuelos-de-la-muerte_compressed.pdf</w:t>
        </w:r>
      </w:hyperlink>
    </w:p>
    <w:p w:rsidR="0005240A" w:rsidRPr="00134521" w:rsidRDefault="00000000" w:rsidP="00134521">
      <w:pPr>
        <w:spacing w:before="240" w:after="240" w:line="360" w:lineRule="auto"/>
        <w:jc w:val="both"/>
        <w:rPr>
          <w:color w:val="1155CC"/>
          <w:u w:val="single"/>
          <w:lang w:val="en-US"/>
        </w:rPr>
      </w:pPr>
      <w:r w:rsidRPr="00134521">
        <w:rPr>
          <w:b/>
          <w:bCs/>
          <w:lang w:val="en-US"/>
        </w:rPr>
        <w:t>Office of the United Nations High Commissioner for Human Rights (OHCHR).</w:t>
      </w:r>
      <w:r w:rsidRPr="00134521">
        <w:rPr>
          <w:lang w:val="en-US"/>
        </w:rPr>
        <w:t xml:space="preserve"> </w:t>
      </w:r>
      <w:r w:rsidRPr="00134521">
        <w:rPr>
          <w:i/>
          <w:iCs/>
          <w:lang w:val="en-US"/>
        </w:rPr>
        <w:t>Nicaragua: UN experts say continuing repression of population through enforced disappearances must stop</w:t>
      </w:r>
      <w:r w:rsidRPr="00134521">
        <w:rPr>
          <w:lang w:val="en-US"/>
        </w:rPr>
        <w:t>. OHCHR (3 Oct 2025).</w:t>
      </w:r>
      <w:r w:rsidRPr="00134521">
        <w:rPr>
          <w:lang w:val="en-US"/>
        </w:rPr>
        <w:br/>
      </w:r>
      <w:hyperlink r:id="rId9">
        <w:r w:rsidRPr="00134521">
          <w:rPr>
            <w:color w:val="1155CC"/>
            <w:u w:val="single"/>
            <w:lang w:val="en-US"/>
          </w:rPr>
          <w:t>https://www.ohchr.org/en/press-releases/2025/10/nicaragua-un-experts-say-continuing-repression-population-through-enforced</w:t>
        </w:r>
      </w:hyperlink>
    </w:p>
    <w:p w:rsidR="0005240A" w:rsidRPr="00134521" w:rsidRDefault="00000000" w:rsidP="00134521">
      <w:pPr>
        <w:spacing w:before="240" w:after="240" w:line="360" w:lineRule="auto"/>
        <w:jc w:val="both"/>
        <w:rPr>
          <w:color w:val="1155CC"/>
          <w:u w:val="single"/>
        </w:rPr>
      </w:pPr>
      <w:r w:rsidRPr="00134521">
        <w:rPr>
          <w:b/>
          <w:bCs/>
          <w:lang w:val="en-US"/>
        </w:rPr>
        <w:t>Office of the United Nations High Commissioner for Human Rights (OHCHR).</w:t>
      </w:r>
      <w:r w:rsidRPr="00134521">
        <w:rPr>
          <w:lang w:val="en-US"/>
        </w:rPr>
        <w:t xml:space="preserve"> </w:t>
      </w:r>
      <w:r w:rsidRPr="00134521">
        <w:rPr>
          <w:i/>
          <w:iCs/>
          <w:lang w:val="en-US"/>
        </w:rPr>
        <w:t>Group of Human Rights Experts on Nicaragua</w:t>
      </w:r>
      <w:r w:rsidRPr="00134521">
        <w:rPr>
          <w:lang w:val="en-US"/>
        </w:rPr>
        <w:t>. OHCHR (mandate and reports).</w:t>
      </w:r>
      <w:r w:rsidRPr="00134521">
        <w:rPr>
          <w:lang w:val="en-US"/>
        </w:rPr>
        <w:br/>
      </w:r>
      <w:hyperlink r:id="rId10">
        <w:r w:rsidRPr="00134521">
          <w:rPr>
            <w:color w:val="1155CC"/>
            <w:u w:val="single"/>
          </w:rPr>
          <w:t>https://www.ohchr.org/en/hr-bodies/hrc/ghre-nicaragua/index</w:t>
        </w:r>
      </w:hyperlink>
    </w:p>
    <w:p w:rsidR="0005240A" w:rsidRPr="00134521" w:rsidRDefault="00000000" w:rsidP="00134521">
      <w:pPr>
        <w:spacing w:before="240" w:after="240" w:line="360" w:lineRule="auto"/>
        <w:jc w:val="both"/>
        <w:rPr>
          <w:lang w:val="en-US"/>
        </w:rPr>
      </w:pPr>
      <w:r w:rsidRPr="00134521">
        <w:rPr>
          <w:b/>
          <w:bCs/>
          <w:lang w:val="en-US"/>
        </w:rPr>
        <w:t>European Parliament.</w:t>
      </w:r>
      <w:r w:rsidRPr="00134521">
        <w:rPr>
          <w:lang w:val="en-US"/>
        </w:rPr>
        <w:t xml:space="preserve"> </w:t>
      </w:r>
      <w:r w:rsidRPr="00134521">
        <w:rPr>
          <w:i/>
          <w:iCs/>
          <w:lang w:val="en-US"/>
        </w:rPr>
        <w:t>The European Parliament condemns Iran’s brutal repression of protesters</w:t>
      </w:r>
      <w:r w:rsidRPr="00134521">
        <w:rPr>
          <w:lang w:val="en-US"/>
        </w:rPr>
        <w:t>. European Parliament press release (22 Jan 2026).</w:t>
      </w:r>
      <w:r w:rsidRPr="00134521">
        <w:rPr>
          <w:lang w:val="en-US"/>
        </w:rPr>
        <w:br/>
      </w:r>
      <w:hyperlink r:id="rId11">
        <w:r w:rsidRPr="00134521">
          <w:rPr>
            <w:color w:val="1155CC"/>
            <w:u w:val="single"/>
            <w:lang w:val="en-US"/>
          </w:rPr>
          <w:t>https://www.europarl.europa.eu/news/en/press-room/20260116IPR32443/european-parliament-condemns-iran-s-brutal-repression-of-protesters</w:t>
        </w:r>
      </w:hyperlink>
    </w:p>
    <w:sectPr w:rsidR="0005240A" w:rsidRPr="00134521">
      <w:headerReference w:type="default" r:id="rId12"/>
      <w:footerReference w:type="default" r:id="rId13"/>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562A3" w:rsidRDefault="00A562A3">
      <w:pPr>
        <w:spacing w:line="240" w:lineRule="auto"/>
      </w:pPr>
      <w:r>
        <w:separator/>
      </w:r>
    </w:p>
  </w:endnote>
  <w:endnote w:type="continuationSeparator" w:id="0">
    <w:p w:rsidR="00A562A3" w:rsidRDefault="00A562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86274859-109C-40C7-B7D0-737AEFCAB31E}"/>
    <w:embedBold r:id="rId2" w:fontKey="{58BF98A9-EA04-46D6-B8E8-695E8D284252}"/>
  </w:font>
  <w:font w:name="Cambria">
    <w:panose1 w:val="02040503050406030204"/>
    <w:charset w:val="00"/>
    <w:family w:val="roman"/>
    <w:pitch w:val="variable"/>
    <w:sig w:usb0="E00006FF" w:usb1="420024FF" w:usb2="02000000" w:usb3="00000000" w:csb0="0000019F" w:csb1="00000000"/>
    <w:embedRegular r:id="rId3" w:fontKey="{50C4A779-DF0B-4580-8994-CE5E1C7510F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240A" w:rsidRDefault="00000000">
    <w:pPr>
      <w:tabs>
        <w:tab w:val="center" w:pos="4419"/>
        <w:tab w:val="right" w:pos="8838"/>
      </w:tabs>
      <w:spacing w:line="240" w:lineRule="auto"/>
      <w:jc w:val="center"/>
      <w:rPr>
        <w:rFonts w:ascii="Calibri" w:eastAsia="Calibri" w:hAnsi="Calibri" w:cs="Calibri"/>
      </w:rPr>
    </w:pPr>
    <w:r>
      <w:rPr>
        <w:rFonts w:ascii="Calibri" w:eastAsia="Calibri" w:hAnsi="Calibri" w:cs="Calibri"/>
      </w:rPr>
      <w:t xml:space="preserve">info@fundacionparalademocracia.org | </w:t>
    </w:r>
    <w:hyperlink r:id="rId1">
      <w:r>
        <w:rPr>
          <w:rFonts w:ascii="Calibri" w:eastAsia="Calibri" w:hAnsi="Calibri" w:cs="Calibri"/>
          <w:color w:val="0563C1"/>
          <w:u w:val="single"/>
        </w:rPr>
        <w:t>www.fundacionparalademocracia.org</w:t>
      </w:r>
    </w:hyperlink>
  </w:p>
  <w:p w:rsidR="0005240A" w:rsidRDefault="00000000">
    <w:pPr>
      <w:tabs>
        <w:tab w:val="center" w:pos="4419"/>
        <w:tab w:val="right" w:pos="8838"/>
      </w:tabs>
      <w:spacing w:line="240" w:lineRule="auto"/>
      <w:jc w:val="center"/>
      <w:rPr>
        <w:rFonts w:ascii="Calibri" w:eastAsia="Calibri" w:hAnsi="Calibri" w:cs="Calibri"/>
        <w:b/>
        <w:bCs/>
      </w:rPr>
    </w:pPr>
    <w:r>
      <w:rPr>
        <w:rFonts w:ascii="Calibri" w:eastAsia="Calibri" w:hAnsi="Calibri" w:cs="Calibri"/>
      </w:rPr>
      <w:t>Rosario | Santa Fe | Argentina</w:t>
    </w:r>
  </w:p>
  <w:p w:rsidR="0005240A" w:rsidRDefault="000524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562A3" w:rsidRDefault="00A562A3">
      <w:pPr>
        <w:spacing w:line="240" w:lineRule="auto"/>
      </w:pPr>
      <w:r>
        <w:separator/>
      </w:r>
    </w:p>
  </w:footnote>
  <w:footnote w:type="continuationSeparator" w:id="0">
    <w:p w:rsidR="00A562A3" w:rsidRDefault="00A562A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240A" w:rsidRDefault="00000000">
    <w:pPr>
      <w:tabs>
        <w:tab w:val="center" w:pos="4419"/>
        <w:tab w:val="right" w:pos="8838"/>
      </w:tabs>
      <w:spacing w:line="240" w:lineRule="auto"/>
    </w:pPr>
    <w:r>
      <w:rPr>
        <w:rFonts w:ascii="Calibri" w:eastAsia="Calibri" w:hAnsi="Calibri" w:cs="Calibri"/>
        <w:noProof/>
      </w:rPr>
      <w:drawing>
        <wp:inline distT="0" distB="0" distL="0" distR="0">
          <wp:extent cx="5400040" cy="125476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400040" cy="1254760"/>
                  </a:xfrm>
                  <a:prstGeom prst="rect">
                    <a:avLst/>
                  </a:prstGeom>
                  <a:ln/>
                </pic:spPr>
              </pic:pic>
            </a:graphicData>
          </a:graphic>
        </wp:inline>
      </w:drawing>
    </w:r>
  </w:p>
  <w:p w:rsidR="004F047F" w:rsidRDefault="004F047F">
    <w:pPr>
      <w:tabs>
        <w:tab w:val="center" w:pos="4419"/>
        <w:tab w:val="right" w:pos="8838"/>
      </w:tabs>
      <w:spacing w:line="240"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40A"/>
    <w:rsid w:val="0005240A"/>
    <w:rsid w:val="00134521"/>
    <w:rsid w:val="00255F60"/>
    <w:rsid w:val="002B56A8"/>
    <w:rsid w:val="004F047F"/>
    <w:rsid w:val="006714B2"/>
    <w:rsid w:val="008E0F7E"/>
    <w:rsid w:val="00A562A3"/>
    <w:rsid w:val="00A74EA2"/>
    <w:rsid w:val="00C86B2F"/>
    <w:rsid w:val="00CF288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73D48"/>
  <w15:docId w15:val="{8585D375-E148-4B51-A332-F0F0A44C6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s-A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Encabezado">
    <w:name w:val="header"/>
    <w:basedOn w:val="Normal"/>
    <w:link w:val="EncabezadoCar"/>
    <w:uiPriority w:val="99"/>
    <w:unhideWhenUsed/>
    <w:rsid w:val="004F047F"/>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4F047F"/>
  </w:style>
  <w:style w:type="paragraph" w:styleId="Piedepgina">
    <w:name w:val="footer"/>
    <w:basedOn w:val="Normal"/>
    <w:link w:val="PiedepginaCar"/>
    <w:uiPriority w:val="99"/>
    <w:unhideWhenUsed/>
    <w:rsid w:val="004F047F"/>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4F0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argentina.gob.ar/sites/default/files/2023-11-13-icm6-los-vuelos-de-la-muerte_compressed.pdf?utm_source=chatgpt.com" TargetMode="External"/><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yperlink" Target="https://icmp.int/es/los-desaparecidos/donde-estan-los-desaparecidos/argentina/" TargetMode="External"/><Relationship Id="rId12" Type="http://schemas.openxmlformats.org/officeDocument/2006/relationships/header" Target="header1.xml"/><Relationship Id="rId17" Type="http://schemas.openxmlformats.org/officeDocument/2006/relationships/customXml" Target="../customXml/item2.xml"/><Relationship Id="rId2" Type="http://schemas.openxmlformats.org/officeDocument/2006/relationships/settings" Target="settings.xml"/><Relationship Id="rId16" Type="http://schemas.openxmlformats.org/officeDocument/2006/relationships/customXml" Target="../customXml/item1.xml"/><Relationship Id="rId1" Type="http://schemas.openxmlformats.org/officeDocument/2006/relationships/styles" Target="styles.xml"/><Relationship Id="rId6" Type="http://schemas.openxmlformats.org/officeDocument/2006/relationships/hyperlink" Target="https://www.amnesty.org/es/what-we-do/enforced-disappearances/?utm_source=chatgpt.com" TargetMode="External"/><Relationship Id="rId11" Type="http://schemas.openxmlformats.org/officeDocument/2006/relationships/hyperlink" Target="https://www.europarl.europa.eu/news/en/press-room/20260116IPR32443/european-parliament-condemns-iran-s-brutal-repression-of-protesters?utm_source=chatgpt.com"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www.ohchr.org/en/hr-bodies/hrc/ghre-nicaragua/index?utm_source=chatgpt.com" TargetMode="External"/><Relationship Id="rId4" Type="http://schemas.openxmlformats.org/officeDocument/2006/relationships/footnotes" Target="footnotes.xml"/><Relationship Id="rId9" Type="http://schemas.openxmlformats.org/officeDocument/2006/relationships/hyperlink" Target="https://www.ohchr.org/en/press-releases/2025/10/nicaragua-un-experts-say-continuing-repression-population-through-enforced?utm_source=chatgpt.com"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hyperlink" Target="http://www.fundacionparalademocraci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3" ma:contentTypeDescription="Create a new document." ma:contentTypeScope="" ma:versionID="e4152e80b297497bf179b6e599b3a5a8">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c4a1058a1da92cd6dea230ffa20d6228"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AIcounter xmlns="d42e65b2-cf21-49c1-b27d-d23f90380c0e">0</AIcounter>
    <Category xmlns="d42e65b2-cf21-49c1-b27d-d23f90380c0e">CSOs</Category>
    <Filename xmlns="d42e65b2-cf21-49c1-b27d-d23f90380c0e" xsi:nil="true"/>
    <Doctype xmlns="d42e65b2-cf21-49c1-b27d-d23f90380c0e">input</Doctype>
    <Contributor xmlns="d42e65b2-cf21-49c1-b27d-d23f90380c0e">Fundación para la Democracia</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9DA4CBA1-05BD-40EC-AE79-23393ADB2BBA}"/>
</file>

<file path=customXml/itemProps2.xml><?xml version="1.0" encoding="utf-8"?>
<ds:datastoreItem xmlns:ds="http://schemas.openxmlformats.org/officeDocument/2006/customXml" ds:itemID="{87692728-F01F-437C-9CE9-454D51F9B1D4}"/>
</file>

<file path=customXml/itemProps3.xml><?xml version="1.0" encoding="utf-8"?>
<ds:datastoreItem xmlns:ds="http://schemas.openxmlformats.org/officeDocument/2006/customXml" ds:itemID="{63750153-75F8-4023-8DED-135887FC3080}"/>
</file>

<file path=docProps/app.xml><?xml version="1.0" encoding="utf-8"?>
<Properties xmlns="http://schemas.openxmlformats.org/officeDocument/2006/extended-properties" xmlns:vt="http://schemas.openxmlformats.org/officeDocument/2006/docPropsVTypes">
  <Template>Normal</Template>
  <TotalTime>21</TotalTime>
  <Pages>6</Pages>
  <Words>2230</Words>
  <Characters>12266</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Lara Chiavarini</cp:lastModifiedBy>
  <cp:revision>7</cp:revision>
  <dcterms:created xsi:type="dcterms:W3CDTF">2026-01-30T23:16:00Z</dcterms:created>
  <dcterms:modified xsi:type="dcterms:W3CDTF">2026-01-30T23:37:00Z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