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8DB91" w14:textId="77777777" w:rsidR="008C392B" w:rsidRDefault="008C392B">
      <w:pPr>
        <w:rPr>
          <w:lang w:val="it-IT"/>
        </w:rPr>
      </w:pPr>
    </w:p>
    <w:p w14:paraId="640DD06E" w14:textId="77777777" w:rsidR="00962F45" w:rsidRDefault="00962F45">
      <w:pPr>
        <w:rPr>
          <w:lang w:val="it-IT"/>
        </w:rPr>
      </w:pPr>
    </w:p>
    <w:p w14:paraId="454EE7CD" w14:textId="77777777" w:rsidR="00962F45" w:rsidRDefault="00962F45">
      <w:pPr>
        <w:rPr>
          <w:lang w:val="it-IT"/>
        </w:rPr>
      </w:pPr>
    </w:p>
    <w:p w14:paraId="213BC06B" w14:textId="77777777" w:rsidR="00962F45" w:rsidRDefault="00962F45" w:rsidP="00962F45">
      <w:pPr>
        <w:spacing w:line="264" w:lineRule="auto"/>
        <w:jc w:val="center"/>
        <w:rPr>
          <w:rFonts w:ascii="Calibri" w:hAnsi="Calibri" w:cs="Calibri"/>
          <w:b/>
          <w:bCs/>
          <w:sz w:val="22"/>
          <w:szCs w:val="22"/>
        </w:rPr>
      </w:pPr>
      <w:r w:rsidRPr="00C77A2E">
        <w:rPr>
          <w:rFonts w:ascii="Calibri" w:hAnsi="Calibri" w:cs="Calibri"/>
          <w:b/>
          <w:bCs/>
          <w:sz w:val="22"/>
          <w:szCs w:val="22"/>
        </w:rPr>
        <w:t>Submission on Call for Input</w:t>
      </w:r>
    </w:p>
    <w:p w14:paraId="51A55960" w14:textId="77777777" w:rsidR="00962F45" w:rsidRPr="00962F45" w:rsidRDefault="00962F45" w:rsidP="00962F45">
      <w:pPr>
        <w:spacing w:line="264" w:lineRule="auto"/>
        <w:jc w:val="center"/>
        <w:rPr>
          <w:rFonts w:ascii="Calibri" w:hAnsi="Calibri" w:cs="Calibri"/>
          <w:b/>
          <w:bCs/>
          <w:sz w:val="22"/>
          <w:szCs w:val="22"/>
        </w:rPr>
      </w:pPr>
      <w:r w:rsidRPr="00962F45">
        <w:rPr>
          <w:rFonts w:ascii="Calibri" w:hAnsi="Calibri" w:cs="Calibri"/>
          <w:b/>
          <w:bCs/>
          <w:sz w:val="22"/>
          <w:szCs w:val="22"/>
        </w:rPr>
        <w:t>Enforced Disappearances in the context of transnational repression</w:t>
      </w:r>
    </w:p>
    <w:p w14:paraId="314F43A3" w14:textId="77777777" w:rsidR="00962F45" w:rsidRDefault="00962F45" w:rsidP="00962F45">
      <w:pPr>
        <w:spacing w:line="264" w:lineRule="auto"/>
        <w:jc w:val="center"/>
        <w:rPr>
          <w:rFonts w:ascii="Calibri" w:hAnsi="Calibri" w:cs="Calibri"/>
          <w:b/>
          <w:bCs/>
          <w:sz w:val="22"/>
          <w:szCs w:val="22"/>
        </w:rPr>
      </w:pPr>
    </w:p>
    <w:p w14:paraId="48E296DC" w14:textId="77777777" w:rsidR="00962F45" w:rsidRDefault="00962F45" w:rsidP="00962F45">
      <w:pPr>
        <w:spacing w:line="264" w:lineRule="auto"/>
        <w:jc w:val="center"/>
        <w:rPr>
          <w:rFonts w:ascii="Calibri" w:hAnsi="Calibri" w:cs="Calibri"/>
          <w:b/>
          <w:bCs/>
          <w:sz w:val="22"/>
          <w:szCs w:val="22"/>
        </w:rPr>
      </w:pPr>
    </w:p>
    <w:p w14:paraId="37C25D2D" w14:textId="77777777" w:rsidR="00962F45" w:rsidRDefault="00962F45" w:rsidP="00962F45">
      <w:pPr>
        <w:tabs>
          <w:tab w:val="left" w:pos="2200"/>
        </w:tabs>
        <w:spacing w:line="264" w:lineRule="auto"/>
        <w:jc w:val="center"/>
        <w:rPr>
          <w:rFonts w:cstheme="minorHAnsi"/>
          <w:sz w:val="22"/>
          <w:szCs w:val="22"/>
          <w:u w:val="single"/>
          <w:lang w:val="en-GB"/>
        </w:rPr>
      </w:pPr>
    </w:p>
    <w:p w14:paraId="367D465D" w14:textId="77777777" w:rsidR="00962F45" w:rsidRPr="00C77A2E" w:rsidRDefault="00962F45" w:rsidP="00962F45">
      <w:pPr>
        <w:tabs>
          <w:tab w:val="left" w:pos="2200"/>
        </w:tabs>
        <w:spacing w:line="264" w:lineRule="auto"/>
        <w:jc w:val="center"/>
        <w:rPr>
          <w:rFonts w:ascii="Calibri" w:hAnsi="Calibri" w:cs="Calibri"/>
          <w:sz w:val="22"/>
          <w:szCs w:val="22"/>
          <w:u w:val="single"/>
          <w:lang w:val="en-GB"/>
        </w:rPr>
      </w:pPr>
      <w:r w:rsidRPr="00C77A2E">
        <w:rPr>
          <w:rFonts w:ascii="Calibri" w:hAnsi="Calibri" w:cs="Calibri"/>
          <w:sz w:val="22"/>
          <w:szCs w:val="22"/>
          <w:u w:val="single"/>
          <w:lang w:val="en-GB"/>
        </w:rPr>
        <w:t>About Safeguard Defenders:</w:t>
      </w:r>
    </w:p>
    <w:p w14:paraId="7F012E68" w14:textId="77777777" w:rsidR="00962F45" w:rsidRPr="00C77A2E" w:rsidRDefault="00962F45" w:rsidP="00962F45">
      <w:pPr>
        <w:jc w:val="center"/>
        <w:rPr>
          <w:rFonts w:ascii="Calibri" w:hAnsi="Calibri" w:cs="Calibri"/>
          <w:sz w:val="22"/>
          <w:szCs w:val="22"/>
        </w:rPr>
      </w:pPr>
    </w:p>
    <w:p w14:paraId="6B5E36B4" w14:textId="35F8959B" w:rsidR="00962F45" w:rsidRPr="00C77A2E" w:rsidRDefault="00962F45" w:rsidP="00962F45">
      <w:pPr>
        <w:tabs>
          <w:tab w:val="left" w:pos="2200"/>
        </w:tabs>
        <w:jc w:val="center"/>
        <w:rPr>
          <w:rFonts w:ascii="Calibri" w:hAnsi="Calibri" w:cs="Calibri"/>
          <w:sz w:val="22"/>
          <w:szCs w:val="22"/>
          <w:lang w:val="en-GB"/>
        </w:rPr>
      </w:pPr>
      <w:hyperlink r:id="rId7" w:history="1">
        <w:r w:rsidRPr="00C77A2E">
          <w:rPr>
            <w:rStyle w:val="Hyperlink"/>
            <w:rFonts w:ascii="Calibri" w:hAnsi="Calibri" w:cs="Calibri"/>
            <w:sz w:val="22"/>
            <w:szCs w:val="22"/>
            <w:lang w:val="en-GB"/>
          </w:rPr>
          <w:t>Safeguard Defenders</w:t>
        </w:r>
      </w:hyperlink>
      <w:r w:rsidRPr="00C77A2E">
        <w:rPr>
          <w:rFonts w:ascii="Calibri" w:hAnsi="Calibri" w:cs="Calibri"/>
          <w:sz w:val="22"/>
          <w:szCs w:val="22"/>
          <w:lang w:val="en-GB"/>
        </w:rPr>
        <w:t xml:space="preserve"> is a Spain-based human rights NGO founded in late 2016. It undertakes and supports activities that contribute to the protection of basic rights, promote the rule of law and enhance the ability of local civil society and human rights defenders in </w:t>
      </w:r>
      <w:r>
        <w:rPr>
          <w:rFonts w:ascii="Calibri" w:hAnsi="Calibri" w:cs="Calibri"/>
          <w:sz w:val="22"/>
          <w:szCs w:val="22"/>
          <w:lang w:val="en-GB"/>
        </w:rPr>
        <w:t xml:space="preserve">and from </w:t>
      </w:r>
      <w:r w:rsidRPr="00C77A2E">
        <w:rPr>
          <w:rFonts w:ascii="Calibri" w:hAnsi="Calibri" w:cs="Calibri"/>
          <w:sz w:val="22"/>
          <w:szCs w:val="22"/>
          <w:lang w:val="en-GB"/>
        </w:rPr>
        <w:t xml:space="preserve">some of the most hostile environments in Asia. </w:t>
      </w:r>
    </w:p>
    <w:p w14:paraId="18657906" w14:textId="77777777" w:rsidR="00962F45" w:rsidRPr="00C77A2E" w:rsidRDefault="00962F45" w:rsidP="00962F45">
      <w:pPr>
        <w:tabs>
          <w:tab w:val="left" w:pos="2200"/>
        </w:tabs>
        <w:jc w:val="center"/>
        <w:rPr>
          <w:rFonts w:ascii="Calibri" w:hAnsi="Calibri" w:cs="Calibri"/>
          <w:sz w:val="22"/>
          <w:szCs w:val="22"/>
          <w:lang w:val="en-GB"/>
        </w:rPr>
      </w:pPr>
    </w:p>
    <w:p w14:paraId="07E0A8BC" w14:textId="77777777" w:rsidR="00962F45" w:rsidRPr="00C77A2E" w:rsidRDefault="00962F45" w:rsidP="00962F45">
      <w:pPr>
        <w:jc w:val="center"/>
        <w:rPr>
          <w:rFonts w:ascii="Calibri" w:hAnsi="Calibri" w:cs="Calibri"/>
          <w:sz w:val="22"/>
          <w:szCs w:val="22"/>
          <w:lang w:val="en-GB"/>
        </w:rPr>
      </w:pPr>
    </w:p>
    <w:p w14:paraId="50B5E7B2" w14:textId="77777777" w:rsidR="00962F45" w:rsidRPr="00C77A2E" w:rsidRDefault="00962F45" w:rsidP="00962F45">
      <w:pPr>
        <w:jc w:val="center"/>
        <w:rPr>
          <w:rFonts w:ascii="Calibri" w:hAnsi="Calibri" w:cs="Calibri"/>
          <w:sz w:val="22"/>
          <w:szCs w:val="22"/>
          <w:lang w:val="en-GB"/>
        </w:rPr>
      </w:pPr>
      <w:r w:rsidRPr="00C77A2E">
        <w:rPr>
          <w:rFonts w:ascii="Calibri" w:hAnsi="Calibri" w:cs="Calibri"/>
          <w:sz w:val="22"/>
          <w:szCs w:val="22"/>
          <w:lang w:val="en-GB"/>
        </w:rPr>
        <w:t>POC: Laura Harth</w:t>
      </w:r>
    </w:p>
    <w:p w14:paraId="6D8688BA" w14:textId="77777777" w:rsidR="00962F45" w:rsidRPr="00C77A2E" w:rsidRDefault="00962F45" w:rsidP="00962F45">
      <w:pPr>
        <w:jc w:val="center"/>
        <w:rPr>
          <w:rFonts w:ascii="Calibri" w:hAnsi="Calibri" w:cs="Calibri"/>
          <w:sz w:val="22"/>
          <w:szCs w:val="22"/>
          <w:lang w:val="en-GB"/>
        </w:rPr>
      </w:pPr>
      <w:r w:rsidRPr="00C77A2E">
        <w:rPr>
          <w:rFonts w:ascii="Calibri" w:hAnsi="Calibri" w:cs="Calibri"/>
          <w:i/>
          <w:iCs/>
          <w:sz w:val="22"/>
          <w:szCs w:val="22"/>
          <w:lang w:val="en-GB"/>
        </w:rPr>
        <w:t>China in the World</w:t>
      </w:r>
      <w:r w:rsidRPr="00C77A2E">
        <w:rPr>
          <w:rFonts w:ascii="Calibri" w:hAnsi="Calibri" w:cs="Calibri"/>
          <w:sz w:val="22"/>
          <w:szCs w:val="22"/>
          <w:lang w:val="en-GB"/>
        </w:rPr>
        <w:t xml:space="preserve"> Director</w:t>
      </w:r>
    </w:p>
    <w:p w14:paraId="5D384B71" w14:textId="77777777" w:rsidR="00962F45" w:rsidRPr="00C77A2E" w:rsidRDefault="00962F45" w:rsidP="00962F45">
      <w:pPr>
        <w:jc w:val="center"/>
        <w:rPr>
          <w:rFonts w:ascii="Calibri" w:hAnsi="Calibri" w:cs="Calibri"/>
          <w:sz w:val="22"/>
          <w:szCs w:val="22"/>
          <w:lang w:val="en-GB"/>
        </w:rPr>
      </w:pPr>
      <w:r w:rsidRPr="00C77A2E">
        <w:rPr>
          <w:rFonts w:ascii="Calibri" w:hAnsi="Calibri" w:cs="Calibri"/>
          <w:sz w:val="22"/>
          <w:szCs w:val="22"/>
          <w:lang w:val="en-GB"/>
        </w:rPr>
        <w:t xml:space="preserve">Email: </w:t>
      </w:r>
      <w:hyperlink r:id="rId8" w:history="1">
        <w:r w:rsidRPr="00C77A2E">
          <w:rPr>
            <w:rStyle w:val="Hyperlink"/>
            <w:rFonts w:ascii="Calibri" w:hAnsi="Calibri" w:cs="Calibri"/>
            <w:sz w:val="22"/>
            <w:szCs w:val="22"/>
            <w:lang w:val="en-GB"/>
          </w:rPr>
          <w:t>Laura@safeguarddefenders.com</w:t>
        </w:r>
      </w:hyperlink>
    </w:p>
    <w:p w14:paraId="780E4C90" w14:textId="77777777" w:rsidR="00962F45" w:rsidRPr="002D0832" w:rsidRDefault="00962F45"/>
    <w:p w14:paraId="62D82A09" w14:textId="77777777" w:rsidR="00962F45" w:rsidRPr="002D0832" w:rsidRDefault="00962F45"/>
    <w:p w14:paraId="17047CA0" w14:textId="77777777" w:rsidR="00962F45" w:rsidRPr="002D0832" w:rsidRDefault="00962F45">
      <w:pPr>
        <w:rPr>
          <w:rFonts w:ascii="Calibri" w:hAnsi="Calibri" w:cs="Calibri"/>
          <w:sz w:val="22"/>
          <w:szCs w:val="22"/>
        </w:rPr>
      </w:pPr>
    </w:p>
    <w:p w14:paraId="528BD435" w14:textId="56D4F1D3" w:rsidR="00962F45" w:rsidRPr="002D0832" w:rsidRDefault="001C2A87">
      <w:pPr>
        <w:rPr>
          <w:rFonts w:ascii="Calibri" w:hAnsi="Calibri" w:cs="Calibri"/>
          <w:sz w:val="22"/>
          <w:szCs w:val="22"/>
        </w:rPr>
      </w:pPr>
      <w:r w:rsidRPr="002D0832">
        <w:rPr>
          <w:rFonts w:ascii="Calibri" w:hAnsi="Calibri" w:cs="Calibri"/>
          <w:sz w:val="22"/>
          <w:szCs w:val="22"/>
        </w:rPr>
        <w:t>Word Count: 51</w:t>
      </w:r>
      <w:r w:rsidR="002D0832">
        <w:rPr>
          <w:rFonts w:ascii="Calibri" w:hAnsi="Calibri" w:cs="Calibri"/>
          <w:sz w:val="22"/>
          <w:szCs w:val="22"/>
        </w:rPr>
        <w:t>71</w:t>
      </w:r>
    </w:p>
    <w:p w14:paraId="3F8937D4" w14:textId="77777777" w:rsidR="00962F45" w:rsidRPr="002D0832" w:rsidRDefault="00962F45"/>
    <w:p w14:paraId="554D7FC9" w14:textId="77777777" w:rsidR="00962F45" w:rsidRPr="002D0832" w:rsidRDefault="00962F45"/>
    <w:p w14:paraId="4693BA81" w14:textId="77777777" w:rsidR="000748D3" w:rsidRPr="002D0832" w:rsidRDefault="000748D3"/>
    <w:p w14:paraId="7FD5AA36" w14:textId="77777777" w:rsidR="000748D3" w:rsidRPr="002D0832" w:rsidRDefault="000748D3"/>
    <w:p w14:paraId="04CF32B3" w14:textId="77777777" w:rsidR="000748D3" w:rsidRPr="002D0832" w:rsidRDefault="000748D3"/>
    <w:p w14:paraId="601557C5" w14:textId="77777777" w:rsidR="000748D3" w:rsidRPr="002D0832" w:rsidRDefault="000748D3"/>
    <w:p w14:paraId="6203F202" w14:textId="47E1E584" w:rsidR="000748D3" w:rsidRDefault="000748D3" w:rsidP="000748D3">
      <w:pPr>
        <w:pStyle w:val="Heading1"/>
        <w:rPr>
          <w:lang w:val="it-IT"/>
        </w:rPr>
      </w:pPr>
      <w:bookmarkStart w:id="0" w:name="_Toc220768383"/>
      <w:proofErr w:type="spellStart"/>
      <w:r>
        <w:rPr>
          <w:lang w:val="it-IT"/>
        </w:rPr>
        <w:t>Table</w:t>
      </w:r>
      <w:proofErr w:type="spellEnd"/>
      <w:r>
        <w:rPr>
          <w:lang w:val="it-IT"/>
        </w:rPr>
        <w:t xml:space="preserve"> of </w:t>
      </w:r>
      <w:proofErr w:type="spellStart"/>
      <w:r>
        <w:rPr>
          <w:lang w:val="it-IT"/>
        </w:rPr>
        <w:t>Contents</w:t>
      </w:r>
      <w:bookmarkEnd w:id="0"/>
      <w:proofErr w:type="spellEnd"/>
    </w:p>
    <w:p w14:paraId="550764A5" w14:textId="30C34C80" w:rsidR="001C2A87" w:rsidRDefault="000748D3">
      <w:pPr>
        <w:pStyle w:val="TOC1"/>
        <w:tabs>
          <w:tab w:val="right" w:pos="9350"/>
        </w:tabs>
        <w:rPr>
          <w:rFonts w:eastAsiaTheme="minorEastAsia"/>
          <w:b w:val="0"/>
          <w:bCs w:val="0"/>
          <w:caps w:val="0"/>
          <w:noProof/>
          <w:sz w:val="24"/>
          <w:szCs w:val="24"/>
          <w:u w:val="none"/>
        </w:rPr>
      </w:pPr>
      <w:r>
        <w:rPr>
          <w:lang w:val="it-IT"/>
        </w:rPr>
        <w:fldChar w:fldCharType="begin"/>
      </w:r>
      <w:r>
        <w:rPr>
          <w:lang w:val="it-IT"/>
        </w:rPr>
        <w:instrText xml:space="preserve"> TOC \o "1-5" \h \z \u </w:instrText>
      </w:r>
      <w:r>
        <w:rPr>
          <w:lang w:val="it-IT"/>
        </w:rPr>
        <w:fldChar w:fldCharType="separate"/>
      </w:r>
      <w:hyperlink w:anchor="_Toc220768383" w:history="1">
        <w:r w:rsidR="001C2A87" w:rsidRPr="001F530D">
          <w:rPr>
            <w:rStyle w:val="Hyperlink"/>
            <w:noProof/>
            <w:lang w:val="it-IT"/>
          </w:rPr>
          <w:t>Table of Contents</w:t>
        </w:r>
        <w:r w:rsidR="001C2A87">
          <w:rPr>
            <w:noProof/>
            <w:webHidden/>
          </w:rPr>
          <w:tab/>
        </w:r>
        <w:r w:rsidR="001C2A87">
          <w:rPr>
            <w:noProof/>
            <w:webHidden/>
          </w:rPr>
          <w:fldChar w:fldCharType="begin"/>
        </w:r>
        <w:r w:rsidR="001C2A87">
          <w:rPr>
            <w:noProof/>
            <w:webHidden/>
          </w:rPr>
          <w:instrText xml:space="preserve"> PAGEREF _Toc220768383 \h </w:instrText>
        </w:r>
        <w:r w:rsidR="001C2A87">
          <w:rPr>
            <w:noProof/>
            <w:webHidden/>
          </w:rPr>
        </w:r>
        <w:r w:rsidR="001C2A87">
          <w:rPr>
            <w:noProof/>
            <w:webHidden/>
          </w:rPr>
          <w:fldChar w:fldCharType="separate"/>
        </w:r>
        <w:r w:rsidR="001C2A87">
          <w:rPr>
            <w:noProof/>
            <w:webHidden/>
          </w:rPr>
          <w:t>2</w:t>
        </w:r>
        <w:r w:rsidR="001C2A87">
          <w:rPr>
            <w:noProof/>
            <w:webHidden/>
          </w:rPr>
          <w:fldChar w:fldCharType="end"/>
        </w:r>
      </w:hyperlink>
    </w:p>
    <w:p w14:paraId="17ACE888" w14:textId="5FC4B8CA" w:rsidR="001C2A87" w:rsidRDefault="001C2A87">
      <w:pPr>
        <w:pStyle w:val="TOC1"/>
        <w:tabs>
          <w:tab w:val="right" w:pos="9350"/>
        </w:tabs>
        <w:rPr>
          <w:rFonts w:eastAsiaTheme="minorEastAsia"/>
          <w:b w:val="0"/>
          <w:bCs w:val="0"/>
          <w:caps w:val="0"/>
          <w:noProof/>
          <w:sz w:val="24"/>
          <w:szCs w:val="24"/>
          <w:u w:val="none"/>
        </w:rPr>
      </w:pPr>
      <w:hyperlink w:anchor="_Toc220768384" w:history="1">
        <w:r w:rsidRPr="001F530D">
          <w:rPr>
            <w:rStyle w:val="Hyperlink"/>
            <w:noProof/>
          </w:rPr>
          <w:t>Introduction</w:t>
        </w:r>
        <w:r>
          <w:rPr>
            <w:noProof/>
            <w:webHidden/>
          </w:rPr>
          <w:tab/>
        </w:r>
        <w:r>
          <w:rPr>
            <w:noProof/>
            <w:webHidden/>
          </w:rPr>
          <w:fldChar w:fldCharType="begin"/>
        </w:r>
        <w:r>
          <w:rPr>
            <w:noProof/>
            <w:webHidden/>
          </w:rPr>
          <w:instrText xml:space="preserve"> PAGEREF _Toc220768384 \h </w:instrText>
        </w:r>
        <w:r>
          <w:rPr>
            <w:noProof/>
            <w:webHidden/>
          </w:rPr>
        </w:r>
        <w:r>
          <w:rPr>
            <w:noProof/>
            <w:webHidden/>
          </w:rPr>
          <w:fldChar w:fldCharType="separate"/>
        </w:r>
        <w:r>
          <w:rPr>
            <w:noProof/>
            <w:webHidden/>
          </w:rPr>
          <w:t>3</w:t>
        </w:r>
        <w:r>
          <w:rPr>
            <w:noProof/>
            <w:webHidden/>
          </w:rPr>
          <w:fldChar w:fldCharType="end"/>
        </w:r>
      </w:hyperlink>
    </w:p>
    <w:p w14:paraId="5F617409" w14:textId="185AD837" w:rsidR="001C2A87" w:rsidRDefault="001C2A87">
      <w:pPr>
        <w:pStyle w:val="TOC1"/>
        <w:tabs>
          <w:tab w:val="right" w:pos="9350"/>
        </w:tabs>
        <w:rPr>
          <w:rFonts w:eastAsiaTheme="minorEastAsia"/>
          <w:b w:val="0"/>
          <w:bCs w:val="0"/>
          <w:caps w:val="0"/>
          <w:noProof/>
          <w:sz w:val="24"/>
          <w:szCs w:val="24"/>
          <w:u w:val="none"/>
        </w:rPr>
      </w:pPr>
      <w:hyperlink w:anchor="_Toc220768385" w:history="1">
        <w:r w:rsidRPr="001F530D">
          <w:rPr>
            <w:rStyle w:val="Hyperlink"/>
            <w:noProof/>
          </w:rPr>
          <w:t>Transnational Repression (TNR)</w:t>
        </w:r>
        <w:r>
          <w:rPr>
            <w:noProof/>
            <w:webHidden/>
          </w:rPr>
          <w:tab/>
        </w:r>
        <w:r>
          <w:rPr>
            <w:noProof/>
            <w:webHidden/>
          </w:rPr>
          <w:fldChar w:fldCharType="begin"/>
        </w:r>
        <w:r>
          <w:rPr>
            <w:noProof/>
            <w:webHidden/>
          </w:rPr>
          <w:instrText xml:space="preserve"> PAGEREF _Toc220768385 \h </w:instrText>
        </w:r>
        <w:r>
          <w:rPr>
            <w:noProof/>
            <w:webHidden/>
          </w:rPr>
        </w:r>
        <w:r>
          <w:rPr>
            <w:noProof/>
            <w:webHidden/>
          </w:rPr>
          <w:fldChar w:fldCharType="separate"/>
        </w:r>
        <w:r>
          <w:rPr>
            <w:noProof/>
            <w:webHidden/>
          </w:rPr>
          <w:t>3</w:t>
        </w:r>
        <w:r>
          <w:rPr>
            <w:noProof/>
            <w:webHidden/>
          </w:rPr>
          <w:fldChar w:fldCharType="end"/>
        </w:r>
      </w:hyperlink>
    </w:p>
    <w:p w14:paraId="38AD53D0" w14:textId="66DE1894" w:rsidR="001C2A87" w:rsidRDefault="001C2A87">
      <w:pPr>
        <w:pStyle w:val="TOC3"/>
        <w:tabs>
          <w:tab w:val="right" w:pos="9350"/>
        </w:tabs>
        <w:rPr>
          <w:rFonts w:eastAsiaTheme="minorEastAsia"/>
          <w:smallCaps w:val="0"/>
          <w:noProof/>
          <w:sz w:val="24"/>
          <w:szCs w:val="24"/>
        </w:rPr>
      </w:pPr>
      <w:hyperlink w:anchor="_Toc220768386" w:history="1">
        <w:r w:rsidRPr="001F530D">
          <w:rPr>
            <w:rStyle w:val="Hyperlink"/>
            <w:noProof/>
          </w:rPr>
          <w:t>1. Definition and Scope</w:t>
        </w:r>
        <w:r>
          <w:rPr>
            <w:noProof/>
            <w:webHidden/>
          </w:rPr>
          <w:tab/>
        </w:r>
        <w:r>
          <w:rPr>
            <w:noProof/>
            <w:webHidden/>
          </w:rPr>
          <w:fldChar w:fldCharType="begin"/>
        </w:r>
        <w:r>
          <w:rPr>
            <w:noProof/>
            <w:webHidden/>
          </w:rPr>
          <w:instrText xml:space="preserve"> PAGEREF _Toc220768386 \h </w:instrText>
        </w:r>
        <w:r>
          <w:rPr>
            <w:noProof/>
            <w:webHidden/>
          </w:rPr>
        </w:r>
        <w:r>
          <w:rPr>
            <w:noProof/>
            <w:webHidden/>
          </w:rPr>
          <w:fldChar w:fldCharType="separate"/>
        </w:r>
        <w:r>
          <w:rPr>
            <w:noProof/>
            <w:webHidden/>
          </w:rPr>
          <w:t>3</w:t>
        </w:r>
        <w:r>
          <w:rPr>
            <w:noProof/>
            <w:webHidden/>
          </w:rPr>
          <w:fldChar w:fldCharType="end"/>
        </w:r>
      </w:hyperlink>
    </w:p>
    <w:p w14:paraId="6C752488" w14:textId="50F18D19" w:rsidR="001C2A87" w:rsidRDefault="001C2A87">
      <w:pPr>
        <w:pStyle w:val="TOC3"/>
        <w:tabs>
          <w:tab w:val="right" w:pos="9350"/>
        </w:tabs>
        <w:rPr>
          <w:rFonts w:eastAsiaTheme="minorEastAsia"/>
          <w:smallCaps w:val="0"/>
          <w:noProof/>
          <w:sz w:val="24"/>
          <w:szCs w:val="24"/>
        </w:rPr>
      </w:pPr>
      <w:hyperlink w:anchor="_Toc220768387" w:history="1">
        <w:r w:rsidRPr="001F530D">
          <w:rPr>
            <w:rStyle w:val="Hyperlink"/>
            <w:noProof/>
          </w:rPr>
          <w:t>2. Official Policies</w:t>
        </w:r>
        <w:r>
          <w:rPr>
            <w:noProof/>
            <w:webHidden/>
          </w:rPr>
          <w:tab/>
        </w:r>
        <w:r>
          <w:rPr>
            <w:noProof/>
            <w:webHidden/>
          </w:rPr>
          <w:fldChar w:fldCharType="begin"/>
        </w:r>
        <w:r>
          <w:rPr>
            <w:noProof/>
            <w:webHidden/>
          </w:rPr>
          <w:instrText xml:space="preserve"> PAGEREF _Toc220768387 \h </w:instrText>
        </w:r>
        <w:r>
          <w:rPr>
            <w:noProof/>
            <w:webHidden/>
          </w:rPr>
        </w:r>
        <w:r>
          <w:rPr>
            <w:noProof/>
            <w:webHidden/>
          </w:rPr>
          <w:fldChar w:fldCharType="separate"/>
        </w:r>
        <w:r>
          <w:rPr>
            <w:noProof/>
            <w:webHidden/>
          </w:rPr>
          <w:t>5</w:t>
        </w:r>
        <w:r>
          <w:rPr>
            <w:noProof/>
            <w:webHidden/>
          </w:rPr>
          <w:fldChar w:fldCharType="end"/>
        </w:r>
      </w:hyperlink>
    </w:p>
    <w:p w14:paraId="65076AAB" w14:textId="7BA226C0" w:rsidR="001C2A87" w:rsidRDefault="001C2A87">
      <w:pPr>
        <w:pStyle w:val="TOC4"/>
        <w:tabs>
          <w:tab w:val="right" w:pos="9350"/>
        </w:tabs>
        <w:rPr>
          <w:rFonts w:eastAsiaTheme="minorEastAsia"/>
          <w:noProof/>
          <w:sz w:val="24"/>
          <w:szCs w:val="24"/>
        </w:rPr>
      </w:pPr>
      <w:hyperlink w:anchor="_Toc220768388" w:history="1">
        <w:r w:rsidRPr="001F530D">
          <w:rPr>
            <w:rStyle w:val="Hyperlink"/>
            <w:noProof/>
          </w:rPr>
          <w:t>2.1. Extraditions</w:t>
        </w:r>
        <w:r>
          <w:rPr>
            <w:noProof/>
            <w:webHidden/>
          </w:rPr>
          <w:tab/>
        </w:r>
        <w:r>
          <w:rPr>
            <w:noProof/>
            <w:webHidden/>
          </w:rPr>
          <w:fldChar w:fldCharType="begin"/>
        </w:r>
        <w:r>
          <w:rPr>
            <w:noProof/>
            <w:webHidden/>
          </w:rPr>
          <w:instrText xml:space="preserve"> PAGEREF _Toc220768388 \h </w:instrText>
        </w:r>
        <w:r>
          <w:rPr>
            <w:noProof/>
            <w:webHidden/>
          </w:rPr>
        </w:r>
        <w:r>
          <w:rPr>
            <w:noProof/>
            <w:webHidden/>
          </w:rPr>
          <w:fldChar w:fldCharType="separate"/>
        </w:r>
        <w:r>
          <w:rPr>
            <w:noProof/>
            <w:webHidden/>
          </w:rPr>
          <w:t>6</w:t>
        </w:r>
        <w:r>
          <w:rPr>
            <w:noProof/>
            <w:webHidden/>
          </w:rPr>
          <w:fldChar w:fldCharType="end"/>
        </w:r>
      </w:hyperlink>
    </w:p>
    <w:p w14:paraId="6894064C" w14:textId="4C92A510" w:rsidR="001C2A87" w:rsidRDefault="001C2A87">
      <w:pPr>
        <w:pStyle w:val="TOC4"/>
        <w:tabs>
          <w:tab w:val="right" w:pos="9350"/>
        </w:tabs>
        <w:rPr>
          <w:rFonts w:eastAsiaTheme="minorEastAsia"/>
          <w:noProof/>
          <w:sz w:val="24"/>
          <w:szCs w:val="24"/>
        </w:rPr>
      </w:pPr>
      <w:hyperlink w:anchor="_Toc220768389" w:history="1">
        <w:r w:rsidRPr="001F530D">
          <w:rPr>
            <w:rStyle w:val="Hyperlink"/>
            <w:noProof/>
          </w:rPr>
          <w:t>2.2. Repatriation</w:t>
        </w:r>
        <w:r>
          <w:rPr>
            <w:noProof/>
            <w:webHidden/>
          </w:rPr>
          <w:tab/>
        </w:r>
        <w:r>
          <w:rPr>
            <w:noProof/>
            <w:webHidden/>
          </w:rPr>
          <w:fldChar w:fldCharType="begin"/>
        </w:r>
        <w:r>
          <w:rPr>
            <w:noProof/>
            <w:webHidden/>
          </w:rPr>
          <w:instrText xml:space="preserve"> PAGEREF _Toc220768389 \h </w:instrText>
        </w:r>
        <w:r>
          <w:rPr>
            <w:noProof/>
            <w:webHidden/>
          </w:rPr>
        </w:r>
        <w:r>
          <w:rPr>
            <w:noProof/>
            <w:webHidden/>
          </w:rPr>
          <w:fldChar w:fldCharType="separate"/>
        </w:r>
        <w:r>
          <w:rPr>
            <w:noProof/>
            <w:webHidden/>
          </w:rPr>
          <w:t>8</w:t>
        </w:r>
        <w:r>
          <w:rPr>
            <w:noProof/>
            <w:webHidden/>
          </w:rPr>
          <w:fldChar w:fldCharType="end"/>
        </w:r>
      </w:hyperlink>
    </w:p>
    <w:p w14:paraId="11C28C32" w14:textId="31E71DDE" w:rsidR="001C2A87" w:rsidRDefault="001C2A87">
      <w:pPr>
        <w:pStyle w:val="TOC4"/>
        <w:tabs>
          <w:tab w:val="right" w:pos="9350"/>
        </w:tabs>
        <w:rPr>
          <w:rFonts w:eastAsiaTheme="minorEastAsia"/>
          <w:noProof/>
          <w:sz w:val="24"/>
          <w:szCs w:val="24"/>
        </w:rPr>
      </w:pPr>
      <w:hyperlink w:anchor="_Toc220768390" w:history="1">
        <w:r w:rsidRPr="001F530D">
          <w:rPr>
            <w:rStyle w:val="Hyperlink"/>
            <w:noProof/>
          </w:rPr>
          <w:t>2.3. Persuasion to Return</w:t>
        </w:r>
        <w:r>
          <w:rPr>
            <w:noProof/>
            <w:webHidden/>
          </w:rPr>
          <w:tab/>
        </w:r>
        <w:r>
          <w:rPr>
            <w:noProof/>
            <w:webHidden/>
          </w:rPr>
          <w:fldChar w:fldCharType="begin"/>
        </w:r>
        <w:r>
          <w:rPr>
            <w:noProof/>
            <w:webHidden/>
          </w:rPr>
          <w:instrText xml:space="preserve"> PAGEREF _Toc220768390 \h </w:instrText>
        </w:r>
        <w:r>
          <w:rPr>
            <w:noProof/>
            <w:webHidden/>
          </w:rPr>
        </w:r>
        <w:r>
          <w:rPr>
            <w:noProof/>
            <w:webHidden/>
          </w:rPr>
          <w:fldChar w:fldCharType="separate"/>
        </w:r>
        <w:r>
          <w:rPr>
            <w:noProof/>
            <w:webHidden/>
          </w:rPr>
          <w:t>8</w:t>
        </w:r>
        <w:r>
          <w:rPr>
            <w:noProof/>
            <w:webHidden/>
          </w:rPr>
          <w:fldChar w:fldCharType="end"/>
        </w:r>
      </w:hyperlink>
    </w:p>
    <w:p w14:paraId="6F8913EE" w14:textId="411A0749" w:rsidR="001C2A87" w:rsidRDefault="001C2A87">
      <w:pPr>
        <w:pStyle w:val="TOC3"/>
        <w:tabs>
          <w:tab w:val="right" w:pos="9350"/>
        </w:tabs>
        <w:rPr>
          <w:rFonts w:eastAsiaTheme="minorEastAsia"/>
          <w:smallCaps w:val="0"/>
          <w:noProof/>
          <w:sz w:val="24"/>
          <w:szCs w:val="24"/>
        </w:rPr>
      </w:pPr>
      <w:hyperlink w:anchor="_Toc220768391" w:history="1">
        <w:r w:rsidRPr="001F530D">
          <w:rPr>
            <w:rStyle w:val="Hyperlink"/>
            <w:noProof/>
          </w:rPr>
          <w:t>3. Operations and Official Numbers</w:t>
        </w:r>
        <w:r>
          <w:rPr>
            <w:noProof/>
            <w:webHidden/>
          </w:rPr>
          <w:tab/>
        </w:r>
        <w:r>
          <w:rPr>
            <w:noProof/>
            <w:webHidden/>
          </w:rPr>
          <w:fldChar w:fldCharType="begin"/>
        </w:r>
        <w:r>
          <w:rPr>
            <w:noProof/>
            <w:webHidden/>
          </w:rPr>
          <w:instrText xml:space="preserve"> PAGEREF _Toc220768391 \h </w:instrText>
        </w:r>
        <w:r>
          <w:rPr>
            <w:noProof/>
            <w:webHidden/>
          </w:rPr>
        </w:r>
        <w:r>
          <w:rPr>
            <w:noProof/>
            <w:webHidden/>
          </w:rPr>
          <w:fldChar w:fldCharType="separate"/>
        </w:r>
        <w:r>
          <w:rPr>
            <w:noProof/>
            <w:webHidden/>
          </w:rPr>
          <w:t>9</w:t>
        </w:r>
        <w:r>
          <w:rPr>
            <w:noProof/>
            <w:webHidden/>
          </w:rPr>
          <w:fldChar w:fldCharType="end"/>
        </w:r>
      </w:hyperlink>
    </w:p>
    <w:p w14:paraId="78CE9362" w14:textId="0977CF09" w:rsidR="001C2A87" w:rsidRDefault="001C2A87">
      <w:pPr>
        <w:pStyle w:val="TOC1"/>
        <w:tabs>
          <w:tab w:val="right" w:pos="9350"/>
        </w:tabs>
        <w:rPr>
          <w:rFonts w:eastAsiaTheme="minorEastAsia"/>
          <w:b w:val="0"/>
          <w:bCs w:val="0"/>
          <w:caps w:val="0"/>
          <w:noProof/>
          <w:sz w:val="24"/>
          <w:szCs w:val="24"/>
          <w:u w:val="none"/>
        </w:rPr>
      </w:pPr>
      <w:hyperlink w:anchor="_Toc220768392" w:history="1">
        <w:r w:rsidRPr="001F530D">
          <w:rPr>
            <w:rStyle w:val="Hyperlink"/>
            <w:noProof/>
          </w:rPr>
          <w:t>Enforced Disappearances as State Policy</w:t>
        </w:r>
        <w:r>
          <w:rPr>
            <w:noProof/>
            <w:webHidden/>
          </w:rPr>
          <w:tab/>
        </w:r>
        <w:r>
          <w:rPr>
            <w:noProof/>
            <w:webHidden/>
          </w:rPr>
          <w:fldChar w:fldCharType="begin"/>
        </w:r>
        <w:r>
          <w:rPr>
            <w:noProof/>
            <w:webHidden/>
          </w:rPr>
          <w:instrText xml:space="preserve"> PAGEREF _Toc220768392 \h </w:instrText>
        </w:r>
        <w:r>
          <w:rPr>
            <w:noProof/>
            <w:webHidden/>
          </w:rPr>
        </w:r>
        <w:r>
          <w:rPr>
            <w:noProof/>
            <w:webHidden/>
          </w:rPr>
          <w:fldChar w:fldCharType="separate"/>
        </w:r>
        <w:r>
          <w:rPr>
            <w:noProof/>
            <w:webHidden/>
          </w:rPr>
          <w:t>11</w:t>
        </w:r>
        <w:r>
          <w:rPr>
            <w:noProof/>
            <w:webHidden/>
          </w:rPr>
          <w:fldChar w:fldCharType="end"/>
        </w:r>
      </w:hyperlink>
    </w:p>
    <w:p w14:paraId="27F91575" w14:textId="59BC6AE0" w:rsidR="001C2A87" w:rsidRDefault="001C2A87">
      <w:pPr>
        <w:pStyle w:val="TOC3"/>
        <w:tabs>
          <w:tab w:val="right" w:pos="9350"/>
        </w:tabs>
        <w:rPr>
          <w:rFonts w:eastAsiaTheme="minorEastAsia"/>
          <w:smallCaps w:val="0"/>
          <w:noProof/>
          <w:sz w:val="24"/>
          <w:szCs w:val="24"/>
        </w:rPr>
      </w:pPr>
      <w:hyperlink w:anchor="_Toc220768393" w:history="1">
        <w:r w:rsidRPr="001F530D">
          <w:rPr>
            <w:rStyle w:val="Hyperlink"/>
            <w:noProof/>
          </w:rPr>
          <w:t>1. Liuzhi</w:t>
        </w:r>
        <w:r>
          <w:rPr>
            <w:noProof/>
            <w:webHidden/>
          </w:rPr>
          <w:tab/>
        </w:r>
        <w:r>
          <w:rPr>
            <w:noProof/>
            <w:webHidden/>
          </w:rPr>
          <w:fldChar w:fldCharType="begin"/>
        </w:r>
        <w:r>
          <w:rPr>
            <w:noProof/>
            <w:webHidden/>
          </w:rPr>
          <w:instrText xml:space="preserve"> PAGEREF _Toc220768393 \h </w:instrText>
        </w:r>
        <w:r>
          <w:rPr>
            <w:noProof/>
            <w:webHidden/>
          </w:rPr>
        </w:r>
        <w:r>
          <w:rPr>
            <w:noProof/>
            <w:webHidden/>
          </w:rPr>
          <w:fldChar w:fldCharType="separate"/>
        </w:r>
        <w:r>
          <w:rPr>
            <w:noProof/>
            <w:webHidden/>
          </w:rPr>
          <w:t>11</w:t>
        </w:r>
        <w:r>
          <w:rPr>
            <w:noProof/>
            <w:webHidden/>
          </w:rPr>
          <w:fldChar w:fldCharType="end"/>
        </w:r>
      </w:hyperlink>
    </w:p>
    <w:p w14:paraId="19B8F0EA" w14:textId="0618F0BB" w:rsidR="001C2A87" w:rsidRDefault="001C2A87">
      <w:pPr>
        <w:pStyle w:val="TOC3"/>
        <w:tabs>
          <w:tab w:val="right" w:pos="9350"/>
        </w:tabs>
        <w:rPr>
          <w:rFonts w:eastAsiaTheme="minorEastAsia"/>
          <w:smallCaps w:val="0"/>
          <w:noProof/>
          <w:sz w:val="24"/>
          <w:szCs w:val="24"/>
        </w:rPr>
      </w:pPr>
      <w:hyperlink w:anchor="_Toc220768394" w:history="1">
        <w:r w:rsidRPr="001F530D">
          <w:rPr>
            <w:rStyle w:val="Hyperlink"/>
            <w:rFonts w:eastAsia="SimSun"/>
            <w:noProof/>
          </w:rPr>
          <w:t>2. Residential Surveillance at a Designated Location</w:t>
        </w:r>
        <w:r>
          <w:rPr>
            <w:noProof/>
            <w:webHidden/>
          </w:rPr>
          <w:tab/>
        </w:r>
        <w:r>
          <w:rPr>
            <w:noProof/>
            <w:webHidden/>
          </w:rPr>
          <w:fldChar w:fldCharType="begin"/>
        </w:r>
        <w:r>
          <w:rPr>
            <w:noProof/>
            <w:webHidden/>
          </w:rPr>
          <w:instrText xml:space="preserve"> PAGEREF _Toc220768394 \h </w:instrText>
        </w:r>
        <w:r>
          <w:rPr>
            <w:noProof/>
            <w:webHidden/>
          </w:rPr>
        </w:r>
        <w:r>
          <w:rPr>
            <w:noProof/>
            <w:webHidden/>
          </w:rPr>
          <w:fldChar w:fldCharType="separate"/>
        </w:r>
        <w:r>
          <w:rPr>
            <w:noProof/>
            <w:webHidden/>
          </w:rPr>
          <w:t>12</w:t>
        </w:r>
        <w:r>
          <w:rPr>
            <w:noProof/>
            <w:webHidden/>
          </w:rPr>
          <w:fldChar w:fldCharType="end"/>
        </w:r>
      </w:hyperlink>
    </w:p>
    <w:p w14:paraId="5F9BA471" w14:textId="66FEF874" w:rsidR="000748D3" w:rsidRDefault="000748D3" w:rsidP="000748D3">
      <w:pPr>
        <w:rPr>
          <w:lang w:val="it-IT"/>
        </w:rPr>
      </w:pPr>
      <w:r>
        <w:rPr>
          <w:lang w:val="it-IT"/>
        </w:rPr>
        <w:fldChar w:fldCharType="end"/>
      </w:r>
    </w:p>
    <w:p w14:paraId="4145FB5B" w14:textId="77777777" w:rsidR="000748D3" w:rsidRDefault="000748D3" w:rsidP="000748D3">
      <w:pPr>
        <w:rPr>
          <w:lang w:val="it-IT"/>
        </w:rPr>
      </w:pPr>
    </w:p>
    <w:p w14:paraId="0F7D7EFE" w14:textId="77777777" w:rsidR="000748D3" w:rsidRDefault="000748D3" w:rsidP="000748D3">
      <w:pPr>
        <w:rPr>
          <w:lang w:val="it-IT"/>
        </w:rPr>
      </w:pPr>
    </w:p>
    <w:p w14:paraId="567F2368" w14:textId="77777777" w:rsidR="000748D3" w:rsidRDefault="000748D3" w:rsidP="000748D3">
      <w:pPr>
        <w:rPr>
          <w:lang w:val="it-IT"/>
        </w:rPr>
      </w:pPr>
    </w:p>
    <w:p w14:paraId="0F660167" w14:textId="77777777" w:rsidR="000748D3" w:rsidRDefault="000748D3" w:rsidP="000748D3">
      <w:pPr>
        <w:rPr>
          <w:lang w:val="it-IT"/>
        </w:rPr>
      </w:pPr>
    </w:p>
    <w:p w14:paraId="49AB5ECE" w14:textId="77777777" w:rsidR="000748D3" w:rsidRDefault="000748D3" w:rsidP="000748D3">
      <w:pPr>
        <w:rPr>
          <w:lang w:val="it-IT"/>
        </w:rPr>
      </w:pPr>
    </w:p>
    <w:p w14:paraId="7870404E" w14:textId="77777777" w:rsidR="000748D3" w:rsidRDefault="000748D3" w:rsidP="000748D3">
      <w:pPr>
        <w:rPr>
          <w:lang w:val="it-IT"/>
        </w:rPr>
      </w:pPr>
    </w:p>
    <w:p w14:paraId="4C1775D4" w14:textId="77777777" w:rsidR="000748D3" w:rsidRDefault="000748D3" w:rsidP="000748D3">
      <w:pPr>
        <w:rPr>
          <w:lang w:val="it-IT"/>
        </w:rPr>
      </w:pPr>
    </w:p>
    <w:p w14:paraId="7546BEDB" w14:textId="77777777" w:rsidR="000748D3" w:rsidRPr="000748D3" w:rsidRDefault="000748D3" w:rsidP="000748D3">
      <w:pPr>
        <w:rPr>
          <w:lang w:val="it-IT"/>
        </w:rPr>
      </w:pPr>
    </w:p>
    <w:p w14:paraId="50268B33" w14:textId="77777777" w:rsidR="00962F45" w:rsidRDefault="00962F45">
      <w:pPr>
        <w:rPr>
          <w:lang w:val="it-IT"/>
        </w:rPr>
      </w:pPr>
    </w:p>
    <w:p w14:paraId="4AB5FF12" w14:textId="3566A0A5" w:rsidR="00962F45" w:rsidRPr="00962F45" w:rsidRDefault="00962F45" w:rsidP="00962F45">
      <w:pPr>
        <w:pStyle w:val="Heading1"/>
      </w:pPr>
      <w:bookmarkStart w:id="1" w:name="_Toc220768384"/>
      <w:r w:rsidRPr="00962F45">
        <w:lastRenderedPageBreak/>
        <w:t>Introduction</w:t>
      </w:r>
      <w:bookmarkEnd w:id="1"/>
    </w:p>
    <w:p w14:paraId="3696FC03" w14:textId="7CE726BE" w:rsidR="00EA3A86" w:rsidRDefault="00962F45" w:rsidP="00962F45">
      <w:pPr>
        <w:spacing w:line="264" w:lineRule="auto"/>
        <w:jc w:val="both"/>
        <w:rPr>
          <w:rFonts w:ascii="Calibri" w:hAnsi="Calibri" w:cs="Calibri"/>
          <w:sz w:val="22"/>
          <w:szCs w:val="22"/>
        </w:rPr>
      </w:pPr>
      <w:r w:rsidRPr="00962F45">
        <w:rPr>
          <w:rFonts w:ascii="Calibri" w:hAnsi="Calibri" w:cs="Calibri"/>
          <w:sz w:val="22"/>
          <w:szCs w:val="22"/>
        </w:rPr>
        <w:t xml:space="preserve">1. This submission focuses on the People’s Republic of China and its practice of </w:t>
      </w:r>
      <w:r w:rsidR="00D33E76">
        <w:rPr>
          <w:rFonts w:ascii="Calibri" w:hAnsi="Calibri" w:cs="Calibri"/>
          <w:sz w:val="22"/>
          <w:szCs w:val="22"/>
        </w:rPr>
        <w:t>forced returns as a form of transnational repression</w:t>
      </w:r>
      <w:r w:rsidR="00926D53">
        <w:rPr>
          <w:rFonts w:ascii="Calibri" w:hAnsi="Calibri" w:cs="Calibri"/>
          <w:sz w:val="22"/>
          <w:szCs w:val="22"/>
        </w:rPr>
        <w:t xml:space="preserve"> </w:t>
      </w:r>
      <w:r w:rsidR="00D33E76">
        <w:rPr>
          <w:rFonts w:ascii="Calibri" w:hAnsi="Calibri" w:cs="Calibri"/>
          <w:sz w:val="22"/>
          <w:szCs w:val="22"/>
        </w:rPr>
        <w:t>which exposes individuals to a significantly heightened</w:t>
      </w:r>
      <w:r w:rsidRPr="00962F45">
        <w:rPr>
          <w:rFonts w:ascii="Calibri" w:hAnsi="Calibri" w:cs="Calibri"/>
          <w:sz w:val="22"/>
          <w:szCs w:val="22"/>
        </w:rPr>
        <w:t xml:space="preserve"> </w:t>
      </w:r>
      <w:r w:rsidR="00D33E76">
        <w:rPr>
          <w:rFonts w:ascii="Calibri" w:hAnsi="Calibri" w:cs="Calibri"/>
          <w:sz w:val="22"/>
          <w:szCs w:val="22"/>
        </w:rPr>
        <w:t xml:space="preserve">risk </w:t>
      </w:r>
      <w:r w:rsidRPr="00962F45">
        <w:rPr>
          <w:rFonts w:ascii="Calibri" w:hAnsi="Calibri" w:cs="Calibri"/>
          <w:sz w:val="22"/>
          <w:szCs w:val="22"/>
        </w:rPr>
        <w:t>enforced disappearances</w:t>
      </w:r>
      <w:r w:rsidR="00926D53">
        <w:rPr>
          <w:rFonts w:ascii="Calibri" w:hAnsi="Calibri" w:cs="Calibri"/>
          <w:sz w:val="22"/>
          <w:szCs w:val="22"/>
        </w:rPr>
        <w:t xml:space="preserve"> inside the country</w:t>
      </w:r>
      <w:r w:rsidR="00EA3A86">
        <w:rPr>
          <w:rFonts w:ascii="Calibri" w:hAnsi="Calibri" w:cs="Calibri"/>
          <w:sz w:val="22"/>
          <w:szCs w:val="22"/>
        </w:rPr>
        <w:t xml:space="preserve">. </w:t>
      </w:r>
    </w:p>
    <w:p w14:paraId="2F6A2CE0" w14:textId="302955F7" w:rsidR="00962F45" w:rsidRPr="00962F45" w:rsidRDefault="00EA3A86" w:rsidP="00962F45">
      <w:pPr>
        <w:spacing w:line="264" w:lineRule="auto"/>
        <w:jc w:val="both"/>
        <w:rPr>
          <w:rFonts w:ascii="Calibri" w:hAnsi="Calibri" w:cs="Calibri"/>
          <w:sz w:val="22"/>
          <w:szCs w:val="22"/>
        </w:rPr>
      </w:pPr>
      <w:r>
        <w:rPr>
          <w:rFonts w:ascii="Calibri" w:hAnsi="Calibri" w:cs="Calibri"/>
          <w:sz w:val="22"/>
          <w:szCs w:val="22"/>
        </w:rPr>
        <w:t xml:space="preserve">2. </w:t>
      </w:r>
      <w:r w:rsidR="00962F45" w:rsidRPr="00962F45">
        <w:rPr>
          <w:rFonts w:ascii="Calibri" w:hAnsi="Calibri" w:cs="Calibri"/>
          <w:sz w:val="22"/>
          <w:szCs w:val="22"/>
        </w:rPr>
        <w:t>The submission is based primarily on official policies from Chinese authorities</w:t>
      </w:r>
      <w:r w:rsidR="00962F45">
        <w:rPr>
          <w:rFonts w:ascii="Calibri" w:hAnsi="Calibri" w:cs="Calibri"/>
          <w:sz w:val="22"/>
          <w:szCs w:val="22"/>
        </w:rPr>
        <w:t xml:space="preserve"> and </w:t>
      </w:r>
      <w:r w:rsidR="00962F45" w:rsidRPr="00962F45">
        <w:rPr>
          <w:rFonts w:ascii="Calibri" w:hAnsi="Calibri" w:cs="Calibri"/>
          <w:sz w:val="22"/>
          <w:szCs w:val="22"/>
        </w:rPr>
        <w:t xml:space="preserve">(limited) data made available by those authorities. </w:t>
      </w:r>
    </w:p>
    <w:p w14:paraId="21C8E092" w14:textId="4E6BEE95" w:rsidR="00962F45" w:rsidRDefault="00D33E76" w:rsidP="00962F45">
      <w:pPr>
        <w:spacing w:line="264" w:lineRule="auto"/>
        <w:jc w:val="both"/>
        <w:rPr>
          <w:rFonts w:ascii="Calibri" w:hAnsi="Calibri" w:cs="Calibri"/>
          <w:sz w:val="22"/>
          <w:szCs w:val="22"/>
        </w:rPr>
      </w:pPr>
      <w:r>
        <w:rPr>
          <w:rFonts w:ascii="Calibri" w:hAnsi="Calibri" w:cs="Calibri"/>
          <w:sz w:val="22"/>
          <w:szCs w:val="22"/>
        </w:rPr>
        <w:t>3</w:t>
      </w:r>
      <w:r w:rsidR="00962F45" w:rsidRPr="00962F45">
        <w:rPr>
          <w:rFonts w:ascii="Calibri" w:hAnsi="Calibri" w:cs="Calibri"/>
          <w:sz w:val="22"/>
          <w:szCs w:val="22"/>
        </w:rPr>
        <w:t xml:space="preserve">. </w:t>
      </w:r>
      <w:r>
        <w:rPr>
          <w:rFonts w:ascii="Calibri" w:hAnsi="Calibri" w:cs="Calibri"/>
          <w:sz w:val="22"/>
          <w:szCs w:val="22"/>
        </w:rPr>
        <w:t>In that regard</w:t>
      </w:r>
      <w:r w:rsidR="00962F45" w:rsidRPr="00962F45">
        <w:rPr>
          <w:rFonts w:ascii="Calibri" w:hAnsi="Calibri" w:cs="Calibri"/>
          <w:sz w:val="22"/>
          <w:szCs w:val="22"/>
        </w:rPr>
        <w:t>, the organization continues to draw attention to UNODC’s ongoing cooperation with China under a Memorandum of Understanding on cooperation in combating corruption</w:t>
      </w:r>
      <w:r w:rsidR="00962F45" w:rsidRPr="00962F45">
        <w:rPr>
          <w:rStyle w:val="FootnoteReference"/>
          <w:rFonts w:ascii="Calibri" w:hAnsi="Calibri" w:cs="Calibri"/>
          <w:sz w:val="22"/>
          <w:szCs w:val="22"/>
        </w:rPr>
        <w:footnoteReference w:id="1"/>
      </w:r>
      <w:r w:rsidR="00962F45" w:rsidRPr="00962F45">
        <w:rPr>
          <w:rFonts w:ascii="Calibri" w:hAnsi="Calibri" w:cs="Calibri"/>
          <w:sz w:val="22"/>
          <w:szCs w:val="22"/>
        </w:rPr>
        <w:t xml:space="preserve"> (the MoU) signed between the parties in October 2019</w:t>
      </w:r>
      <w:r>
        <w:rPr>
          <w:rFonts w:ascii="Calibri" w:hAnsi="Calibri" w:cs="Calibri"/>
          <w:sz w:val="22"/>
          <w:szCs w:val="22"/>
        </w:rPr>
        <w:t xml:space="preserve">. Based on the information contained in this and previous submissions, the ongoing cooperation </w:t>
      </w:r>
      <w:r w:rsidR="00962F45" w:rsidRPr="00962F45">
        <w:rPr>
          <w:rFonts w:ascii="Calibri" w:hAnsi="Calibri" w:cs="Calibri"/>
          <w:sz w:val="22"/>
          <w:szCs w:val="22"/>
        </w:rPr>
        <w:t xml:space="preserve">appears in </w:t>
      </w:r>
      <w:r w:rsidR="00D5572F">
        <w:rPr>
          <w:rFonts w:ascii="Calibri" w:hAnsi="Calibri" w:cs="Calibri"/>
          <w:sz w:val="22"/>
          <w:szCs w:val="22"/>
        </w:rPr>
        <w:t xml:space="preserve">direct </w:t>
      </w:r>
      <w:r w:rsidR="00962F45" w:rsidRPr="00962F45">
        <w:rPr>
          <w:rFonts w:ascii="Calibri" w:hAnsi="Calibri" w:cs="Calibri"/>
          <w:sz w:val="22"/>
          <w:szCs w:val="22"/>
        </w:rPr>
        <w:t>violation of the Human Rights Due Diligence Policy on United Nations support to non-United Nations Security Forces (HRDDP) issued by the UN Secretary General on February 23, 2015.</w:t>
      </w:r>
      <w:r w:rsidR="00962F45" w:rsidRPr="00962F45">
        <w:rPr>
          <w:rStyle w:val="FootnoteReference"/>
          <w:rFonts w:ascii="Calibri" w:hAnsi="Calibri" w:cs="Calibri"/>
          <w:sz w:val="22"/>
          <w:szCs w:val="22"/>
        </w:rPr>
        <w:footnoteReference w:id="2"/>
      </w:r>
    </w:p>
    <w:p w14:paraId="232106FF" w14:textId="33B1C268" w:rsidR="002D0832" w:rsidRDefault="002D0832" w:rsidP="00962F45">
      <w:pPr>
        <w:spacing w:line="264" w:lineRule="auto"/>
        <w:jc w:val="both"/>
        <w:rPr>
          <w:rFonts w:ascii="Calibri" w:hAnsi="Calibri" w:cs="Calibri"/>
          <w:sz w:val="22"/>
          <w:szCs w:val="22"/>
        </w:rPr>
      </w:pPr>
      <w:r>
        <w:rPr>
          <w:rFonts w:ascii="Calibri" w:hAnsi="Calibri" w:cs="Calibri"/>
          <w:sz w:val="22"/>
          <w:szCs w:val="22"/>
        </w:rPr>
        <w:t xml:space="preserve">4. As bi- and multilateral cooperation continues to play a significant role in China’s ability to refoul individuals, and such cooperation makes it less likely individual victims trust host country authorities or international institutions to seek assistance to defend against such activities, UN agencies should lead in abiding by mandatory human rights policies and practices, rather than enable perpetrator States. </w:t>
      </w:r>
    </w:p>
    <w:p w14:paraId="7BC43749" w14:textId="35D17118" w:rsidR="00AE07D9" w:rsidRPr="00D33E76" w:rsidRDefault="00EA3A86" w:rsidP="00962F45">
      <w:pPr>
        <w:spacing w:line="264" w:lineRule="auto"/>
        <w:jc w:val="both"/>
        <w:rPr>
          <w:rFonts w:ascii="Calibri" w:hAnsi="Calibri" w:cs="Calibri"/>
          <w:sz w:val="22"/>
          <w:szCs w:val="22"/>
        </w:rPr>
      </w:pPr>
      <w:r>
        <w:rPr>
          <w:rFonts w:ascii="Calibri" w:hAnsi="Calibri" w:cs="Calibri"/>
          <w:sz w:val="22"/>
          <w:szCs w:val="22"/>
        </w:rPr>
        <w:t>5</w:t>
      </w:r>
      <w:r w:rsidR="008D57D5">
        <w:rPr>
          <w:rFonts w:ascii="Calibri" w:hAnsi="Calibri" w:cs="Calibri"/>
          <w:sz w:val="22"/>
          <w:szCs w:val="22"/>
        </w:rPr>
        <w:t xml:space="preserve">. This submission builds on the organization’s 2024 report </w:t>
      </w:r>
      <w:r w:rsidR="008D57D5">
        <w:rPr>
          <w:rFonts w:ascii="Calibri" w:hAnsi="Calibri" w:cs="Calibri"/>
          <w:i/>
          <w:iCs/>
          <w:sz w:val="22"/>
          <w:szCs w:val="22"/>
        </w:rPr>
        <w:t>Chasing Fox Hunt</w:t>
      </w:r>
      <w:r w:rsidR="008D57D5">
        <w:rPr>
          <w:rStyle w:val="FootnoteReference"/>
          <w:rFonts w:ascii="Calibri" w:hAnsi="Calibri" w:cs="Calibri"/>
          <w:i/>
          <w:iCs/>
          <w:sz w:val="22"/>
          <w:szCs w:val="22"/>
        </w:rPr>
        <w:footnoteReference w:id="3"/>
      </w:r>
      <w:r w:rsidR="008D57D5">
        <w:rPr>
          <w:rFonts w:ascii="Calibri" w:hAnsi="Calibri" w:cs="Calibri"/>
          <w:i/>
          <w:iCs/>
          <w:sz w:val="22"/>
          <w:szCs w:val="22"/>
        </w:rPr>
        <w:t xml:space="preserve"> </w:t>
      </w:r>
      <w:r w:rsidR="008D57D5">
        <w:rPr>
          <w:rFonts w:ascii="Calibri" w:hAnsi="Calibri" w:cs="Calibri"/>
          <w:sz w:val="22"/>
          <w:szCs w:val="22"/>
        </w:rPr>
        <w:t xml:space="preserve">- which contains poignant </w:t>
      </w:r>
      <w:r w:rsidR="008D57D5" w:rsidRPr="00D33E76">
        <w:rPr>
          <w:rFonts w:ascii="Calibri" w:hAnsi="Calibri" w:cs="Calibri"/>
          <w:sz w:val="22"/>
          <w:szCs w:val="22"/>
        </w:rPr>
        <w:t>first-hand examples from Chinese authorities on its extrajudicial operations overseas</w:t>
      </w:r>
      <w:r w:rsidR="00840AC2" w:rsidRPr="00D33E76">
        <w:rPr>
          <w:rFonts w:ascii="Calibri" w:hAnsi="Calibri" w:cs="Calibri"/>
          <w:sz w:val="22"/>
          <w:szCs w:val="22"/>
        </w:rPr>
        <w:t xml:space="preserve"> and in-depth information on the actors and operations</w:t>
      </w:r>
      <w:r w:rsidR="008D57D5" w:rsidRPr="00D33E76">
        <w:rPr>
          <w:rFonts w:ascii="Calibri" w:hAnsi="Calibri" w:cs="Calibri"/>
          <w:sz w:val="22"/>
          <w:szCs w:val="22"/>
        </w:rPr>
        <w:t xml:space="preserve"> -, as well as its periodic submissions to the UN Working Group on Enforced or Involuntary Disappearances, UN Committee Against Torture, UN Special Rapporteur on Torture and Other Cruel, Inhuman or Degrading Treatment or Punishment, and UN Working Group on Arbitrary Detention on the scale </w:t>
      </w:r>
      <w:r w:rsidR="00AE07D9" w:rsidRPr="00D33E76">
        <w:rPr>
          <w:rFonts w:ascii="Calibri" w:hAnsi="Calibri" w:cs="Calibri"/>
          <w:sz w:val="22"/>
          <w:szCs w:val="22"/>
        </w:rPr>
        <w:t>and actors behind</w:t>
      </w:r>
      <w:r w:rsidR="008D57D5" w:rsidRPr="00D33E76">
        <w:rPr>
          <w:rFonts w:ascii="Calibri" w:hAnsi="Calibri" w:cs="Calibri"/>
          <w:sz w:val="22"/>
          <w:szCs w:val="22"/>
        </w:rPr>
        <w:t xml:space="preserve"> widespread and systematic enforced disappearances in China</w:t>
      </w:r>
      <w:r w:rsidR="008D57D5" w:rsidRPr="00D33E76">
        <w:rPr>
          <w:rStyle w:val="FootnoteReference"/>
          <w:rFonts w:ascii="Calibri" w:hAnsi="Calibri" w:cs="Calibri"/>
          <w:sz w:val="22"/>
          <w:szCs w:val="22"/>
        </w:rPr>
        <w:footnoteReference w:id="4"/>
      </w:r>
      <w:r w:rsidR="008D57D5" w:rsidRPr="00D33E76">
        <w:rPr>
          <w:rFonts w:ascii="Calibri" w:hAnsi="Calibri" w:cs="Calibri"/>
          <w:sz w:val="22"/>
          <w:szCs w:val="22"/>
        </w:rPr>
        <w:t>.</w:t>
      </w:r>
    </w:p>
    <w:p w14:paraId="0098D605" w14:textId="7A40308A" w:rsidR="00926D53" w:rsidRDefault="00926D53" w:rsidP="00926D53">
      <w:pPr>
        <w:pStyle w:val="Heading1"/>
      </w:pPr>
      <w:bookmarkStart w:id="2" w:name="_Toc220768385"/>
      <w:r>
        <w:t>Transnational Repression (TNR)</w:t>
      </w:r>
      <w:bookmarkEnd w:id="2"/>
    </w:p>
    <w:p w14:paraId="16BFDFC2" w14:textId="5762B181" w:rsidR="00926D53" w:rsidRPr="00926D53" w:rsidRDefault="00840AC2" w:rsidP="00926D53">
      <w:pPr>
        <w:pStyle w:val="Heading3"/>
      </w:pPr>
      <w:bookmarkStart w:id="3" w:name="_Toc220768386"/>
      <w:r>
        <w:t xml:space="preserve">1. </w:t>
      </w:r>
      <w:r w:rsidR="00926D53">
        <w:t>Definition and Scope</w:t>
      </w:r>
      <w:bookmarkEnd w:id="3"/>
    </w:p>
    <w:p w14:paraId="3968B302" w14:textId="3722834A" w:rsidR="00926D53" w:rsidRPr="00926D53" w:rsidRDefault="00EA3A86" w:rsidP="00926D53">
      <w:pPr>
        <w:spacing w:line="264" w:lineRule="auto"/>
        <w:jc w:val="both"/>
        <w:rPr>
          <w:rFonts w:ascii="Calibri" w:hAnsi="Calibri" w:cs="Calibri"/>
          <w:sz w:val="22"/>
          <w:szCs w:val="22"/>
        </w:rPr>
      </w:pPr>
      <w:r>
        <w:rPr>
          <w:rFonts w:ascii="Calibri" w:hAnsi="Calibri" w:cs="Calibri"/>
          <w:sz w:val="22"/>
          <w:szCs w:val="22"/>
        </w:rPr>
        <w:t>6</w:t>
      </w:r>
      <w:r w:rsidR="00926D53">
        <w:rPr>
          <w:rFonts w:ascii="Calibri" w:hAnsi="Calibri" w:cs="Calibri"/>
          <w:sz w:val="22"/>
          <w:szCs w:val="22"/>
        </w:rPr>
        <w:t>. In its June 2025, Civic Space Brief, the Office of the High Commissioner for Human Rights describes TNR as denoting</w:t>
      </w:r>
      <w:r w:rsidR="00926D53" w:rsidRPr="00926D53">
        <w:rPr>
          <w:rFonts w:ascii="Calibri" w:hAnsi="Calibri" w:cs="Calibri"/>
          <w:sz w:val="22"/>
          <w:szCs w:val="22"/>
        </w:rPr>
        <w:t xml:space="preserve"> </w:t>
      </w:r>
      <w:r w:rsidR="00926D53" w:rsidRPr="00926D53">
        <w:rPr>
          <w:rFonts w:ascii="Calibri" w:hAnsi="Calibri" w:cs="Calibri"/>
          <w:i/>
          <w:iCs/>
          <w:sz w:val="22"/>
          <w:szCs w:val="22"/>
        </w:rPr>
        <w:t xml:space="preserve">“acts conducted or directed by a State, or its proxy, to deter, silence or punish dissent, criticism or human rights advocacy towards it, expressed from outside its territory. These acts often target civil society actors abroad, such as human rights defenders (HRDs), journalists, and whistle-blowers as well as their families or associates who remain in the repressing country. Non-state actors such as private </w:t>
      </w:r>
      <w:r w:rsidR="00926D53" w:rsidRPr="00926D53">
        <w:rPr>
          <w:rFonts w:ascii="Calibri" w:hAnsi="Calibri" w:cs="Calibri"/>
          <w:i/>
          <w:iCs/>
          <w:sz w:val="22"/>
          <w:szCs w:val="22"/>
        </w:rPr>
        <w:lastRenderedPageBreak/>
        <w:t>companies and technology firms, criminal networks, private militia or paramilitary groups and media organizations, can also play a role in transnational repression, at the request or with the acquiescence of the repressing State.”</w:t>
      </w:r>
      <w:r w:rsidR="00926D53">
        <w:rPr>
          <w:rStyle w:val="FootnoteReference"/>
          <w:rFonts w:ascii="Calibri" w:hAnsi="Calibri" w:cs="Calibri"/>
          <w:i/>
          <w:iCs/>
          <w:sz w:val="22"/>
          <w:szCs w:val="22"/>
        </w:rPr>
        <w:footnoteReference w:id="5"/>
      </w:r>
    </w:p>
    <w:p w14:paraId="771090EA" w14:textId="7E96008E" w:rsidR="00926D53" w:rsidRDefault="00EA3A86" w:rsidP="00962F45">
      <w:pPr>
        <w:spacing w:line="264" w:lineRule="auto"/>
        <w:jc w:val="both"/>
        <w:rPr>
          <w:rFonts w:ascii="Calibri" w:hAnsi="Calibri" w:cs="Calibri"/>
          <w:sz w:val="22"/>
          <w:szCs w:val="22"/>
        </w:rPr>
      </w:pPr>
      <w:r>
        <w:rPr>
          <w:rFonts w:ascii="Calibri" w:hAnsi="Calibri" w:cs="Calibri"/>
          <w:sz w:val="22"/>
          <w:szCs w:val="22"/>
        </w:rPr>
        <w:t>7</w:t>
      </w:r>
      <w:r w:rsidR="00926D53">
        <w:rPr>
          <w:rFonts w:ascii="Calibri" w:hAnsi="Calibri" w:cs="Calibri"/>
          <w:sz w:val="22"/>
          <w:szCs w:val="22"/>
        </w:rPr>
        <w:t xml:space="preserve">. Among the methods employed, the Brief outlines: </w:t>
      </w:r>
    </w:p>
    <w:p w14:paraId="3EBEF2BF" w14:textId="476EBCCE" w:rsidR="00926D53" w:rsidRPr="00926D53" w:rsidRDefault="00926D53" w:rsidP="00926D53">
      <w:pPr>
        <w:pStyle w:val="ListParagraph"/>
        <w:numPr>
          <w:ilvl w:val="0"/>
          <w:numId w:val="1"/>
        </w:numPr>
        <w:spacing w:line="264" w:lineRule="auto"/>
        <w:jc w:val="both"/>
        <w:rPr>
          <w:rFonts w:ascii="Calibri" w:hAnsi="Calibri" w:cs="Calibri"/>
          <w:i/>
          <w:iCs/>
          <w:sz w:val="22"/>
          <w:szCs w:val="22"/>
        </w:rPr>
      </w:pPr>
      <w:r w:rsidRPr="00926D53">
        <w:rPr>
          <w:rFonts w:ascii="Calibri" w:hAnsi="Calibri" w:cs="Calibri"/>
          <w:i/>
          <w:iCs/>
          <w:sz w:val="22"/>
          <w:szCs w:val="22"/>
        </w:rPr>
        <w:t xml:space="preserve">Acts of violence and intimidation outside the country, such as overt surveillance, kidnappings, [...], arbitrary arrests, enforced disappearances and </w:t>
      </w:r>
      <w:proofErr w:type="gramStart"/>
      <w:r w:rsidRPr="00926D53">
        <w:rPr>
          <w:rFonts w:ascii="Calibri" w:hAnsi="Calibri" w:cs="Calibri"/>
          <w:i/>
          <w:iCs/>
          <w:sz w:val="22"/>
          <w:szCs w:val="22"/>
        </w:rPr>
        <w:t>renditions;</w:t>
      </w:r>
      <w:proofErr w:type="gramEnd"/>
    </w:p>
    <w:p w14:paraId="298D3D9C" w14:textId="2D2AD19C" w:rsidR="00926D53" w:rsidRPr="00926D53" w:rsidRDefault="00926D53" w:rsidP="00926D53">
      <w:pPr>
        <w:pStyle w:val="ListParagraph"/>
        <w:numPr>
          <w:ilvl w:val="0"/>
          <w:numId w:val="1"/>
        </w:numPr>
        <w:spacing w:line="264" w:lineRule="auto"/>
        <w:jc w:val="both"/>
        <w:rPr>
          <w:rFonts w:ascii="Calibri" w:hAnsi="Calibri" w:cs="Calibri"/>
          <w:i/>
          <w:iCs/>
          <w:sz w:val="22"/>
          <w:szCs w:val="22"/>
        </w:rPr>
      </w:pPr>
      <w:r w:rsidRPr="00926D53">
        <w:rPr>
          <w:rFonts w:ascii="Calibri" w:hAnsi="Calibri" w:cs="Calibri"/>
          <w:i/>
          <w:iCs/>
          <w:sz w:val="22"/>
          <w:szCs w:val="22"/>
        </w:rPr>
        <w:t xml:space="preserve">Harassment through extradition requests, unlawful arrests or deportations based on bilateral or regional cooperation, often involving economic or judicial cooperation agreements or the abuse of INTERPOL red notices, as well as the misuse of ‘terrorist’ labelling and formal designation (watchlists and sanctions lists), criminal prosecutions in absentia, </w:t>
      </w:r>
      <w:proofErr w:type="gramStart"/>
      <w:r w:rsidRPr="00926D53">
        <w:rPr>
          <w:rFonts w:ascii="Calibri" w:hAnsi="Calibri" w:cs="Calibri"/>
          <w:i/>
          <w:iCs/>
          <w:sz w:val="22"/>
          <w:szCs w:val="22"/>
        </w:rPr>
        <w:t>[...];</w:t>
      </w:r>
      <w:proofErr w:type="gramEnd"/>
    </w:p>
    <w:p w14:paraId="56838448" w14:textId="291979CF" w:rsidR="00926D53" w:rsidRPr="00AE07D9" w:rsidRDefault="00926D53" w:rsidP="00AE07D9">
      <w:pPr>
        <w:pStyle w:val="ListParagraph"/>
        <w:numPr>
          <w:ilvl w:val="0"/>
          <w:numId w:val="1"/>
        </w:numPr>
        <w:spacing w:line="264" w:lineRule="auto"/>
        <w:jc w:val="both"/>
        <w:rPr>
          <w:rFonts w:ascii="Calibri" w:hAnsi="Calibri" w:cs="Calibri"/>
          <w:i/>
          <w:iCs/>
          <w:sz w:val="22"/>
          <w:szCs w:val="22"/>
        </w:rPr>
      </w:pPr>
      <w:r w:rsidRPr="00926D53">
        <w:rPr>
          <w:rFonts w:ascii="Calibri" w:hAnsi="Calibri" w:cs="Calibri"/>
          <w:i/>
          <w:iCs/>
          <w:sz w:val="22"/>
          <w:szCs w:val="22"/>
        </w:rPr>
        <w:t xml:space="preserve">Abuses of (security) laws with extra-territorial provisions as the basis for arrest </w:t>
      </w:r>
      <w:proofErr w:type="gramStart"/>
      <w:r w:rsidRPr="00926D53">
        <w:rPr>
          <w:rFonts w:ascii="Calibri" w:hAnsi="Calibri" w:cs="Calibri"/>
          <w:i/>
          <w:iCs/>
          <w:sz w:val="22"/>
          <w:szCs w:val="22"/>
        </w:rPr>
        <w:t>warrants;</w:t>
      </w:r>
      <w:proofErr w:type="gramEnd"/>
    </w:p>
    <w:p w14:paraId="12C406F9" w14:textId="77777777" w:rsidR="00926D53" w:rsidRPr="00926D53" w:rsidRDefault="00926D53" w:rsidP="00926D53">
      <w:pPr>
        <w:pStyle w:val="ListParagraph"/>
        <w:numPr>
          <w:ilvl w:val="0"/>
          <w:numId w:val="1"/>
        </w:numPr>
        <w:spacing w:line="264" w:lineRule="auto"/>
        <w:jc w:val="both"/>
        <w:rPr>
          <w:rFonts w:ascii="Calibri" w:hAnsi="Calibri" w:cs="Calibri"/>
          <w:i/>
          <w:iCs/>
          <w:sz w:val="22"/>
          <w:szCs w:val="22"/>
        </w:rPr>
      </w:pPr>
      <w:r w:rsidRPr="00926D53">
        <w:rPr>
          <w:rFonts w:ascii="Calibri" w:hAnsi="Calibri" w:cs="Calibri"/>
          <w:i/>
          <w:iCs/>
          <w:sz w:val="22"/>
          <w:szCs w:val="22"/>
        </w:rPr>
        <w:t xml:space="preserve">Impediments to mobility, such as arbitrary refusal of consular services or passport renewal, revocation of nationality, </w:t>
      </w:r>
      <w:proofErr w:type="gramStart"/>
      <w:r w:rsidRPr="00926D53">
        <w:rPr>
          <w:rFonts w:ascii="Calibri" w:hAnsi="Calibri" w:cs="Calibri"/>
          <w:i/>
          <w:iCs/>
          <w:sz w:val="22"/>
          <w:szCs w:val="22"/>
        </w:rPr>
        <w:t>[...];</w:t>
      </w:r>
      <w:proofErr w:type="gramEnd"/>
    </w:p>
    <w:p w14:paraId="238432FE" w14:textId="080441A6" w:rsidR="00926D53" w:rsidRDefault="00926D53" w:rsidP="00926D53">
      <w:pPr>
        <w:pStyle w:val="ListParagraph"/>
        <w:numPr>
          <w:ilvl w:val="0"/>
          <w:numId w:val="1"/>
        </w:numPr>
        <w:spacing w:line="264" w:lineRule="auto"/>
        <w:jc w:val="both"/>
        <w:rPr>
          <w:rFonts w:ascii="Calibri" w:hAnsi="Calibri" w:cs="Calibri"/>
          <w:i/>
          <w:iCs/>
          <w:sz w:val="22"/>
          <w:szCs w:val="22"/>
        </w:rPr>
      </w:pPr>
      <w:r w:rsidRPr="00926D53">
        <w:rPr>
          <w:rFonts w:ascii="Calibri" w:hAnsi="Calibri" w:cs="Calibri"/>
          <w:i/>
          <w:iCs/>
          <w:sz w:val="22"/>
          <w:szCs w:val="22"/>
        </w:rPr>
        <w:t>Proxy punishment of in-country relatives or associates, which can include causing loss of livelihood, threatening, imprisoning, torturing or even killing family members, close associates or colleagues.</w:t>
      </w:r>
    </w:p>
    <w:p w14:paraId="03964F09" w14:textId="2BB30761" w:rsidR="00926D53" w:rsidRPr="00926D53" w:rsidRDefault="00EA3A86" w:rsidP="00926D53">
      <w:pPr>
        <w:spacing w:line="264" w:lineRule="auto"/>
        <w:jc w:val="both"/>
        <w:rPr>
          <w:rFonts w:ascii="Calibri" w:hAnsi="Calibri" w:cs="Calibri"/>
          <w:i/>
          <w:iCs/>
          <w:sz w:val="22"/>
          <w:szCs w:val="22"/>
        </w:rPr>
      </w:pPr>
      <w:r>
        <w:rPr>
          <w:rFonts w:ascii="Calibri" w:hAnsi="Calibri" w:cs="Calibri"/>
          <w:sz w:val="22"/>
          <w:szCs w:val="22"/>
        </w:rPr>
        <w:t>8</w:t>
      </w:r>
      <w:r w:rsidR="00926D53">
        <w:rPr>
          <w:rFonts w:ascii="Calibri" w:hAnsi="Calibri" w:cs="Calibri"/>
          <w:sz w:val="22"/>
          <w:szCs w:val="22"/>
        </w:rPr>
        <w:t xml:space="preserve">. Similarly, the Kananaskis G7 Leaders’ Statement of June 17, 2025, defines TNR as </w:t>
      </w:r>
      <w:r w:rsidR="00926D53" w:rsidRPr="00926D53">
        <w:rPr>
          <w:rFonts w:ascii="Calibri" w:hAnsi="Calibri" w:cs="Calibri"/>
          <w:i/>
          <w:iCs/>
          <w:sz w:val="22"/>
          <w:szCs w:val="22"/>
        </w:rPr>
        <w:t>“an aggressive form of foreign interference whereby states or their proxies attempt to intimidate, harass, harm or coerce individuals or communities outside their borders. TNR undermines national security, state sovereignty, the safety and human rights of victims, and principles of international law. It has a chilling effect in our countries. TNR often impacts dissidents, journalists, human rights defenders, religious minorities, and those identified as part of diaspora communities.</w:t>
      </w:r>
      <w:r w:rsidR="00926D53">
        <w:rPr>
          <w:rStyle w:val="FootnoteReference"/>
          <w:rFonts w:ascii="Calibri" w:hAnsi="Calibri" w:cs="Calibri"/>
          <w:i/>
          <w:iCs/>
          <w:sz w:val="22"/>
          <w:szCs w:val="22"/>
        </w:rPr>
        <w:footnoteReference w:id="6"/>
      </w:r>
    </w:p>
    <w:p w14:paraId="3862C2BE" w14:textId="344EA20A" w:rsidR="00926D53" w:rsidRPr="00926D53" w:rsidRDefault="00EA3A86" w:rsidP="00926D53">
      <w:pPr>
        <w:spacing w:line="264" w:lineRule="auto"/>
        <w:jc w:val="both"/>
        <w:rPr>
          <w:rFonts w:ascii="Calibri" w:hAnsi="Calibri" w:cs="Calibri"/>
          <w:sz w:val="22"/>
          <w:szCs w:val="22"/>
        </w:rPr>
      </w:pPr>
      <w:r>
        <w:rPr>
          <w:rFonts w:ascii="Calibri" w:hAnsi="Calibri" w:cs="Calibri"/>
          <w:sz w:val="22"/>
          <w:szCs w:val="22"/>
        </w:rPr>
        <w:t>9</w:t>
      </w:r>
      <w:r w:rsidR="00926D53">
        <w:rPr>
          <w:rFonts w:ascii="Calibri" w:hAnsi="Calibri" w:cs="Calibri"/>
          <w:sz w:val="22"/>
          <w:szCs w:val="22"/>
        </w:rPr>
        <w:t>. Among the methods employed the Statement highlights:</w:t>
      </w:r>
    </w:p>
    <w:p w14:paraId="62FA2DA7" w14:textId="77777777" w:rsidR="00926D53" w:rsidRDefault="00926D53" w:rsidP="00926D53">
      <w:pPr>
        <w:numPr>
          <w:ilvl w:val="0"/>
          <w:numId w:val="2"/>
        </w:numPr>
        <w:tabs>
          <w:tab w:val="num" w:pos="720"/>
        </w:tabs>
        <w:spacing w:line="264" w:lineRule="auto"/>
        <w:jc w:val="both"/>
        <w:rPr>
          <w:rFonts w:ascii="Calibri" w:hAnsi="Calibri" w:cs="Calibri"/>
          <w:i/>
          <w:iCs/>
          <w:sz w:val="22"/>
          <w:szCs w:val="22"/>
        </w:rPr>
      </w:pPr>
      <w:r w:rsidRPr="00926D53">
        <w:rPr>
          <w:rFonts w:ascii="Calibri" w:hAnsi="Calibri" w:cs="Calibri"/>
          <w:i/>
          <w:iCs/>
          <w:sz w:val="22"/>
          <w:szCs w:val="22"/>
        </w:rPr>
        <w:t xml:space="preserve">Threats or acts of physical violence such as harassment, assault, abduction or </w:t>
      </w:r>
      <w:proofErr w:type="gramStart"/>
      <w:r w:rsidRPr="00926D53">
        <w:rPr>
          <w:rFonts w:ascii="Calibri" w:hAnsi="Calibri" w:cs="Calibri"/>
          <w:i/>
          <w:iCs/>
          <w:sz w:val="22"/>
          <w:szCs w:val="22"/>
        </w:rPr>
        <w:t>assassination;</w:t>
      </w:r>
      <w:proofErr w:type="gramEnd"/>
    </w:p>
    <w:p w14:paraId="086EA878" w14:textId="0D67D244" w:rsidR="00926D53" w:rsidRPr="00926D53" w:rsidRDefault="00926D53" w:rsidP="00926D53">
      <w:pPr>
        <w:numPr>
          <w:ilvl w:val="0"/>
          <w:numId w:val="2"/>
        </w:numPr>
        <w:tabs>
          <w:tab w:val="num" w:pos="720"/>
        </w:tabs>
        <w:spacing w:line="264" w:lineRule="auto"/>
        <w:jc w:val="both"/>
        <w:rPr>
          <w:rFonts w:ascii="Calibri" w:hAnsi="Calibri" w:cs="Calibri"/>
          <w:i/>
          <w:iCs/>
          <w:sz w:val="22"/>
          <w:szCs w:val="22"/>
        </w:rPr>
      </w:pPr>
      <w:r w:rsidRPr="00926D53">
        <w:rPr>
          <w:rFonts w:ascii="Calibri" w:hAnsi="Calibri" w:cs="Calibri"/>
          <w:i/>
          <w:iCs/>
          <w:sz w:val="22"/>
          <w:szCs w:val="22"/>
        </w:rPr>
        <w:t xml:space="preserve">Misuse of cooperation with other foreign states, international bodies and intergovernmental organizations, </w:t>
      </w:r>
      <w:proofErr w:type="gramStart"/>
      <w:r w:rsidRPr="00926D53">
        <w:rPr>
          <w:rFonts w:ascii="Calibri" w:hAnsi="Calibri" w:cs="Calibri"/>
          <w:i/>
          <w:iCs/>
          <w:sz w:val="22"/>
          <w:szCs w:val="22"/>
        </w:rPr>
        <w:t>in order to</w:t>
      </w:r>
      <w:proofErr w:type="gramEnd"/>
      <w:r w:rsidRPr="00926D53">
        <w:rPr>
          <w:rFonts w:ascii="Calibri" w:hAnsi="Calibri" w:cs="Calibri"/>
          <w:i/>
          <w:iCs/>
          <w:sz w:val="22"/>
          <w:szCs w:val="22"/>
        </w:rPr>
        <w:t xml:space="preserve"> detain, forcibly return, or repress targets, such as leveraging extraterritorial law application and counterterrorism and investigative </w:t>
      </w:r>
      <w:proofErr w:type="gramStart"/>
      <w:r w:rsidRPr="00926D53">
        <w:rPr>
          <w:rFonts w:ascii="Calibri" w:hAnsi="Calibri" w:cs="Calibri"/>
          <w:i/>
          <w:iCs/>
          <w:sz w:val="22"/>
          <w:szCs w:val="22"/>
        </w:rPr>
        <w:t>tools;</w:t>
      </w:r>
      <w:proofErr w:type="gramEnd"/>
    </w:p>
    <w:p w14:paraId="1841BA72" w14:textId="77777777" w:rsidR="00926D53" w:rsidRPr="00926D53" w:rsidRDefault="00926D53" w:rsidP="00926D53">
      <w:pPr>
        <w:numPr>
          <w:ilvl w:val="0"/>
          <w:numId w:val="2"/>
        </w:numPr>
        <w:tabs>
          <w:tab w:val="num" w:pos="720"/>
        </w:tabs>
        <w:spacing w:line="264" w:lineRule="auto"/>
        <w:jc w:val="both"/>
        <w:rPr>
          <w:rFonts w:ascii="Calibri" w:hAnsi="Calibri" w:cs="Calibri"/>
          <w:i/>
          <w:iCs/>
          <w:sz w:val="22"/>
          <w:szCs w:val="22"/>
        </w:rPr>
      </w:pPr>
      <w:r w:rsidRPr="00926D53">
        <w:rPr>
          <w:rFonts w:ascii="Calibri" w:hAnsi="Calibri" w:cs="Calibri"/>
          <w:i/>
          <w:iCs/>
          <w:sz w:val="22"/>
          <w:szCs w:val="22"/>
        </w:rPr>
        <w:t xml:space="preserve">Forced return by confiscating passports, invalidating documents, or denying consular </w:t>
      </w:r>
      <w:proofErr w:type="gramStart"/>
      <w:r w:rsidRPr="00926D53">
        <w:rPr>
          <w:rFonts w:ascii="Calibri" w:hAnsi="Calibri" w:cs="Calibri"/>
          <w:i/>
          <w:iCs/>
          <w:sz w:val="22"/>
          <w:szCs w:val="22"/>
        </w:rPr>
        <w:t>services;</w:t>
      </w:r>
      <w:proofErr w:type="gramEnd"/>
    </w:p>
    <w:p w14:paraId="76BBF813" w14:textId="77777777" w:rsidR="00926D53" w:rsidRPr="00926D53" w:rsidRDefault="00926D53" w:rsidP="00926D53">
      <w:pPr>
        <w:numPr>
          <w:ilvl w:val="0"/>
          <w:numId w:val="2"/>
        </w:numPr>
        <w:tabs>
          <w:tab w:val="num" w:pos="720"/>
        </w:tabs>
        <w:spacing w:line="264" w:lineRule="auto"/>
        <w:jc w:val="both"/>
        <w:rPr>
          <w:rFonts w:ascii="Calibri" w:hAnsi="Calibri" w:cs="Calibri"/>
          <w:i/>
          <w:iCs/>
          <w:sz w:val="22"/>
          <w:szCs w:val="22"/>
        </w:rPr>
      </w:pPr>
      <w:r w:rsidRPr="00926D53">
        <w:rPr>
          <w:rFonts w:ascii="Calibri" w:hAnsi="Calibri" w:cs="Calibri"/>
          <w:i/>
          <w:iCs/>
          <w:sz w:val="22"/>
          <w:szCs w:val="22"/>
        </w:rPr>
        <w:t>Direct or implicit threats against family members. </w:t>
      </w:r>
    </w:p>
    <w:p w14:paraId="2B27EAC7" w14:textId="1D869E91" w:rsidR="00AE07D9" w:rsidRDefault="00EA3A86" w:rsidP="00926D53">
      <w:pPr>
        <w:spacing w:line="264" w:lineRule="auto"/>
        <w:jc w:val="both"/>
        <w:rPr>
          <w:rFonts w:ascii="Calibri" w:hAnsi="Calibri" w:cs="Calibri"/>
          <w:sz w:val="22"/>
          <w:szCs w:val="22"/>
        </w:rPr>
      </w:pPr>
      <w:r>
        <w:rPr>
          <w:rFonts w:ascii="Calibri" w:hAnsi="Calibri" w:cs="Calibri"/>
          <w:sz w:val="22"/>
          <w:szCs w:val="22"/>
        </w:rPr>
        <w:t>10</w:t>
      </w:r>
      <w:r w:rsidR="00926D53">
        <w:rPr>
          <w:rFonts w:ascii="Calibri" w:hAnsi="Calibri" w:cs="Calibri"/>
          <w:sz w:val="22"/>
          <w:szCs w:val="22"/>
        </w:rPr>
        <w:t>. While far from a lone actor, China is frequently described as the most prolific perpetrator of TNR</w:t>
      </w:r>
      <w:r w:rsidR="00840AC2">
        <w:rPr>
          <w:rFonts w:ascii="Calibri" w:hAnsi="Calibri" w:cs="Calibri"/>
          <w:sz w:val="22"/>
          <w:szCs w:val="22"/>
        </w:rPr>
        <w:t xml:space="preserve">. </w:t>
      </w:r>
      <w:r w:rsidR="00840AC2" w:rsidRPr="00840AC2">
        <w:rPr>
          <w:rFonts w:ascii="Calibri" w:hAnsi="Calibri" w:cs="Calibri"/>
          <w:sz w:val="22"/>
          <w:szCs w:val="22"/>
        </w:rPr>
        <w:t xml:space="preserve">According to Freedom House, China’s government is responsible for </w:t>
      </w:r>
      <w:r w:rsidR="00840AC2" w:rsidRPr="00840AC2">
        <w:rPr>
          <w:rFonts w:ascii="Calibri" w:hAnsi="Calibri" w:cs="Calibri"/>
          <w:i/>
          <w:iCs/>
          <w:sz w:val="22"/>
          <w:szCs w:val="22"/>
        </w:rPr>
        <w:t>“the most sophisticated, global, and comprehensive campaign of transnational repression in the world”</w:t>
      </w:r>
      <w:r w:rsidR="00840AC2">
        <w:rPr>
          <w:rFonts w:ascii="Calibri" w:hAnsi="Calibri" w:cs="Calibri"/>
          <w:sz w:val="22"/>
          <w:szCs w:val="22"/>
        </w:rPr>
        <w:t>.</w:t>
      </w:r>
      <w:r w:rsidR="00840AC2">
        <w:rPr>
          <w:rStyle w:val="FootnoteReference"/>
          <w:rFonts w:ascii="Calibri" w:hAnsi="Calibri" w:cs="Calibri"/>
          <w:sz w:val="22"/>
          <w:szCs w:val="22"/>
        </w:rPr>
        <w:footnoteReference w:id="7"/>
      </w:r>
      <w:r w:rsidR="00840AC2">
        <w:rPr>
          <w:rFonts w:ascii="Calibri" w:hAnsi="Calibri" w:cs="Calibri"/>
          <w:sz w:val="22"/>
          <w:szCs w:val="22"/>
        </w:rPr>
        <w:t xml:space="preserve"> This includes the adoption and implementation of</w:t>
      </w:r>
      <w:r w:rsidR="00926D53">
        <w:rPr>
          <w:rFonts w:ascii="Calibri" w:hAnsi="Calibri" w:cs="Calibri"/>
          <w:sz w:val="22"/>
          <w:szCs w:val="22"/>
        </w:rPr>
        <w:t xml:space="preserve"> official policies and guidelines formalizing the above listed methods as State practice. </w:t>
      </w:r>
    </w:p>
    <w:p w14:paraId="6D7CD54D" w14:textId="47C89A84" w:rsidR="00926D53" w:rsidRPr="00926D53" w:rsidRDefault="00840AC2" w:rsidP="00926D53">
      <w:pPr>
        <w:pStyle w:val="Heading3"/>
      </w:pPr>
      <w:bookmarkStart w:id="4" w:name="_Toc220768387"/>
      <w:r>
        <w:lastRenderedPageBreak/>
        <w:t xml:space="preserve">2. </w:t>
      </w:r>
      <w:r w:rsidR="00926D53">
        <w:t>Official Policies</w:t>
      </w:r>
      <w:bookmarkEnd w:id="4"/>
    </w:p>
    <w:p w14:paraId="1BB0AA1B" w14:textId="6DB6E099" w:rsidR="00926D53" w:rsidRDefault="00EA3A86" w:rsidP="00926D53">
      <w:pPr>
        <w:spacing w:line="264" w:lineRule="auto"/>
        <w:jc w:val="both"/>
        <w:rPr>
          <w:rFonts w:ascii="Calibri" w:hAnsi="Calibri" w:cs="Calibri"/>
          <w:sz w:val="22"/>
          <w:szCs w:val="22"/>
        </w:rPr>
      </w:pPr>
      <w:r>
        <w:rPr>
          <w:rFonts w:ascii="Calibri" w:hAnsi="Calibri" w:cs="Calibri"/>
          <w:sz w:val="22"/>
          <w:szCs w:val="22"/>
        </w:rPr>
        <w:t>11</w:t>
      </w:r>
      <w:r w:rsidR="00926D53">
        <w:rPr>
          <w:rFonts w:ascii="Calibri" w:hAnsi="Calibri" w:cs="Calibri"/>
          <w:sz w:val="22"/>
          <w:szCs w:val="22"/>
        </w:rPr>
        <w:t xml:space="preserve">. </w:t>
      </w:r>
      <w:r>
        <w:rPr>
          <w:rFonts w:ascii="Calibri" w:hAnsi="Calibri" w:cs="Calibri"/>
          <w:sz w:val="22"/>
          <w:szCs w:val="22"/>
        </w:rPr>
        <w:t>In 2018, China adopted its national Supervision Law</w:t>
      </w:r>
      <w:r>
        <w:rPr>
          <w:rStyle w:val="FootnoteReference"/>
          <w:rFonts w:ascii="Calibri" w:hAnsi="Calibri" w:cs="Calibri"/>
          <w:sz w:val="22"/>
          <w:szCs w:val="22"/>
        </w:rPr>
        <w:footnoteReference w:id="8"/>
      </w:r>
      <w:r>
        <w:rPr>
          <w:rFonts w:ascii="Calibri" w:hAnsi="Calibri" w:cs="Calibri"/>
          <w:sz w:val="22"/>
          <w:szCs w:val="22"/>
        </w:rPr>
        <w:t xml:space="preserve">, in which Chapter VI focuses on </w:t>
      </w:r>
      <w:r w:rsidRPr="00EA3A86">
        <w:rPr>
          <w:rFonts w:ascii="Calibri" w:hAnsi="Calibri" w:cs="Calibri"/>
          <w:i/>
          <w:iCs/>
          <w:sz w:val="22"/>
          <w:szCs w:val="22"/>
        </w:rPr>
        <w:t>International Cooperation Against Corruption</w:t>
      </w:r>
      <w:r>
        <w:rPr>
          <w:rFonts w:ascii="Calibri" w:hAnsi="Calibri" w:cs="Calibri"/>
          <w:sz w:val="22"/>
          <w:szCs w:val="22"/>
        </w:rPr>
        <w:t xml:space="preserve">. </w:t>
      </w:r>
    </w:p>
    <w:p w14:paraId="47577ABA" w14:textId="6B091765" w:rsidR="00EA3A86" w:rsidRDefault="00EA3A86" w:rsidP="00EA3A86">
      <w:pPr>
        <w:spacing w:line="264" w:lineRule="auto"/>
        <w:jc w:val="both"/>
        <w:rPr>
          <w:rFonts w:ascii="Calibri" w:hAnsi="Calibri" w:cs="Calibri"/>
          <w:sz w:val="22"/>
          <w:szCs w:val="22"/>
        </w:rPr>
      </w:pPr>
      <w:r>
        <w:rPr>
          <w:rFonts w:ascii="Calibri" w:hAnsi="Calibri" w:cs="Calibri"/>
          <w:sz w:val="22"/>
          <w:szCs w:val="22"/>
        </w:rPr>
        <w:t xml:space="preserve">12. In July 2018, the Central Commission for Discipline Inspection and National Commission of Supervision [a single entity operating under two distinct names] publish a </w:t>
      </w:r>
      <w:r w:rsidRPr="00EA3A86">
        <w:rPr>
          <w:rFonts w:ascii="Calibri" w:hAnsi="Calibri" w:cs="Calibri"/>
          <w:sz w:val="22"/>
          <w:szCs w:val="22"/>
        </w:rPr>
        <w:t xml:space="preserve">Written Legal Interpretation to </w:t>
      </w:r>
      <w:r>
        <w:rPr>
          <w:rFonts w:ascii="Calibri" w:hAnsi="Calibri" w:cs="Calibri"/>
          <w:sz w:val="22"/>
          <w:szCs w:val="22"/>
        </w:rPr>
        <w:t xml:space="preserve">its </w:t>
      </w:r>
      <w:r w:rsidRPr="00EA3A86">
        <w:rPr>
          <w:rFonts w:ascii="Calibri" w:hAnsi="Calibri" w:cs="Calibri"/>
          <w:sz w:val="22"/>
          <w:szCs w:val="22"/>
        </w:rPr>
        <w:t>article 52</w:t>
      </w:r>
      <w:r>
        <w:rPr>
          <w:rFonts w:ascii="Calibri" w:hAnsi="Calibri" w:cs="Calibri"/>
          <w:sz w:val="22"/>
          <w:szCs w:val="22"/>
        </w:rPr>
        <w:t xml:space="preserve">: </w:t>
      </w:r>
      <w:r w:rsidRPr="00EA3A86">
        <w:rPr>
          <w:rFonts w:ascii="Calibri" w:hAnsi="Calibri" w:cs="Calibri"/>
          <w:i/>
          <w:iCs/>
          <w:sz w:val="22"/>
          <w:szCs w:val="22"/>
        </w:rPr>
        <w:t>“The National Commission of Supervision shall strengthen the organization and coordination of anti-corruption efforts, such as international pursuits of fugitives, recovery of proceeds of crime, and escape prevention, and urge relevant work entities to properly complete relevant work</w:t>
      </w:r>
      <w:r>
        <w:rPr>
          <w:rFonts w:ascii="Calibri" w:hAnsi="Calibri" w:cs="Calibri"/>
          <w:i/>
          <w:iCs/>
          <w:sz w:val="22"/>
          <w:szCs w:val="22"/>
        </w:rPr>
        <w:t>.</w:t>
      </w:r>
      <w:r w:rsidRPr="00EA3A86">
        <w:rPr>
          <w:rFonts w:ascii="Calibri" w:hAnsi="Calibri" w:cs="Calibri"/>
          <w:i/>
          <w:iCs/>
          <w:sz w:val="22"/>
          <w:szCs w:val="22"/>
        </w:rPr>
        <w:t>”</w:t>
      </w:r>
    </w:p>
    <w:p w14:paraId="33B4501A" w14:textId="73083D5D" w:rsidR="00EA3A86" w:rsidRPr="00EA3A86" w:rsidRDefault="00EA3A86" w:rsidP="00EA3A86">
      <w:pPr>
        <w:spacing w:line="264" w:lineRule="auto"/>
        <w:jc w:val="both"/>
        <w:rPr>
          <w:rFonts w:ascii="Calibri" w:hAnsi="Calibri" w:cs="Calibri"/>
          <w:sz w:val="22"/>
          <w:szCs w:val="22"/>
        </w:rPr>
      </w:pPr>
      <w:r>
        <w:rPr>
          <w:rFonts w:ascii="Calibri" w:hAnsi="Calibri" w:cs="Calibri"/>
          <w:sz w:val="22"/>
          <w:szCs w:val="22"/>
        </w:rPr>
        <w:t>13. The Written Legal Interpretation formalizes standing practices employed by Chinese authorities to force individuals back to China for persecution</w:t>
      </w:r>
      <w:r w:rsidR="00840AC2">
        <w:rPr>
          <w:rFonts w:ascii="Calibri" w:hAnsi="Calibri" w:cs="Calibri"/>
          <w:sz w:val="22"/>
          <w:szCs w:val="22"/>
        </w:rPr>
        <w:t xml:space="preserve"> (emphasis added)</w:t>
      </w:r>
      <w:r>
        <w:rPr>
          <w:rFonts w:ascii="Calibri" w:hAnsi="Calibri" w:cs="Calibri"/>
          <w:sz w:val="22"/>
          <w:szCs w:val="22"/>
        </w:rPr>
        <w:t>: “</w:t>
      </w:r>
      <w:r w:rsidRPr="00EA3A86">
        <w:rPr>
          <w:rFonts w:ascii="Calibri" w:eastAsia="Times New Roman" w:hAnsi="Calibri" w:cs="Calibri"/>
          <w:i/>
          <w:iCs/>
          <w:color w:val="000000"/>
          <w:kern w:val="0"/>
          <w:sz w:val="22"/>
          <w:szCs w:val="22"/>
          <w14:ligatures w14:val="none"/>
        </w:rPr>
        <w:t>In terms of conducting [anti-corruption] international fugitive repatriation, extradition is a</w:t>
      </w:r>
      <w:r>
        <w:rPr>
          <w:rFonts w:ascii="Calibri" w:hAnsi="Calibri" w:cs="Calibri"/>
          <w:sz w:val="22"/>
          <w:szCs w:val="22"/>
        </w:rPr>
        <w:t xml:space="preserve"> </w:t>
      </w:r>
      <w:r w:rsidRPr="00EA3A86">
        <w:rPr>
          <w:rFonts w:ascii="Calibri" w:eastAsia="Times New Roman" w:hAnsi="Calibri" w:cs="Calibri"/>
          <w:i/>
          <w:iCs/>
          <w:color w:val="000000"/>
          <w:kern w:val="0"/>
          <w:sz w:val="22"/>
          <w:szCs w:val="22"/>
          <w14:ligatures w14:val="none"/>
        </w:rPr>
        <w:t>formal channel and ideal way to acquire international criminal judicial assistance to carry</w:t>
      </w:r>
      <w:r>
        <w:rPr>
          <w:rFonts w:ascii="Calibri" w:hAnsi="Calibri" w:cs="Calibri"/>
          <w:sz w:val="22"/>
          <w:szCs w:val="22"/>
        </w:rPr>
        <w:t xml:space="preserve"> </w:t>
      </w:r>
      <w:r w:rsidRPr="00EA3A86">
        <w:rPr>
          <w:rFonts w:ascii="Calibri" w:eastAsia="Times New Roman" w:hAnsi="Calibri" w:cs="Calibri"/>
          <w:i/>
          <w:iCs/>
          <w:color w:val="000000"/>
          <w:kern w:val="0"/>
          <w:sz w:val="22"/>
          <w:szCs w:val="22"/>
          <w14:ligatures w14:val="none"/>
        </w:rPr>
        <w:t>out overseas fugitive repatriation. Repatriation, persuading to return, and remote prosecution are</w:t>
      </w:r>
      <w:r>
        <w:rPr>
          <w:rFonts w:ascii="Calibri" w:hAnsi="Calibri" w:cs="Calibri"/>
          <w:sz w:val="22"/>
          <w:szCs w:val="22"/>
        </w:rPr>
        <w:t xml:space="preserve"> </w:t>
      </w:r>
      <w:r w:rsidRPr="00EA3A86">
        <w:rPr>
          <w:rFonts w:ascii="Calibri" w:eastAsia="Times New Roman" w:hAnsi="Calibri" w:cs="Calibri"/>
          <w:i/>
          <w:iCs/>
          <w:color w:val="000000"/>
          <w:kern w:val="0"/>
          <w:sz w:val="22"/>
          <w:szCs w:val="22"/>
          <w14:ligatures w14:val="none"/>
        </w:rPr>
        <w:t>alternatives to extradition.</w:t>
      </w:r>
    </w:p>
    <w:p w14:paraId="62ED771B" w14:textId="77777777" w:rsidR="00EA3A86" w:rsidRDefault="00EA3A86" w:rsidP="00EA3A86">
      <w:pPr>
        <w:pStyle w:val="ListParagraph"/>
        <w:numPr>
          <w:ilvl w:val="0"/>
          <w:numId w:val="4"/>
        </w:numPr>
        <w:spacing w:after="0" w:line="240" w:lineRule="auto"/>
        <w:jc w:val="both"/>
        <w:rPr>
          <w:rFonts w:ascii="Calibri" w:eastAsia="Times New Roman" w:hAnsi="Calibri" w:cs="Calibri"/>
          <w:i/>
          <w:iCs/>
          <w:color w:val="000000"/>
          <w:kern w:val="0"/>
          <w:sz w:val="22"/>
          <w:szCs w:val="22"/>
          <w14:ligatures w14:val="none"/>
        </w:rPr>
      </w:pPr>
      <w:r w:rsidRPr="00EA3A86">
        <w:rPr>
          <w:rFonts w:ascii="Calibri" w:eastAsia="Times New Roman" w:hAnsi="Calibri" w:cs="Calibri"/>
          <w:i/>
          <w:iCs/>
          <w:color w:val="000000"/>
          <w:kern w:val="0"/>
          <w:sz w:val="22"/>
          <w:szCs w:val="22"/>
          <w14:ligatures w14:val="none"/>
        </w:rPr>
        <w:t xml:space="preserve">Firstly, </w:t>
      </w:r>
      <w:r w:rsidRPr="00EA3A86">
        <w:rPr>
          <w:rFonts w:ascii="Calibri" w:eastAsia="Times New Roman" w:hAnsi="Calibri" w:cs="Calibri"/>
          <w:b/>
          <w:bCs/>
          <w:i/>
          <w:iCs/>
          <w:color w:val="000000"/>
          <w:kern w:val="0"/>
          <w:sz w:val="22"/>
          <w:szCs w:val="22"/>
          <w14:ligatures w14:val="none"/>
        </w:rPr>
        <w:t>extradition</w:t>
      </w:r>
      <w:r w:rsidRPr="00EA3A86">
        <w:rPr>
          <w:rFonts w:ascii="Calibri" w:eastAsia="Times New Roman" w:hAnsi="Calibri" w:cs="Calibri"/>
          <w:i/>
          <w:iCs/>
          <w:color w:val="000000"/>
          <w:kern w:val="0"/>
          <w:sz w:val="22"/>
          <w:szCs w:val="22"/>
          <w14:ligatures w14:val="none"/>
        </w:rPr>
        <w:t xml:space="preserve"> means, based on bilateral or multilateral treaties or reciprocity, requesting</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the country where the fleeing overseas suspects are located, and transferring the suspected</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criminals back for prosecution and punishment. Extradition has strict criteria. The current main</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principles include the principle of non-extradition of political prisoners, the principle of non-</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extradition of death row prisoners, the principle of non-extradition of national citizens, and the</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principle of double criminality.</w:t>
      </w:r>
    </w:p>
    <w:p w14:paraId="792FA515" w14:textId="77777777" w:rsidR="00EA3A86" w:rsidRDefault="00EA3A86" w:rsidP="00EA3A86">
      <w:pPr>
        <w:pStyle w:val="ListParagraph"/>
        <w:numPr>
          <w:ilvl w:val="0"/>
          <w:numId w:val="4"/>
        </w:numPr>
        <w:spacing w:after="0" w:line="240" w:lineRule="auto"/>
        <w:jc w:val="both"/>
        <w:rPr>
          <w:rFonts w:ascii="Calibri" w:eastAsia="Times New Roman" w:hAnsi="Calibri" w:cs="Calibri"/>
          <w:i/>
          <w:iCs/>
          <w:color w:val="000000"/>
          <w:kern w:val="0"/>
          <w:sz w:val="22"/>
          <w:szCs w:val="22"/>
          <w14:ligatures w14:val="none"/>
        </w:rPr>
      </w:pPr>
      <w:r w:rsidRPr="00EA3A86">
        <w:rPr>
          <w:rFonts w:ascii="Calibri" w:eastAsia="Times New Roman" w:hAnsi="Calibri" w:cs="Calibri"/>
          <w:i/>
          <w:iCs/>
          <w:color w:val="000000"/>
          <w:kern w:val="0"/>
          <w:sz w:val="22"/>
          <w:szCs w:val="22"/>
          <w14:ligatures w14:val="none"/>
        </w:rPr>
        <w:t xml:space="preserve">The second category is repatriation, also known as </w:t>
      </w:r>
      <w:r w:rsidRPr="00EA3A86">
        <w:rPr>
          <w:rFonts w:ascii="Calibri" w:eastAsia="Times New Roman" w:hAnsi="Calibri" w:cs="Calibri"/>
          <w:b/>
          <w:bCs/>
          <w:i/>
          <w:iCs/>
          <w:color w:val="000000"/>
          <w:kern w:val="0"/>
          <w:sz w:val="22"/>
          <w:szCs w:val="22"/>
          <w14:ligatures w14:val="none"/>
        </w:rPr>
        <w:t>repatriation under immigration laws</w:t>
      </w:r>
      <w:r w:rsidRPr="00EA3A86">
        <w:rPr>
          <w:rFonts w:ascii="Calibri" w:eastAsia="Times New Roman" w:hAnsi="Calibri" w:cs="Calibri"/>
          <w:i/>
          <w:iCs/>
          <w:color w:val="000000"/>
          <w:kern w:val="0"/>
          <w:sz w:val="22"/>
          <w:szCs w:val="22"/>
          <w14:ligatures w14:val="none"/>
        </w:rPr>
        <w:t>,</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which means that our country provides clues about fugitives’ illegal and criminal activities</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and forging passports or other false identities to the countries where they are located so that these</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countries would deprive them of their residency status and compulsorily repatriate them to our</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country or the third country in accordance with immigration laws.</w:t>
      </w:r>
    </w:p>
    <w:p w14:paraId="1F773BC4" w14:textId="77777777" w:rsidR="00EA3A86" w:rsidRDefault="00EA3A86" w:rsidP="00EA3A86">
      <w:pPr>
        <w:pStyle w:val="ListParagraph"/>
        <w:numPr>
          <w:ilvl w:val="0"/>
          <w:numId w:val="4"/>
        </w:numPr>
        <w:spacing w:after="0" w:line="240" w:lineRule="auto"/>
        <w:jc w:val="both"/>
        <w:rPr>
          <w:rFonts w:ascii="Calibri" w:eastAsia="Times New Roman" w:hAnsi="Calibri" w:cs="Calibri"/>
          <w:i/>
          <w:iCs/>
          <w:color w:val="000000"/>
          <w:kern w:val="0"/>
          <w:sz w:val="22"/>
          <w:szCs w:val="22"/>
          <w14:ligatures w14:val="none"/>
        </w:rPr>
      </w:pPr>
      <w:r w:rsidRPr="00EA3A86">
        <w:rPr>
          <w:rFonts w:ascii="Calibri" w:eastAsia="Times New Roman" w:hAnsi="Calibri" w:cs="Calibri"/>
          <w:i/>
          <w:iCs/>
          <w:color w:val="000000"/>
          <w:kern w:val="0"/>
          <w:sz w:val="22"/>
          <w:szCs w:val="22"/>
          <w14:ligatures w14:val="none"/>
        </w:rPr>
        <w:t xml:space="preserve">The third category is </w:t>
      </w:r>
      <w:r w:rsidRPr="00EA3A86">
        <w:rPr>
          <w:rFonts w:ascii="Calibri" w:eastAsia="Times New Roman" w:hAnsi="Calibri" w:cs="Calibri"/>
          <w:b/>
          <w:bCs/>
          <w:i/>
          <w:iCs/>
          <w:color w:val="000000"/>
          <w:kern w:val="0"/>
          <w:sz w:val="22"/>
          <w:szCs w:val="22"/>
          <w14:ligatures w14:val="none"/>
        </w:rPr>
        <w:t>remote prosecution</w:t>
      </w:r>
      <w:r w:rsidRPr="00EA3A86">
        <w:rPr>
          <w:rFonts w:ascii="Calibri" w:eastAsia="Times New Roman" w:hAnsi="Calibri" w:cs="Calibri"/>
          <w:i/>
          <w:iCs/>
          <w:color w:val="000000"/>
          <w:kern w:val="0"/>
          <w:sz w:val="22"/>
          <w:szCs w:val="22"/>
          <w14:ligatures w14:val="none"/>
        </w:rPr>
        <w:t>, which means, under the condition that our country</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cannot exercise its jurisdiction, and through transferring jurisdiction to the countries where</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our country’s fugitives are located, to support these countries to convict and sentence them based</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on local laws and evidence provided by us. After being convicted and sentenced, fugitives would</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usually be compulsorily repatriated and then deported back to our country and brought to book.</w:t>
      </w:r>
    </w:p>
    <w:p w14:paraId="167C7E0E" w14:textId="77777777" w:rsidR="00EA3A86" w:rsidRDefault="00EA3A86" w:rsidP="00EA3A86">
      <w:pPr>
        <w:pStyle w:val="ListParagraph"/>
        <w:numPr>
          <w:ilvl w:val="0"/>
          <w:numId w:val="4"/>
        </w:numPr>
        <w:spacing w:after="0" w:line="240" w:lineRule="auto"/>
        <w:jc w:val="both"/>
        <w:rPr>
          <w:rFonts w:ascii="Calibri" w:eastAsia="Times New Roman" w:hAnsi="Calibri" w:cs="Calibri"/>
          <w:i/>
          <w:iCs/>
          <w:color w:val="000000"/>
          <w:kern w:val="0"/>
          <w:sz w:val="22"/>
          <w:szCs w:val="22"/>
          <w14:ligatures w14:val="none"/>
        </w:rPr>
      </w:pPr>
      <w:r w:rsidRPr="00EA3A86">
        <w:rPr>
          <w:rFonts w:ascii="Calibri" w:eastAsia="Times New Roman" w:hAnsi="Calibri" w:cs="Calibri"/>
          <w:i/>
          <w:iCs/>
          <w:color w:val="000000"/>
          <w:kern w:val="0"/>
          <w:sz w:val="22"/>
          <w:szCs w:val="22"/>
          <w14:ligatures w14:val="none"/>
        </w:rPr>
        <w:t xml:space="preserve">The fourth category is </w:t>
      </w:r>
      <w:r w:rsidRPr="00EA3A86">
        <w:rPr>
          <w:rFonts w:ascii="Calibri" w:eastAsia="Times New Roman" w:hAnsi="Calibri" w:cs="Calibri"/>
          <w:b/>
          <w:bCs/>
          <w:i/>
          <w:iCs/>
          <w:color w:val="000000"/>
          <w:kern w:val="0"/>
          <w:sz w:val="22"/>
          <w:szCs w:val="22"/>
          <w14:ligatures w14:val="none"/>
        </w:rPr>
        <w:t>persuading to return</w:t>
      </w:r>
      <w:r w:rsidRPr="00EA3A86">
        <w:rPr>
          <w:rFonts w:ascii="Calibri" w:eastAsia="Times New Roman" w:hAnsi="Calibri" w:cs="Calibri"/>
          <w:i/>
          <w:iCs/>
          <w:color w:val="000000"/>
          <w:kern w:val="0"/>
          <w:sz w:val="22"/>
          <w:szCs w:val="22"/>
          <w14:ligatures w14:val="none"/>
        </w:rPr>
        <w:t>, which means persuading and educating fugitives</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so that they would return voluntarily to face prosecution, trials, or penalties. Persuading to</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return is ideological and political work. Its primary method is to persuade and educate criminal</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suspects, including convincing them with reasons, touching them with emotion, making them</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know the law, and giving them the prerequisites for lighter punishments to change their minds.</w:t>
      </w:r>
    </w:p>
    <w:p w14:paraId="4CBFB68D" w14:textId="7BB62817" w:rsidR="00EA3A86" w:rsidRPr="002B644B" w:rsidRDefault="00EA3A86" w:rsidP="002B644B">
      <w:pPr>
        <w:pStyle w:val="ListParagraph"/>
        <w:numPr>
          <w:ilvl w:val="0"/>
          <w:numId w:val="4"/>
        </w:numPr>
        <w:spacing w:after="0" w:line="240" w:lineRule="auto"/>
        <w:jc w:val="both"/>
        <w:rPr>
          <w:rFonts w:ascii="Calibri" w:eastAsia="Times New Roman" w:hAnsi="Calibri" w:cs="Calibri"/>
          <w:i/>
          <w:iCs/>
          <w:color w:val="000000"/>
          <w:kern w:val="0"/>
          <w:sz w:val="22"/>
          <w:szCs w:val="22"/>
          <w14:ligatures w14:val="none"/>
        </w:rPr>
      </w:pPr>
      <w:r w:rsidRPr="00EA3A86">
        <w:rPr>
          <w:rFonts w:ascii="Calibri" w:eastAsia="Times New Roman" w:hAnsi="Calibri" w:cs="Calibri"/>
          <w:i/>
          <w:iCs/>
          <w:color w:val="000000"/>
          <w:kern w:val="0"/>
          <w:sz w:val="22"/>
          <w:szCs w:val="22"/>
          <w14:ligatures w14:val="none"/>
        </w:rPr>
        <w:t xml:space="preserve">The fifth category is </w:t>
      </w:r>
      <w:r w:rsidRPr="00EA3A86">
        <w:rPr>
          <w:rFonts w:ascii="Calibri" w:eastAsia="Times New Roman" w:hAnsi="Calibri" w:cs="Calibri"/>
          <w:b/>
          <w:bCs/>
          <w:i/>
          <w:iCs/>
          <w:color w:val="000000"/>
          <w:kern w:val="0"/>
          <w:sz w:val="22"/>
          <w:szCs w:val="22"/>
          <w14:ligatures w14:val="none"/>
        </w:rPr>
        <w:t>irregular measures</w:t>
      </w:r>
      <w:r w:rsidRPr="00EA3A86">
        <w:rPr>
          <w:rFonts w:ascii="Calibri" w:eastAsia="Times New Roman" w:hAnsi="Calibri" w:cs="Calibri"/>
          <w:i/>
          <w:iCs/>
          <w:color w:val="000000"/>
          <w:kern w:val="0"/>
          <w:sz w:val="22"/>
          <w:szCs w:val="22"/>
          <w14:ligatures w14:val="none"/>
        </w:rPr>
        <w:t xml:space="preserve">. There are two common ways: (1) </w:t>
      </w:r>
      <w:r w:rsidRPr="00EA3A86">
        <w:rPr>
          <w:rFonts w:ascii="Calibri" w:eastAsia="Times New Roman" w:hAnsi="Calibri" w:cs="Calibri"/>
          <w:b/>
          <w:bCs/>
          <w:i/>
          <w:iCs/>
          <w:color w:val="000000"/>
          <w:kern w:val="0"/>
          <w:sz w:val="22"/>
          <w:szCs w:val="22"/>
          <w14:ligatures w14:val="none"/>
        </w:rPr>
        <w:t>kidnapping</w:t>
      </w:r>
      <w:r w:rsidRPr="00EA3A86">
        <w:rPr>
          <w:rFonts w:ascii="Calibri" w:eastAsia="Times New Roman" w:hAnsi="Calibri" w:cs="Calibri"/>
          <w:i/>
          <w:iCs/>
          <w:color w:val="000000"/>
          <w:kern w:val="0"/>
          <w:sz w:val="22"/>
          <w:szCs w:val="22"/>
          <w14:ligatures w14:val="none"/>
        </w:rPr>
        <w:t>, which</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means using methods of kidnapping to arrest fugitives and return them to the country;</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 xml:space="preserve">(2) </w:t>
      </w:r>
      <w:r w:rsidRPr="00EA3A86">
        <w:rPr>
          <w:rFonts w:ascii="Calibri" w:eastAsia="Times New Roman" w:hAnsi="Calibri" w:cs="Calibri"/>
          <w:b/>
          <w:bCs/>
          <w:i/>
          <w:iCs/>
          <w:color w:val="000000"/>
          <w:kern w:val="0"/>
          <w:sz w:val="22"/>
          <w:szCs w:val="22"/>
          <w14:ligatures w14:val="none"/>
        </w:rPr>
        <w:t>trapping and capturing</w:t>
      </w:r>
      <w:r w:rsidRPr="00EA3A86">
        <w:rPr>
          <w:rFonts w:ascii="Calibri" w:eastAsia="Times New Roman" w:hAnsi="Calibri" w:cs="Calibri"/>
          <w:i/>
          <w:iCs/>
          <w:color w:val="000000"/>
          <w:kern w:val="0"/>
          <w:sz w:val="22"/>
          <w:szCs w:val="22"/>
          <w14:ligatures w14:val="none"/>
        </w:rPr>
        <w:t>, which means luring criminal suspects to the territories of the destination</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country, the high seas, international airspace, or a third country which has an extradition treaty with</w:t>
      </w:r>
      <w:r>
        <w:rPr>
          <w:rFonts w:ascii="Calibri" w:eastAsia="Times New Roman" w:hAnsi="Calibri" w:cs="Calibri"/>
          <w:i/>
          <w:iCs/>
          <w:color w:val="000000"/>
          <w:kern w:val="0"/>
          <w:sz w:val="22"/>
          <w:szCs w:val="22"/>
          <w14:ligatures w14:val="none"/>
        </w:rPr>
        <w:t xml:space="preserve"> </w:t>
      </w:r>
      <w:r w:rsidRPr="00EA3A86">
        <w:rPr>
          <w:rFonts w:ascii="Calibri" w:eastAsia="Times New Roman" w:hAnsi="Calibri" w:cs="Calibri"/>
          <w:i/>
          <w:iCs/>
          <w:color w:val="000000"/>
          <w:kern w:val="0"/>
          <w:sz w:val="22"/>
          <w:szCs w:val="22"/>
          <w14:ligatures w14:val="none"/>
        </w:rPr>
        <w:t>the destination country, and then to arrest or extradite them.</w:t>
      </w:r>
      <w:r>
        <w:rPr>
          <w:rFonts w:ascii="Calibri" w:eastAsia="Times New Roman" w:hAnsi="Calibri" w:cs="Calibri"/>
          <w:i/>
          <w:iCs/>
          <w:color w:val="000000"/>
          <w:kern w:val="0"/>
          <w:sz w:val="22"/>
          <w:szCs w:val="22"/>
          <w14:ligatures w14:val="none"/>
        </w:rPr>
        <w:t>”</w:t>
      </w:r>
      <w:r w:rsidRPr="00EA3A86">
        <w:rPr>
          <w:rStyle w:val="FootnoteReference"/>
          <w:rFonts w:ascii="Calibri" w:hAnsi="Calibri" w:cs="Calibri"/>
          <w:sz w:val="22"/>
          <w:szCs w:val="22"/>
        </w:rPr>
        <w:t xml:space="preserve"> </w:t>
      </w:r>
      <w:r>
        <w:rPr>
          <w:rStyle w:val="FootnoteReference"/>
          <w:rFonts w:ascii="Calibri" w:hAnsi="Calibri" w:cs="Calibri"/>
          <w:sz w:val="22"/>
          <w:szCs w:val="22"/>
        </w:rPr>
        <w:footnoteReference w:id="9"/>
      </w:r>
    </w:p>
    <w:p w14:paraId="045879AB" w14:textId="5CC75ED8" w:rsidR="00840AC2" w:rsidRDefault="00EA3A86" w:rsidP="00840AC2">
      <w:pPr>
        <w:spacing w:line="264" w:lineRule="auto"/>
        <w:jc w:val="both"/>
        <w:rPr>
          <w:rFonts w:ascii="Calibri" w:hAnsi="Calibri" w:cs="Calibri"/>
          <w:sz w:val="22"/>
          <w:szCs w:val="22"/>
        </w:rPr>
      </w:pPr>
      <w:r>
        <w:rPr>
          <w:rFonts w:ascii="Calibri" w:hAnsi="Calibri" w:cs="Calibri"/>
          <w:sz w:val="22"/>
          <w:szCs w:val="22"/>
        </w:rPr>
        <w:lastRenderedPageBreak/>
        <w:t xml:space="preserve"> </w:t>
      </w:r>
      <w:r w:rsidR="00840AC2">
        <w:rPr>
          <w:rFonts w:ascii="Calibri" w:hAnsi="Calibri" w:cs="Calibri"/>
          <w:sz w:val="22"/>
          <w:szCs w:val="22"/>
        </w:rPr>
        <w:t xml:space="preserve">14. </w:t>
      </w:r>
      <w:r w:rsidR="00391981">
        <w:rPr>
          <w:rFonts w:ascii="Calibri" w:hAnsi="Calibri" w:cs="Calibri"/>
          <w:sz w:val="22"/>
          <w:szCs w:val="22"/>
        </w:rPr>
        <w:t xml:space="preserve">Due to the nature of the methodologies </w:t>
      </w:r>
      <w:r w:rsidR="00840AC2">
        <w:rPr>
          <w:rFonts w:ascii="Calibri" w:hAnsi="Calibri" w:cs="Calibri"/>
          <w:sz w:val="22"/>
          <w:szCs w:val="22"/>
        </w:rPr>
        <w:t xml:space="preserve">and because of the overall situation in China’s judicial and </w:t>
      </w:r>
      <w:r w:rsidR="00701B58">
        <w:rPr>
          <w:rFonts w:ascii="Calibri" w:hAnsi="Calibri" w:cs="Calibri"/>
          <w:sz w:val="22"/>
          <w:szCs w:val="22"/>
        </w:rPr>
        <w:t>prison/</w:t>
      </w:r>
      <w:r w:rsidR="00840AC2">
        <w:rPr>
          <w:rFonts w:ascii="Calibri" w:hAnsi="Calibri" w:cs="Calibri"/>
          <w:sz w:val="22"/>
          <w:szCs w:val="22"/>
        </w:rPr>
        <w:t>detention system, these official policies and their implementation pose a concrete and immediate risk to human rights protections under international law.</w:t>
      </w:r>
    </w:p>
    <w:p w14:paraId="71D50C55" w14:textId="1CC170DC" w:rsidR="00391981" w:rsidRDefault="00391981" w:rsidP="00840AC2">
      <w:pPr>
        <w:spacing w:line="264" w:lineRule="auto"/>
        <w:jc w:val="both"/>
        <w:rPr>
          <w:rFonts w:ascii="Calibri" w:hAnsi="Calibri" w:cs="Calibri"/>
          <w:sz w:val="22"/>
          <w:szCs w:val="22"/>
        </w:rPr>
      </w:pPr>
      <w:r>
        <w:rPr>
          <w:rFonts w:ascii="Calibri" w:hAnsi="Calibri" w:cs="Calibri"/>
          <w:sz w:val="22"/>
          <w:szCs w:val="22"/>
        </w:rPr>
        <w:t>15. W</w:t>
      </w:r>
      <w:r w:rsidR="00D5572F">
        <w:rPr>
          <w:rFonts w:ascii="Calibri" w:hAnsi="Calibri" w:cs="Calibri"/>
          <w:sz w:val="22"/>
          <w:szCs w:val="22"/>
        </w:rPr>
        <w:t xml:space="preserve">hereas the blatant illegality of the </w:t>
      </w:r>
      <w:r w:rsidR="00D5572F">
        <w:rPr>
          <w:rFonts w:ascii="Calibri" w:hAnsi="Calibri" w:cs="Calibri"/>
          <w:i/>
          <w:iCs/>
          <w:sz w:val="22"/>
          <w:szCs w:val="22"/>
        </w:rPr>
        <w:t xml:space="preserve">irregular measures </w:t>
      </w:r>
      <w:r w:rsidR="00D5572F">
        <w:rPr>
          <w:rFonts w:ascii="Calibri" w:hAnsi="Calibri" w:cs="Calibri"/>
          <w:sz w:val="22"/>
          <w:szCs w:val="22"/>
        </w:rPr>
        <w:t>is self-evident, w</w:t>
      </w:r>
      <w:r>
        <w:rPr>
          <w:rFonts w:ascii="Calibri" w:hAnsi="Calibri" w:cs="Calibri"/>
          <w:sz w:val="22"/>
          <w:szCs w:val="22"/>
        </w:rPr>
        <w:t xml:space="preserve">e will briefly outline main violations associated with </w:t>
      </w:r>
      <w:r w:rsidR="00FF6B43">
        <w:rPr>
          <w:rFonts w:ascii="Calibri" w:hAnsi="Calibri" w:cs="Calibri"/>
          <w:sz w:val="22"/>
          <w:szCs w:val="22"/>
        </w:rPr>
        <w:t>three</w:t>
      </w:r>
      <w:r>
        <w:rPr>
          <w:rFonts w:ascii="Calibri" w:hAnsi="Calibri" w:cs="Calibri"/>
          <w:sz w:val="22"/>
          <w:szCs w:val="22"/>
        </w:rPr>
        <w:t xml:space="preserve"> of the five methods in the next paragraphs </w:t>
      </w:r>
      <w:r w:rsidR="00E02991">
        <w:rPr>
          <w:rFonts w:ascii="Calibri" w:hAnsi="Calibri" w:cs="Calibri"/>
          <w:sz w:val="22"/>
          <w:szCs w:val="22"/>
        </w:rPr>
        <w:t xml:space="preserve">(more information can be found in the above-cited report </w:t>
      </w:r>
      <w:r w:rsidR="00E02991" w:rsidRPr="00E02991">
        <w:rPr>
          <w:rFonts w:ascii="Calibri" w:hAnsi="Calibri" w:cs="Calibri"/>
          <w:i/>
          <w:iCs/>
          <w:sz w:val="22"/>
          <w:szCs w:val="22"/>
        </w:rPr>
        <w:t>Chasing Fox Hunt</w:t>
      </w:r>
      <w:r w:rsidR="00E02991">
        <w:rPr>
          <w:rFonts w:ascii="Calibri" w:hAnsi="Calibri" w:cs="Calibri"/>
          <w:sz w:val="22"/>
          <w:szCs w:val="22"/>
        </w:rPr>
        <w:t xml:space="preserve">) </w:t>
      </w:r>
      <w:r w:rsidRPr="00BD3AAC">
        <w:rPr>
          <w:rFonts w:ascii="Calibri" w:hAnsi="Calibri" w:cs="Calibri"/>
          <w:sz w:val="22"/>
          <w:szCs w:val="22"/>
        </w:rPr>
        <w:t xml:space="preserve">and </w:t>
      </w:r>
      <w:r w:rsidR="00BD3AAC" w:rsidRPr="00BD3AAC">
        <w:rPr>
          <w:rFonts w:ascii="Calibri" w:hAnsi="Calibri" w:cs="Calibri"/>
          <w:sz w:val="22"/>
          <w:szCs w:val="22"/>
        </w:rPr>
        <w:t xml:space="preserve">highlight some of </w:t>
      </w:r>
      <w:r w:rsidRPr="00BD3AAC">
        <w:rPr>
          <w:rFonts w:ascii="Calibri" w:hAnsi="Calibri" w:cs="Calibri"/>
          <w:sz w:val="22"/>
          <w:szCs w:val="22"/>
        </w:rPr>
        <w:t>their links to official bi- and multi-lateral cooperation mechanisms.</w:t>
      </w:r>
      <w:r>
        <w:rPr>
          <w:rFonts w:ascii="Calibri" w:hAnsi="Calibri" w:cs="Calibri"/>
          <w:sz w:val="22"/>
          <w:szCs w:val="22"/>
        </w:rPr>
        <w:t xml:space="preserve"> </w:t>
      </w:r>
    </w:p>
    <w:p w14:paraId="1EDBECDA" w14:textId="369C4075" w:rsidR="00391981" w:rsidRDefault="00391981" w:rsidP="00840AC2">
      <w:pPr>
        <w:spacing w:line="264" w:lineRule="auto"/>
        <w:jc w:val="both"/>
        <w:rPr>
          <w:rFonts w:ascii="Calibri" w:hAnsi="Calibri" w:cs="Calibri"/>
          <w:sz w:val="22"/>
          <w:szCs w:val="22"/>
        </w:rPr>
      </w:pPr>
      <w:r>
        <w:rPr>
          <w:rFonts w:ascii="Calibri" w:hAnsi="Calibri" w:cs="Calibri"/>
          <w:sz w:val="22"/>
          <w:szCs w:val="22"/>
        </w:rPr>
        <w:t xml:space="preserve">16. Note that </w:t>
      </w:r>
      <w:r w:rsidR="00BD3AAC">
        <w:rPr>
          <w:rFonts w:ascii="Calibri" w:hAnsi="Calibri" w:cs="Calibri"/>
          <w:sz w:val="22"/>
          <w:szCs w:val="22"/>
        </w:rPr>
        <w:t>all five</w:t>
      </w:r>
      <w:r>
        <w:rPr>
          <w:rFonts w:ascii="Calibri" w:hAnsi="Calibri" w:cs="Calibri"/>
          <w:sz w:val="22"/>
          <w:szCs w:val="22"/>
        </w:rPr>
        <w:t xml:space="preserve"> methods are often used in combination (for example, using persuasion techniques through collective punishment of family members in China to dissuade an individual from exercising their full rights to a judicial defense from extradition) and that violations ramp up accordingly. </w:t>
      </w:r>
    </w:p>
    <w:p w14:paraId="33DC1217" w14:textId="7029E53E" w:rsidR="00391981" w:rsidRDefault="00391981" w:rsidP="00840AC2">
      <w:pPr>
        <w:spacing w:line="264" w:lineRule="auto"/>
        <w:jc w:val="both"/>
        <w:rPr>
          <w:rFonts w:ascii="Calibri" w:hAnsi="Calibri" w:cs="Calibri"/>
          <w:sz w:val="22"/>
          <w:szCs w:val="22"/>
        </w:rPr>
      </w:pPr>
      <w:r>
        <w:rPr>
          <w:rFonts w:ascii="Calibri" w:hAnsi="Calibri" w:cs="Calibri"/>
          <w:sz w:val="22"/>
          <w:szCs w:val="22"/>
        </w:rPr>
        <w:t>1</w:t>
      </w:r>
      <w:r w:rsidR="00701B58">
        <w:rPr>
          <w:rFonts w:ascii="Calibri" w:hAnsi="Calibri" w:cs="Calibri"/>
          <w:sz w:val="22"/>
          <w:szCs w:val="22"/>
        </w:rPr>
        <w:t>7</w:t>
      </w:r>
      <w:r>
        <w:rPr>
          <w:rFonts w:ascii="Calibri" w:hAnsi="Calibri" w:cs="Calibri"/>
          <w:sz w:val="22"/>
          <w:szCs w:val="22"/>
        </w:rPr>
        <w:t>. The ensuing chapter will provide additional information on China’s State-sanctioned policy of enforced disappearances in the context of (extra-)judicial investigations and prosecutions to which individuals forced to return to the country face heightened exposure.</w:t>
      </w:r>
    </w:p>
    <w:p w14:paraId="70674DFC" w14:textId="0C83DEA0" w:rsidR="00391981" w:rsidRDefault="00391981" w:rsidP="00391981">
      <w:pPr>
        <w:pStyle w:val="Heading4"/>
      </w:pPr>
      <w:bookmarkStart w:id="5" w:name="_Toc220768388"/>
      <w:r>
        <w:t>2.1. Extraditions</w:t>
      </w:r>
      <w:bookmarkEnd w:id="5"/>
      <w:r w:rsidR="00701B58">
        <w:t xml:space="preserve"> </w:t>
      </w:r>
    </w:p>
    <w:p w14:paraId="70AB4F05" w14:textId="77777727" w:rsidR="00701B58" w:rsidRDefault="00701B58" w:rsidP="00701B58">
      <w:pPr>
        <w:spacing w:line="264" w:lineRule="auto"/>
        <w:jc w:val="both"/>
        <w:rPr>
          <w:rFonts w:ascii="Calibri" w:hAnsi="Calibri" w:cs="Calibri"/>
          <w:sz w:val="22"/>
          <w:szCs w:val="22"/>
        </w:rPr>
      </w:pPr>
      <w:r>
        <w:rPr>
          <w:rFonts w:ascii="Calibri" w:hAnsi="Calibri" w:cs="Calibri"/>
          <w:sz w:val="22"/>
          <w:szCs w:val="22"/>
        </w:rPr>
        <w:t xml:space="preserve">18. The ius cogens principle of non-refoulement obliges </w:t>
      </w:r>
      <w:r w:rsidRPr="00840AC2">
        <w:rPr>
          <w:rFonts w:ascii="Calibri" w:hAnsi="Calibri" w:cs="Calibri"/>
          <w:sz w:val="22"/>
          <w:szCs w:val="22"/>
        </w:rPr>
        <w:t xml:space="preserve">States to protect individuals, under all circumstances, from any form of removal or transfer to a country where there are substantial grounds for believing the returnee would be at risk of irreparable harm upon return on account of torture, ill-treatment or other serious human rights violations. </w:t>
      </w:r>
    </w:p>
    <w:p w14:paraId="77037650" w14:textId="022CFD68" w:rsidR="00701B58" w:rsidRPr="00840AC2" w:rsidRDefault="00701B58" w:rsidP="00701B58">
      <w:pPr>
        <w:spacing w:line="264" w:lineRule="auto"/>
        <w:jc w:val="both"/>
        <w:rPr>
          <w:rFonts w:ascii="Calibri" w:hAnsi="Calibri" w:cs="Calibri"/>
          <w:sz w:val="22"/>
          <w:szCs w:val="22"/>
        </w:rPr>
      </w:pPr>
      <w:r>
        <w:rPr>
          <w:rFonts w:ascii="Calibri" w:hAnsi="Calibri" w:cs="Calibri"/>
          <w:sz w:val="22"/>
          <w:szCs w:val="22"/>
        </w:rPr>
        <w:t xml:space="preserve">19. The principle </w:t>
      </w:r>
      <w:r w:rsidRPr="00840AC2">
        <w:rPr>
          <w:rFonts w:ascii="Calibri" w:hAnsi="Calibri" w:cs="Calibri"/>
          <w:sz w:val="22"/>
          <w:szCs w:val="22"/>
        </w:rPr>
        <w:t>applies to all persons, irrespective of their citizenship, nationality or statelessness or the legal, administrative or judicial status of the person, and wherever a State exercises jurisdiction or effective control</w:t>
      </w:r>
      <w:r>
        <w:rPr>
          <w:rFonts w:ascii="Calibri" w:hAnsi="Calibri" w:cs="Calibri"/>
          <w:sz w:val="22"/>
          <w:szCs w:val="22"/>
        </w:rPr>
        <w:t xml:space="preserve">: </w:t>
      </w:r>
      <w:r w:rsidRPr="00840AC2">
        <w:rPr>
          <w:rFonts w:ascii="Calibri" w:hAnsi="Calibri" w:cs="Calibri"/>
          <w:i/>
          <w:iCs/>
          <w:sz w:val="22"/>
          <w:szCs w:val="22"/>
        </w:rPr>
        <w:t>“No State has the right to expel, return or otherwise remove any individual from its territory whenever there are ‘substantial grounds’ for believing that the person would be in danger of being subjected to torture in the State of destination, including, where applicable, the existence in the State concerned of a consistent pattern of gross, flagrant or mass violations of human rights.”</w:t>
      </w:r>
    </w:p>
    <w:p w14:paraId="5ADED2DF" w14:textId="070A52E3" w:rsidR="00701B58" w:rsidRDefault="00701B58" w:rsidP="00701B58">
      <w:pPr>
        <w:spacing w:line="264" w:lineRule="auto"/>
        <w:jc w:val="both"/>
        <w:rPr>
          <w:rFonts w:ascii="Calibri" w:hAnsi="Calibri" w:cs="Calibri"/>
          <w:sz w:val="22"/>
          <w:szCs w:val="22"/>
        </w:rPr>
      </w:pPr>
      <w:r>
        <w:rPr>
          <w:rFonts w:ascii="Calibri" w:hAnsi="Calibri" w:cs="Calibri"/>
          <w:sz w:val="22"/>
          <w:szCs w:val="22"/>
        </w:rPr>
        <w:t xml:space="preserve">20. To assess the existence of such </w:t>
      </w:r>
      <w:r>
        <w:rPr>
          <w:rFonts w:ascii="Calibri" w:hAnsi="Calibri" w:cs="Calibri"/>
          <w:i/>
          <w:iCs/>
          <w:sz w:val="22"/>
          <w:szCs w:val="22"/>
        </w:rPr>
        <w:t>substantial</w:t>
      </w:r>
      <w:r>
        <w:rPr>
          <w:rFonts w:ascii="Calibri" w:hAnsi="Calibri" w:cs="Calibri"/>
          <w:sz w:val="22"/>
          <w:szCs w:val="22"/>
        </w:rPr>
        <w:t xml:space="preserve"> grounds, the UN Committee Against Torture (CAT) has outlined </w:t>
      </w:r>
      <w:r w:rsidRPr="00840AC2">
        <w:rPr>
          <w:rFonts w:ascii="Calibri" w:hAnsi="Calibri" w:cs="Calibri"/>
          <w:sz w:val="22"/>
          <w:szCs w:val="22"/>
        </w:rPr>
        <w:t xml:space="preserve">a non-exhaustive series of human rights situations to which States should give </w:t>
      </w:r>
      <w:proofErr w:type="gramStart"/>
      <w:r w:rsidRPr="00840AC2">
        <w:rPr>
          <w:rFonts w:ascii="Calibri" w:hAnsi="Calibri" w:cs="Calibri"/>
          <w:sz w:val="22"/>
          <w:szCs w:val="22"/>
        </w:rPr>
        <w:t>particular consideration</w:t>
      </w:r>
      <w:proofErr w:type="gramEnd"/>
      <w:r w:rsidRPr="00840AC2">
        <w:rPr>
          <w:rFonts w:ascii="Calibri" w:hAnsi="Calibri" w:cs="Calibri"/>
          <w:sz w:val="22"/>
          <w:szCs w:val="22"/>
        </w:rPr>
        <w:t xml:space="preserve"> when deciding on the removal of a person from their territory</w:t>
      </w:r>
      <w:r>
        <w:rPr>
          <w:rFonts w:ascii="Calibri" w:hAnsi="Calibri" w:cs="Calibri"/>
          <w:sz w:val="22"/>
          <w:szCs w:val="22"/>
        </w:rPr>
        <w:t>, including:</w:t>
      </w:r>
    </w:p>
    <w:p w14:paraId="314C9FF0" w14:textId="02113301" w:rsidR="00701B58" w:rsidRPr="00840AC2" w:rsidRDefault="00701B58" w:rsidP="00701B58">
      <w:pPr>
        <w:numPr>
          <w:ilvl w:val="0"/>
          <w:numId w:val="6"/>
        </w:numPr>
        <w:spacing w:line="264" w:lineRule="auto"/>
        <w:jc w:val="both"/>
        <w:rPr>
          <w:rFonts w:ascii="Calibri" w:hAnsi="Calibri" w:cs="Calibri"/>
          <w:sz w:val="22"/>
          <w:szCs w:val="22"/>
        </w:rPr>
      </w:pPr>
      <w:r>
        <w:rPr>
          <w:rFonts w:ascii="Calibri" w:hAnsi="Calibri" w:cs="Calibri"/>
          <w:sz w:val="22"/>
          <w:szCs w:val="22"/>
        </w:rPr>
        <w:t xml:space="preserve">Condition d: </w:t>
      </w:r>
      <w:r w:rsidRPr="00840AC2">
        <w:rPr>
          <w:rFonts w:ascii="Calibri" w:hAnsi="Calibri" w:cs="Calibri"/>
          <w:sz w:val="22"/>
          <w:szCs w:val="22"/>
        </w:rPr>
        <w:t xml:space="preserve">Whether the person [...] would be judged in the State to which the person is being deported in a judicial system that does not guarantee the right to a fair </w:t>
      </w:r>
      <w:proofErr w:type="gramStart"/>
      <w:r w:rsidRPr="00840AC2">
        <w:rPr>
          <w:rFonts w:ascii="Calibri" w:hAnsi="Calibri" w:cs="Calibri"/>
          <w:sz w:val="22"/>
          <w:szCs w:val="22"/>
        </w:rPr>
        <w:t>trial</w:t>
      </w:r>
      <w:r>
        <w:rPr>
          <w:rFonts w:ascii="Calibri" w:hAnsi="Calibri" w:cs="Calibri"/>
          <w:sz w:val="22"/>
          <w:szCs w:val="22"/>
        </w:rPr>
        <w:t>;</w:t>
      </w:r>
      <w:proofErr w:type="gramEnd"/>
    </w:p>
    <w:p w14:paraId="63A07561" w14:textId="405BF272" w:rsidR="00701B58" w:rsidRPr="00840AC2" w:rsidRDefault="00701B58" w:rsidP="00701B58">
      <w:pPr>
        <w:numPr>
          <w:ilvl w:val="0"/>
          <w:numId w:val="6"/>
        </w:numPr>
        <w:spacing w:line="264" w:lineRule="auto"/>
        <w:jc w:val="both"/>
        <w:rPr>
          <w:rFonts w:ascii="Calibri" w:hAnsi="Calibri" w:cs="Calibri"/>
          <w:sz w:val="22"/>
          <w:szCs w:val="22"/>
        </w:rPr>
      </w:pPr>
      <w:r>
        <w:rPr>
          <w:rFonts w:ascii="Calibri" w:hAnsi="Calibri" w:cs="Calibri"/>
          <w:sz w:val="22"/>
          <w:szCs w:val="22"/>
        </w:rPr>
        <w:t xml:space="preserve">Condition e: </w:t>
      </w:r>
      <w:r w:rsidRPr="00840AC2">
        <w:rPr>
          <w:rFonts w:ascii="Calibri" w:hAnsi="Calibri" w:cs="Calibri"/>
          <w:sz w:val="22"/>
          <w:szCs w:val="22"/>
        </w:rPr>
        <w:t xml:space="preserve">Whether the person concerned [...] would be detained or imprisoned, if deported to a State, in conditions amounting to torture or cruel, inhuman or degrading treatment or </w:t>
      </w:r>
      <w:proofErr w:type="gramStart"/>
      <w:r w:rsidRPr="00840AC2">
        <w:rPr>
          <w:rFonts w:ascii="Calibri" w:hAnsi="Calibri" w:cs="Calibri"/>
          <w:sz w:val="22"/>
          <w:szCs w:val="22"/>
        </w:rPr>
        <w:t>punishment</w:t>
      </w:r>
      <w:r>
        <w:rPr>
          <w:rFonts w:ascii="Calibri" w:hAnsi="Calibri" w:cs="Calibri"/>
          <w:sz w:val="22"/>
          <w:szCs w:val="22"/>
        </w:rPr>
        <w:t>;</w:t>
      </w:r>
      <w:proofErr w:type="gramEnd"/>
    </w:p>
    <w:p w14:paraId="1DC3F71D" w14:textId="68BE509D" w:rsidR="00701B58" w:rsidRPr="00840AC2" w:rsidRDefault="00701B58" w:rsidP="00701B58">
      <w:pPr>
        <w:numPr>
          <w:ilvl w:val="0"/>
          <w:numId w:val="6"/>
        </w:numPr>
        <w:spacing w:line="264" w:lineRule="auto"/>
        <w:jc w:val="both"/>
        <w:rPr>
          <w:rFonts w:ascii="Calibri" w:hAnsi="Calibri" w:cs="Calibri"/>
          <w:sz w:val="22"/>
          <w:szCs w:val="22"/>
        </w:rPr>
      </w:pPr>
      <w:r>
        <w:rPr>
          <w:rFonts w:ascii="Calibri" w:hAnsi="Calibri" w:cs="Calibri"/>
          <w:sz w:val="22"/>
          <w:szCs w:val="22"/>
        </w:rPr>
        <w:t xml:space="preserve">Condition k: </w:t>
      </w:r>
      <w:r w:rsidRPr="00840AC2">
        <w:rPr>
          <w:rFonts w:ascii="Calibri" w:hAnsi="Calibri" w:cs="Calibri"/>
          <w:sz w:val="22"/>
          <w:szCs w:val="22"/>
        </w:rPr>
        <w:t xml:space="preserve">Whether the person concerned would be deported to a State where the inherent right to life is denied, including the exposure of the person to extrajudicial killings or enforced disappearance, or where the death penalty is in </w:t>
      </w:r>
      <w:proofErr w:type="gramStart"/>
      <w:r w:rsidRPr="00840AC2">
        <w:rPr>
          <w:rFonts w:ascii="Calibri" w:hAnsi="Calibri" w:cs="Calibri"/>
          <w:sz w:val="22"/>
          <w:szCs w:val="22"/>
        </w:rPr>
        <w:t>force</w:t>
      </w:r>
      <w:r>
        <w:rPr>
          <w:rFonts w:ascii="Calibri" w:hAnsi="Calibri" w:cs="Calibri"/>
          <w:sz w:val="22"/>
          <w:szCs w:val="22"/>
        </w:rPr>
        <w:t>;</w:t>
      </w:r>
      <w:proofErr w:type="gramEnd"/>
    </w:p>
    <w:p w14:paraId="01EBC418" w14:textId="607CB1B6" w:rsidR="00701B58" w:rsidRPr="00840AC2" w:rsidRDefault="00701B58" w:rsidP="00701B58">
      <w:pPr>
        <w:numPr>
          <w:ilvl w:val="0"/>
          <w:numId w:val="6"/>
        </w:numPr>
        <w:spacing w:line="264" w:lineRule="auto"/>
        <w:jc w:val="both"/>
        <w:rPr>
          <w:rFonts w:ascii="Calibri" w:hAnsi="Calibri" w:cs="Calibri"/>
          <w:sz w:val="22"/>
          <w:szCs w:val="22"/>
        </w:rPr>
      </w:pPr>
      <w:r>
        <w:rPr>
          <w:rFonts w:ascii="Calibri" w:hAnsi="Calibri" w:cs="Calibri"/>
          <w:sz w:val="22"/>
          <w:szCs w:val="22"/>
        </w:rPr>
        <w:t xml:space="preserve">Condition m: </w:t>
      </w:r>
      <w:r w:rsidRPr="00840AC2">
        <w:rPr>
          <w:rFonts w:ascii="Calibri" w:hAnsi="Calibri" w:cs="Calibri"/>
          <w:sz w:val="22"/>
          <w:szCs w:val="22"/>
        </w:rPr>
        <w:t xml:space="preserve">Whether the person concerned would be deported to a State where reprisals amounting to torture have been or would be committed against the person, members of the person’s family or witnesses of the person’s arrest and detention, such as violent and terrorist acts </w:t>
      </w:r>
      <w:r w:rsidRPr="00840AC2">
        <w:rPr>
          <w:rFonts w:ascii="Calibri" w:hAnsi="Calibri" w:cs="Calibri"/>
          <w:sz w:val="22"/>
          <w:szCs w:val="22"/>
        </w:rPr>
        <w:lastRenderedPageBreak/>
        <w:t xml:space="preserve">against them, the disappearance of those family members or witnesses, their killings or their </w:t>
      </w:r>
      <w:proofErr w:type="gramStart"/>
      <w:r w:rsidRPr="00840AC2">
        <w:rPr>
          <w:rFonts w:ascii="Calibri" w:hAnsi="Calibri" w:cs="Calibri"/>
          <w:sz w:val="22"/>
          <w:szCs w:val="22"/>
        </w:rPr>
        <w:t>torture</w:t>
      </w:r>
      <w:r>
        <w:rPr>
          <w:rFonts w:ascii="Calibri" w:hAnsi="Calibri" w:cs="Calibri"/>
          <w:sz w:val="22"/>
          <w:szCs w:val="22"/>
        </w:rPr>
        <w:t>;</w:t>
      </w:r>
      <w:proofErr w:type="gramEnd"/>
    </w:p>
    <w:p w14:paraId="4CCE74CE" w14:textId="08612CD1" w:rsidR="00701B58" w:rsidRPr="00840AC2" w:rsidRDefault="00701B58" w:rsidP="00701B58">
      <w:pPr>
        <w:numPr>
          <w:ilvl w:val="0"/>
          <w:numId w:val="6"/>
        </w:numPr>
        <w:spacing w:line="264" w:lineRule="auto"/>
        <w:jc w:val="both"/>
        <w:rPr>
          <w:rFonts w:ascii="Calibri" w:hAnsi="Calibri" w:cs="Calibri"/>
          <w:sz w:val="22"/>
          <w:szCs w:val="22"/>
        </w:rPr>
      </w:pPr>
      <w:r>
        <w:rPr>
          <w:rFonts w:ascii="Calibri" w:hAnsi="Calibri" w:cs="Calibri"/>
          <w:sz w:val="22"/>
          <w:szCs w:val="22"/>
        </w:rPr>
        <w:t xml:space="preserve">Condition n: </w:t>
      </w:r>
      <w:r w:rsidRPr="00840AC2">
        <w:rPr>
          <w:rFonts w:ascii="Calibri" w:hAnsi="Calibri" w:cs="Calibri"/>
          <w:sz w:val="22"/>
          <w:szCs w:val="22"/>
        </w:rPr>
        <w:t>Whether the person concerned would be deported to a State where the person was subjected to or would run the risk of being subjected to slavery and forced labor or trafficking in human beings</w:t>
      </w:r>
      <w:r>
        <w:rPr>
          <w:rFonts w:ascii="Calibri" w:hAnsi="Calibri" w:cs="Calibri"/>
          <w:sz w:val="22"/>
          <w:szCs w:val="22"/>
        </w:rPr>
        <w:t>.</w:t>
      </w:r>
      <w:r w:rsidR="00D5572F">
        <w:rPr>
          <w:rStyle w:val="FootnoteReference"/>
          <w:rFonts w:ascii="Calibri" w:hAnsi="Calibri" w:cs="Calibri"/>
          <w:sz w:val="22"/>
          <w:szCs w:val="22"/>
        </w:rPr>
        <w:footnoteReference w:id="10"/>
      </w:r>
    </w:p>
    <w:p w14:paraId="79FD2BE6" w14:textId="7C100962" w:rsidR="00391981" w:rsidRDefault="00701B58" w:rsidP="00701B58">
      <w:pPr>
        <w:spacing w:line="264" w:lineRule="auto"/>
        <w:jc w:val="both"/>
        <w:rPr>
          <w:rFonts w:ascii="Calibri" w:hAnsi="Calibri" w:cs="Calibri"/>
          <w:sz w:val="22"/>
          <w:szCs w:val="22"/>
        </w:rPr>
      </w:pPr>
      <w:r>
        <w:rPr>
          <w:rFonts w:ascii="Calibri" w:hAnsi="Calibri" w:cs="Calibri"/>
          <w:sz w:val="22"/>
          <w:szCs w:val="22"/>
        </w:rPr>
        <w:t xml:space="preserve">21. </w:t>
      </w:r>
      <w:r w:rsidR="00E02991">
        <w:rPr>
          <w:rFonts w:ascii="Calibri" w:hAnsi="Calibri" w:cs="Calibri"/>
          <w:sz w:val="22"/>
          <w:szCs w:val="22"/>
        </w:rPr>
        <w:t>As it is outside the scope of this submission, we will not examine these conditions in detail here. However, n</w:t>
      </w:r>
      <w:r>
        <w:rPr>
          <w:rFonts w:ascii="Calibri" w:hAnsi="Calibri" w:cs="Calibri"/>
          <w:sz w:val="22"/>
          <w:szCs w:val="22"/>
        </w:rPr>
        <w:t xml:space="preserve">umerous </w:t>
      </w:r>
      <w:r w:rsidR="00E02991">
        <w:rPr>
          <w:rFonts w:ascii="Calibri" w:hAnsi="Calibri" w:cs="Calibri"/>
          <w:sz w:val="22"/>
          <w:szCs w:val="22"/>
        </w:rPr>
        <w:t xml:space="preserve">statements and </w:t>
      </w:r>
      <w:r>
        <w:rPr>
          <w:rFonts w:ascii="Calibri" w:hAnsi="Calibri" w:cs="Calibri"/>
          <w:sz w:val="22"/>
          <w:szCs w:val="22"/>
        </w:rPr>
        <w:t>reports from UN human rights mechanisms, Governments and NGO’s have repeatedly found these conditions to be systematically present in China’s judicial and detention system. Increasingly, so have Courts.</w:t>
      </w:r>
    </w:p>
    <w:p w14:paraId="4B295AF9" w14:textId="7048EC2A" w:rsidR="00701B58" w:rsidRPr="00701B58" w:rsidRDefault="00701B58" w:rsidP="00701B58">
      <w:pPr>
        <w:spacing w:line="264" w:lineRule="auto"/>
        <w:jc w:val="both"/>
        <w:rPr>
          <w:rFonts w:ascii="Calibri" w:hAnsi="Calibri" w:cs="Calibri"/>
          <w:sz w:val="22"/>
          <w:szCs w:val="22"/>
        </w:rPr>
      </w:pPr>
      <w:r>
        <w:rPr>
          <w:rFonts w:ascii="Calibri" w:hAnsi="Calibri" w:cs="Calibri"/>
          <w:sz w:val="22"/>
          <w:szCs w:val="22"/>
        </w:rPr>
        <w:t xml:space="preserve">22. In October 2022, </w:t>
      </w:r>
      <w:r w:rsidRPr="00840AC2">
        <w:rPr>
          <w:rFonts w:ascii="Calibri" w:hAnsi="Calibri" w:cs="Calibri"/>
          <w:sz w:val="22"/>
          <w:szCs w:val="22"/>
        </w:rPr>
        <w:t>the European Court of Human Rights (ECtHR) asserted that “</w:t>
      </w:r>
      <w:r w:rsidRPr="00840AC2">
        <w:rPr>
          <w:rFonts w:ascii="Calibri" w:hAnsi="Calibri" w:cs="Calibri"/>
          <w:i/>
          <w:iCs/>
          <w:sz w:val="22"/>
          <w:szCs w:val="22"/>
        </w:rPr>
        <w:t xml:space="preserve">The extent to which torture and other forms of ill-treatment are credibly and consistently reported to be used in Chinese detention facilities and penitentiaries, may be equated to the existence of a general situation of violence. Thereby the applicant is relieved from showing specific personal grounds of fear, it being enough that it is established that he will be placed in a detention </w:t>
      </w:r>
      <w:proofErr w:type="spellStart"/>
      <w:r w:rsidRPr="00840AC2">
        <w:rPr>
          <w:rFonts w:ascii="Calibri" w:hAnsi="Calibri" w:cs="Calibri"/>
          <w:i/>
          <w:iCs/>
          <w:sz w:val="22"/>
          <w:szCs w:val="22"/>
        </w:rPr>
        <w:t>centre</w:t>
      </w:r>
      <w:proofErr w:type="spellEnd"/>
      <w:r w:rsidRPr="00840AC2">
        <w:rPr>
          <w:rFonts w:ascii="Calibri" w:hAnsi="Calibri" w:cs="Calibri"/>
          <w:i/>
          <w:iCs/>
          <w:sz w:val="22"/>
          <w:szCs w:val="22"/>
        </w:rPr>
        <w:t xml:space="preserve"> or penitentiary.”</w:t>
      </w:r>
      <w:r>
        <w:rPr>
          <w:rStyle w:val="FootnoteReference"/>
          <w:rFonts w:ascii="Calibri" w:hAnsi="Calibri" w:cs="Calibri"/>
          <w:i/>
          <w:iCs/>
          <w:sz w:val="22"/>
          <w:szCs w:val="22"/>
        </w:rPr>
        <w:footnoteReference w:id="11"/>
      </w:r>
    </w:p>
    <w:p w14:paraId="0C93E242" w14:textId="43CA1C1B" w:rsidR="00701B58" w:rsidRPr="00840AC2" w:rsidRDefault="00701B58" w:rsidP="00701B58">
      <w:pPr>
        <w:spacing w:line="264" w:lineRule="auto"/>
        <w:jc w:val="both"/>
        <w:rPr>
          <w:rFonts w:ascii="Calibri" w:hAnsi="Calibri" w:cs="Calibri"/>
          <w:sz w:val="22"/>
          <w:szCs w:val="22"/>
        </w:rPr>
      </w:pPr>
      <w:r>
        <w:rPr>
          <w:rFonts w:ascii="Calibri" w:hAnsi="Calibri" w:cs="Calibri"/>
          <w:sz w:val="22"/>
          <w:szCs w:val="22"/>
        </w:rPr>
        <w:t xml:space="preserve">23. </w:t>
      </w:r>
      <w:r w:rsidRPr="00840AC2">
        <w:rPr>
          <w:rFonts w:ascii="Calibri" w:hAnsi="Calibri" w:cs="Calibri"/>
          <w:sz w:val="22"/>
          <w:szCs w:val="22"/>
        </w:rPr>
        <w:t xml:space="preserve">The ECtHR concluded that if it were established that </w:t>
      </w:r>
      <w:r>
        <w:rPr>
          <w:rFonts w:ascii="Calibri" w:hAnsi="Calibri" w:cs="Calibri"/>
          <w:sz w:val="22"/>
          <w:szCs w:val="22"/>
        </w:rPr>
        <w:t>an</w:t>
      </w:r>
      <w:r w:rsidRPr="00840AC2">
        <w:rPr>
          <w:rFonts w:ascii="Calibri" w:hAnsi="Calibri" w:cs="Calibri"/>
          <w:sz w:val="22"/>
          <w:szCs w:val="22"/>
        </w:rPr>
        <w:t xml:space="preserve"> individual would be placed in a detention center or penitentiary upon their return to China, such refoulement would constitute a violation of Article 3 of the </w:t>
      </w:r>
      <w:r>
        <w:rPr>
          <w:rFonts w:ascii="Calibri" w:hAnsi="Calibri" w:cs="Calibri"/>
          <w:sz w:val="22"/>
          <w:szCs w:val="22"/>
        </w:rPr>
        <w:t xml:space="preserve">European </w:t>
      </w:r>
      <w:r w:rsidRPr="00840AC2">
        <w:rPr>
          <w:rFonts w:ascii="Calibri" w:hAnsi="Calibri" w:cs="Calibri"/>
          <w:sz w:val="22"/>
          <w:szCs w:val="22"/>
        </w:rPr>
        <w:t xml:space="preserve">Convention under the international principle of non-refoulement. Since the ECtHR’s October 2022 decision, which became final on January 31, 2023, numerous Courts in Council of Europe Member States have followed the doctrine. </w:t>
      </w:r>
    </w:p>
    <w:p w14:paraId="74A507EA" w14:textId="20225E6D" w:rsidR="00701B58" w:rsidRDefault="00701B58" w:rsidP="00701B58">
      <w:pPr>
        <w:spacing w:line="264" w:lineRule="auto"/>
        <w:jc w:val="both"/>
        <w:rPr>
          <w:rFonts w:ascii="Calibri" w:hAnsi="Calibri" w:cs="Calibri"/>
          <w:sz w:val="22"/>
          <w:szCs w:val="22"/>
        </w:rPr>
      </w:pPr>
      <w:r>
        <w:rPr>
          <w:rFonts w:ascii="Calibri" w:hAnsi="Calibri" w:cs="Calibri"/>
          <w:sz w:val="22"/>
          <w:szCs w:val="22"/>
        </w:rPr>
        <w:t>24. Despite a slowly growing awareness of Article 3 risks associated with extraditions to China, the country’s abuse of INTERPOL Notices continues to put individuals at risk of prolonged arbitrary detention and limitations to their freedom of movement – including fear-induced self-limitations due to repeated threats and publicity campaigns by Chinese and Hong Kong authorities of extra-judicial persecution (</w:t>
      </w:r>
      <w:r>
        <w:rPr>
          <w:rFonts w:ascii="Calibri" w:hAnsi="Calibri" w:cs="Calibri"/>
          <w:i/>
          <w:iCs/>
          <w:sz w:val="22"/>
          <w:szCs w:val="22"/>
        </w:rPr>
        <w:t>chilling effect</w:t>
      </w:r>
      <w:r>
        <w:rPr>
          <w:rFonts w:ascii="Calibri" w:hAnsi="Calibri" w:cs="Calibri"/>
          <w:sz w:val="22"/>
          <w:szCs w:val="22"/>
        </w:rPr>
        <w:t xml:space="preserve">). </w:t>
      </w:r>
    </w:p>
    <w:p w14:paraId="1C6909D1" w14:textId="60238B16" w:rsidR="00701B58" w:rsidRPr="006D672B" w:rsidRDefault="00701B58" w:rsidP="00701B58">
      <w:pPr>
        <w:spacing w:line="264" w:lineRule="auto"/>
        <w:jc w:val="both"/>
        <w:rPr>
          <w:rFonts w:ascii="Calibri" w:hAnsi="Calibri" w:cs="Calibri"/>
          <w:sz w:val="22"/>
          <w:szCs w:val="22"/>
        </w:rPr>
      </w:pPr>
      <w:r>
        <w:rPr>
          <w:rFonts w:ascii="Calibri" w:hAnsi="Calibri" w:cs="Calibri"/>
          <w:sz w:val="22"/>
          <w:szCs w:val="22"/>
        </w:rPr>
        <w:t xml:space="preserve">25. </w:t>
      </w:r>
      <w:r w:rsidR="006D672B">
        <w:rPr>
          <w:rFonts w:ascii="Calibri" w:hAnsi="Calibri" w:cs="Calibri"/>
          <w:sz w:val="22"/>
          <w:szCs w:val="22"/>
        </w:rPr>
        <w:t>Moreover, w</w:t>
      </w:r>
      <w:r>
        <w:rPr>
          <w:rFonts w:ascii="Calibri" w:hAnsi="Calibri" w:cs="Calibri"/>
          <w:sz w:val="22"/>
          <w:szCs w:val="22"/>
        </w:rPr>
        <w:t>hereas INTERPOL’s Notices are issued with the express goal of seeking cooperation for the extradition, surrender or similar action</w:t>
      </w:r>
      <w:r>
        <w:rPr>
          <w:rStyle w:val="FootnoteReference"/>
          <w:rFonts w:ascii="Calibri" w:hAnsi="Calibri" w:cs="Calibri"/>
          <w:sz w:val="22"/>
          <w:szCs w:val="22"/>
        </w:rPr>
        <w:footnoteReference w:id="12"/>
      </w:r>
      <w:r>
        <w:rPr>
          <w:rFonts w:ascii="Calibri" w:hAnsi="Calibri" w:cs="Calibri"/>
          <w:sz w:val="22"/>
          <w:szCs w:val="22"/>
        </w:rPr>
        <w:t xml:space="preserve">, the organization </w:t>
      </w:r>
      <w:r w:rsidRPr="00701B58">
        <w:rPr>
          <w:rFonts w:ascii="Calibri" w:hAnsi="Calibri" w:cs="Calibri"/>
          <w:sz w:val="22"/>
          <w:szCs w:val="22"/>
        </w:rPr>
        <w:t>is mandated by Article 2 of its Constitution to ensure all police cooperation activities comply with the Universal Declaration of Human Rights</w:t>
      </w:r>
      <w:r w:rsidR="006D672B">
        <w:rPr>
          <w:rStyle w:val="FootnoteReference"/>
          <w:rFonts w:ascii="Calibri" w:hAnsi="Calibri" w:cs="Calibri"/>
          <w:sz w:val="22"/>
          <w:szCs w:val="22"/>
        </w:rPr>
        <w:footnoteReference w:id="13"/>
      </w:r>
      <w:r w:rsidR="006D672B">
        <w:rPr>
          <w:rFonts w:ascii="Calibri" w:hAnsi="Calibri" w:cs="Calibri"/>
          <w:sz w:val="22"/>
          <w:szCs w:val="22"/>
        </w:rPr>
        <w:t xml:space="preserve">. Given the persistent </w:t>
      </w:r>
      <w:r w:rsidR="006D672B">
        <w:rPr>
          <w:rFonts w:ascii="Calibri" w:hAnsi="Calibri" w:cs="Calibri"/>
          <w:i/>
          <w:iCs/>
          <w:sz w:val="22"/>
          <w:szCs w:val="22"/>
        </w:rPr>
        <w:t xml:space="preserve">general situation of violence </w:t>
      </w:r>
      <w:r w:rsidR="006D672B">
        <w:rPr>
          <w:rFonts w:ascii="Calibri" w:hAnsi="Calibri" w:cs="Calibri"/>
          <w:sz w:val="22"/>
          <w:szCs w:val="22"/>
        </w:rPr>
        <w:t xml:space="preserve">repeatedly found in China’s prison and detention system, an evident contradiction between the two operating principles arises. </w:t>
      </w:r>
    </w:p>
    <w:p w14:paraId="0858FE9A" w14:textId="44136B36" w:rsidR="00E02991" w:rsidRDefault="00701B58" w:rsidP="00701B58">
      <w:pPr>
        <w:spacing w:line="264" w:lineRule="auto"/>
        <w:jc w:val="both"/>
        <w:rPr>
          <w:rFonts w:ascii="Calibri" w:hAnsi="Calibri" w:cs="Calibri"/>
          <w:sz w:val="22"/>
          <w:szCs w:val="22"/>
        </w:rPr>
      </w:pPr>
      <w:r>
        <w:rPr>
          <w:rFonts w:ascii="Calibri" w:hAnsi="Calibri" w:cs="Calibri"/>
          <w:sz w:val="22"/>
          <w:szCs w:val="22"/>
        </w:rPr>
        <w:t>26. Furthermore, as China does no longer allow for the full publication of INTERPOL Notices it requested</w:t>
      </w:r>
      <w:r>
        <w:rPr>
          <w:rStyle w:val="FootnoteReference"/>
          <w:rFonts w:ascii="Calibri" w:hAnsi="Calibri" w:cs="Calibri"/>
          <w:sz w:val="22"/>
          <w:szCs w:val="22"/>
        </w:rPr>
        <w:footnoteReference w:id="14"/>
      </w:r>
      <w:r>
        <w:rPr>
          <w:rFonts w:ascii="Calibri" w:hAnsi="Calibri" w:cs="Calibri"/>
          <w:sz w:val="22"/>
          <w:szCs w:val="22"/>
        </w:rPr>
        <w:t xml:space="preserve">, Individuals often become aware of an existing INTERPOL Notice only when they are detained or objections to their immigration status or asylum request are filed, harming their right to effectively seek humanitarian </w:t>
      </w:r>
      <w:r>
        <w:rPr>
          <w:rFonts w:ascii="Calibri" w:hAnsi="Calibri" w:cs="Calibri"/>
          <w:sz w:val="22"/>
          <w:szCs w:val="22"/>
        </w:rPr>
        <w:lastRenderedPageBreak/>
        <w:t>protection. Too often, the onus for removing abusive INTERPOL Notices remains on the individuals themselves</w:t>
      </w:r>
      <w:r w:rsidR="006D672B">
        <w:rPr>
          <w:rFonts w:ascii="Calibri" w:hAnsi="Calibri" w:cs="Calibri"/>
          <w:sz w:val="22"/>
          <w:szCs w:val="22"/>
        </w:rPr>
        <w:t xml:space="preserve"> - </w:t>
      </w:r>
      <w:r>
        <w:rPr>
          <w:rFonts w:ascii="Calibri" w:hAnsi="Calibri" w:cs="Calibri"/>
          <w:sz w:val="22"/>
          <w:szCs w:val="22"/>
        </w:rPr>
        <w:t>adding to their vulnerable status</w:t>
      </w:r>
      <w:r w:rsidR="006D672B">
        <w:rPr>
          <w:rFonts w:ascii="Calibri" w:hAnsi="Calibri" w:cs="Calibri"/>
          <w:sz w:val="22"/>
          <w:szCs w:val="22"/>
        </w:rPr>
        <w:t>.</w:t>
      </w:r>
      <w:r>
        <w:rPr>
          <w:rFonts w:ascii="Calibri" w:hAnsi="Calibri" w:cs="Calibri"/>
          <w:sz w:val="22"/>
          <w:szCs w:val="22"/>
        </w:rPr>
        <w:t xml:space="preserve"> </w:t>
      </w:r>
    </w:p>
    <w:p w14:paraId="3C076EDD" w14:textId="7A3D11B8" w:rsidR="00391981" w:rsidRPr="00701B58" w:rsidRDefault="00701B58" w:rsidP="00701B58">
      <w:pPr>
        <w:spacing w:line="264" w:lineRule="auto"/>
        <w:jc w:val="both"/>
        <w:rPr>
          <w:rFonts w:ascii="Calibri" w:hAnsi="Calibri" w:cs="Calibri"/>
          <w:sz w:val="22"/>
          <w:szCs w:val="22"/>
        </w:rPr>
      </w:pPr>
      <w:r>
        <w:rPr>
          <w:rFonts w:ascii="Calibri" w:hAnsi="Calibri" w:cs="Calibri"/>
          <w:sz w:val="22"/>
          <w:szCs w:val="22"/>
        </w:rPr>
        <w:t xml:space="preserve">27. Lastly, China’s use of </w:t>
      </w:r>
      <w:r>
        <w:rPr>
          <w:rFonts w:ascii="Calibri" w:hAnsi="Calibri" w:cs="Calibri"/>
          <w:i/>
          <w:iCs/>
          <w:sz w:val="22"/>
          <w:szCs w:val="22"/>
        </w:rPr>
        <w:t xml:space="preserve">diplomatic assurances </w:t>
      </w:r>
      <w:proofErr w:type="gramStart"/>
      <w:r>
        <w:rPr>
          <w:rFonts w:ascii="Calibri" w:hAnsi="Calibri" w:cs="Calibri"/>
          <w:sz w:val="22"/>
          <w:szCs w:val="22"/>
        </w:rPr>
        <w:t>as a means to</w:t>
      </w:r>
      <w:proofErr w:type="gramEnd"/>
      <w:r>
        <w:rPr>
          <w:rFonts w:ascii="Calibri" w:hAnsi="Calibri" w:cs="Calibri"/>
          <w:sz w:val="22"/>
          <w:szCs w:val="22"/>
        </w:rPr>
        <w:t xml:space="preserve"> bypass the </w:t>
      </w:r>
      <w:r>
        <w:rPr>
          <w:rFonts w:ascii="Calibri" w:hAnsi="Calibri" w:cs="Calibri"/>
          <w:i/>
          <w:iCs/>
          <w:sz w:val="22"/>
          <w:szCs w:val="22"/>
        </w:rPr>
        <w:t xml:space="preserve">substantial grounds </w:t>
      </w:r>
      <w:r>
        <w:rPr>
          <w:rFonts w:ascii="Calibri" w:hAnsi="Calibri" w:cs="Calibri"/>
          <w:sz w:val="22"/>
          <w:szCs w:val="22"/>
        </w:rPr>
        <w:t xml:space="preserve">limitations in bilateral extradition proceedings is a growing reason for concern, </w:t>
      </w:r>
      <w:proofErr w:type="gramStart"/>
      <w:r>
        <w:rPr>
          <w:rFonts w:ascii="Calibri" w:hAnsi="Calibri" w:cs="Calibri"/>
          <w:sz w:val="22"/>
          <w:szCs w:val="22"/>
        </w:rPr>
        <w:t>in particular against</w:t>
      </w:r>
      <w:proofErr w:type="gramEnd"/>
      <w:r>
        <w:rPr>
          <w:rFonts w:ascii="Calibri" w:hAnsi="Calibri" w:cs="Calibri"/>
          <w:sz w:val="22"/>
          <w:szCs w:val="22"/>
        </w:rPr>
        <w:t xml:space="preserve"> the backdrop of its continued refusal to allow independent international investigations and country visits to periodically assess and continuously monitor conditions.  </w:t>
      </w:r>
    </w:p>
    <w:p w14:paraId="7F428F7A" w14:textId="324FF19E" w:rsidR="00391981" w:rsidRDefault="00391981" w:rsidP="00391981">
      <w:pPr>
        <w:pStyle w:val="Heading4"/>
      </w:pPr>
      <w:bookmarkStart w:id="6" w:name="_Toc220768389"/>
      <w:r>
        <w:t>2.2. Repatriation</w:t>
      </w:r>
      <w:bookmarkEnd w:id="6"/>
    </w:p>
    <w:p w14:paraId="79C46482" w14:textId="77777777" w:rsidR="006D672B" w:rsidRDefault="00701B58" w:rsidP="006D672B">
      <w:pPr>
        <w:spacing w:line="264" w:lineRule="auto"/>
        <w:jc w:val="both"/>
        <w:rPr>
          <w:rFonts w:ascii="Calibri" w:hAnsi="Calibri" w:cs="Calibri"/>
          <w:sz w:val="22"/>
          <w:szCs w:val="22"/>
        </w:rPr>
      </w:pPr>
      <w:r>
        <w:rPr>
          <w:rFonts w:ascii="Calibri" w:hAnsi="Calibri" w:cs="Calibri"/>
          <w:sz w:val="22"/>
          <w:szCs w:val="22"/>
        </w:rPr>
        <w:t>2</w:t>
      </w:r>
      <w:r w:rsidR="006D672B">
        <w:rPr>
          <w:rFonts w:ascii="Calibri" w:hAnsi="Calibri" w:cs="Calibri"/>
          <w:sz w:val="22"/>
          <w:szCs w:val="22"/>
        </w:rPr>
        <w:t>8</w:t>
      </w:r>
      <w:r>
        <w:rPr>
          <w:rFonts w:ascii="Calibri" w:hAnsi="Calibri" w:cs="Calibri"/>
          <w:sz w:val="22"/>
          <w:szCs w:val="22"/>
        </w:rPr>
        <w:t xml:space="preserve">. </w:t>
      </w:r>
      <w:r w:rsidR="006D672B">
        <w:rPr>
          <w:rFonts w:ascii="Calibri" w:hAnsi="Calibri" w:cs="Calibri"/>
          <w:sz w:val="22"/>
          <w:szCs w:val="22"/>
        </w:rPr>
        <w:t xml:space="preserve">Under the 2018 Written Legal Interpretation, China uses repatriation as a means of </w:t>
      </w:r>
      <w:r w:rsidR="006D672B">
        <w:rPr>
          <w:rFonts w:ascii="Calibri" w:hAnsi="Calibri" w:cs="Calibri"/>
          <w:i/>
          <w:iCs/>
          <w:sz w:val="22"/>
          <w:szCs w:val="22"/>
        </w:rPr>
        <w:t>disguised extraditions</w:t>
      </w:r>
      <w:r w:rsidR="006D672B">
        <w:rPr>
          <w:rFonts w:ascii="Calibri" w:hAnsi="Calibri" w:cs="Calibri"/>
          <w:sz w:val="22"/>
          <w:szCs w:val="22"/>
        </w:rPr>
        <w:t>, often limiting the enhanced judicial safeguards allowed by formal extradition proceedings.</w:t>
      </w:r>
    </w:p>
    <w:p w14:paraId="34BFB036" w14:textId="77777777" w:rsidR="006D672B" w:rsidRDefault="006D672B" w:rsidP="006D672B">
      <w:pPr>
        <w:spacing w:line="264" w:lineRule="auto"/>
        <w:jc w:val="both"/>
        <w:rPr>
          <w:rFonts w:ascii="Calibri" w:hAnsi="Calibri" w:cs="Calibri"/>
          <w:sz w:val="22"/>
          <w:szCs w:val="22"/>
        </w:rPr>
      </w:pPr>
      <w:r>
        <w:rPr>
          <w:rFonts w:ascii="Calibri" w:hAnsi="Calibri" w:cs="Calibri"/>
          <w:sz w:val="22"/>
          <w:szCs w:val="22"/>
        </w:rPr>
        <w:t>29. It makes further abuse of international and bilateral cooperation mechanisms to employ this method, for example by requesting INTERPOL Notices it then uses – in violation of INTERPOL’s Constitution and Rules – to undermine an individual’s immigration proceedings or residence status, rather than seeking the mandated extradition.</w:t>
      </w:r>
    </w:p>
    <w:p w14:paraId="18723A64" w14:textId="412B40CF" w:rsidR="00643EE6" w:rsidRDefault="006D672B" w:rsidP="006D672B">
      <w:pPr>
        <w:spacing w:line="264" w:lineRule="auto"/>
        <w:jc w:val="both"/>
        <w:rPr>
          <w:rFonts w:ascii="Calibri" w:hAnsi="Calibri" w:cs="Calibri"/>
          <w:sz w:val="22"/>
          <w:szCs w:val="22"/>
        </w:rPr>
      </w:pPr>
      <w:r>
        <w:rPr>
          <w:rFonts w:ascii="Calibri" w:hAnsi="Calibri" w:cs="Calibri"/>
          <w:sz w:val="22"/>
          <w:szCs w:val="22"/>
        </w:rPr>
        <w:t xml:space="preserve">30. Its most concerning occurrence takes place in the form of </w:t>
      </w:r>
      <w:r>
        <w:rPr>
          <w:rFonts w:ascii="Calibri" w:hAnsi="Calibri" w:cs="Calibri"/>
          <w:i/>
          <w:iCs/>
          <w:sz w:val="22"/>
          <w:szCs w:val="22"/>
        </w:rPr>
        <w:t>mass handovers</w:t>
      </w:r>
      <w:r>
        <w:rPr>
          <w:rFonts w:ascii="Calibri" w:hAnsi="Calibri" w:cs="Calibri"/>
          <w:sz w:val="22"/>
          <w:szCs w:val="22"/>
        </w:rPr>
        <w:t xml:space="preserve">, often without little or any discernable judicial or administrative safeguards for the targeted individuals. </w:t>
      </w:r>
      <w:r w:rsidRPr="006D672B">
        <w:rPr>
          <w:rFonts w:ascii="Calibri" w:hAnsi="Calibri" w:cs="Calibri"/>
          <w:sz w:val="22"/>
          <w:szCs w:val="22"/>
        </w:rPr>
        <w:t>While not an exhaustive overview, they notable include the mass handover of 77</w:t>
      </w:r>
      <w:r w:rsidR="00FF6B43">
        <w:rPr>
          <w:rFonts w:ascii="Calibri" w:hAnsi="Calibri" w:cs="Calibri"/>
          <w:sz w:val="22"/>
          <w:szCs w:val="22"/>
        </w:rPr>
        <w:t xml:space="preserve"> </w:t>
      </w:r>
      <w:r w:rsidRPr="006D672B">
        <w:rPr>
          <w:rFonts w:ascii="Calibri" w:hAnsi="Calibri" w:cs="Calibri"/>
          <w:sz w:val="22"/>
          <w:szCs w:val="22"/>
        </w:rPr>
        <w:t>individuals from Fiji in 2017, 6 from Vanuatu in 2019, 88 from Indonesia</w:t>
      </w:r>
      <w:r>
        <w:rPr>
          <w:rFonts w:ascii="Calibri" w:hAnsi="Calibri" w:cs="Calibri"/>
          <w:sz w:val="22"/>
          <w:szCs w:val="22"/>
        </w:rPr>
        <w:t xml:space="preserve"> and </w:t>
      </w:r>
      <w:r w:rsidRPr="006D672B">
        <w:rPr>
          <w:rFonts w:ascii="Calibri" w:hAnsi="Calibri" w:cs="Calibri"/>
          <w:sz w:val="22"/>
          <w:szCs w:val="22"/>
        </w:rPr>
        <w:t>164 from Laos in 2023, as</w:t>
      </w:r>
      <w:r>
        <w:rPr>
          <w:rFonts w:ascii="Calibri" w:hAnsi="Calibri" w:cs="Calibri"/>
          <w:sz w:val="22"/>
          <w:szCs w:val="22"/>
        </w:rPr>
        <w:t xml:space="preserve"> </w:t>
      </w:r>
      <w:r w:rsidRPr="006D672B">
        <w:rPr>
          <w:rFonts w:ascii="Calibri" w:hAnsi="Calibri" w:cs="Calibri"/>
          <w:sz w:val="22"/>
          <w:szCs w:val="22"/>
        </w:rPr>
        <w:t>well as over 30,000 individuals from Myanmar between September and December 2023 alone.</w:t>
      </w:r>
      <w:r>
        <w:rPr>
          <w:rStyle w:val="FootnoteReference"/>
          <w:rFonts w:ascii="Calibri" w:hAnsi="Calibri" w:cs="Calibri"/>
          <w:sz w:val="22"/>
          <w:szCs w:val="22"/>
        </w:rPr>
        <w:footnoteReference w:id="15"/>
      </w:r>
      <w:r>
        <w:rPr>
          <w:rFonts w:ascii="Calibri" w:hAnsi="Calibri" w:cs="Calibri"/>
          <w:sz w:val="22"/>
          <w:szCs w:val="22"/>
        </w:rPr>
        <w:t xml:space="preserve"> In </w:t>
      </w:r>
      <w:r w:rsidR="00643EE6">
        <w:rPr>
          <w:rFonts w:ascii="Calibri" w:hAnsi="Calibri" w:cs="Calibri"/>
          <w:sz w:val="22"/>
          <w:szCs w:val="22"/>
        </w:rPr>
        <w:t xml:space="preserve">February 2025, </w:t>
      </w:r>
      <w:r w:rsidR="00643EE6" w:rsidRPr="00643EE6">
        <w:rPr>
          <w:rFonts w:ascii="Calibri" w:hAnsi="Calibri" w:cs="Calibri"/>
          <w:sz w:val="22"/>
          <w:szCs w:val="22"/>
        </w:rPr>
        <w:t xml:space="preserve">some 40 Uyghurs </w:t>
      </w:r>
      <w:r w:rsidR="00643EE6">
        <w:rPr>
          <w:rFonts w:ascii="Calibri" w:hAnsi="Calibri" w:cs="Calibri"/>
          <w:sz w:val="22"/>
          <w:szCs w:val="22"/>
        </w:rPr>
        <w:t xml:space="preserve">were deported to China </w:t>
      </w:r>
      <w:r w:rsidR="00643EE6" w:rsidRPr="00643EE6">
        <w:rPr>
          <w:rFonts w:ascii="Calibri" w:hAnsi="Calibri" w:cs="Calibri"/>
          <w:sz w:val="22"/>
          <w:szCs w:val="22"/>
        </w:rPr>
        <w:t xml:space="preserve">after more than 10 years in Thailand’s detention </w:t>
      </w:r>
      <w:r w:rsidR="00643EE6">
        <w:rPr>
          <w:rFonts w:ascii="Calibri" w:hAnsi="Calibri" w:cs="Calibri"/>
          <w:sz w:val="22"/>
          <w:szCs w:val="22"/>
        </w:rPr>
        <w:t>centers</w:t>
      </w:r>
      <w:r w:rsidR="00643EE6">
        <w:rPr>
          <w:rStyle w:val="FootnoteReference"/>
          <w:rFonts w:ascii="Calibri" w:hAnsi="Calibri" w:cs="Calibri"/>
          <w:sz w:val="22"/>
          <w:szCs w:val="22"/>
        </w:rPr>
        <w:footnoteReference w:id="16"/>
      </w:r>
      <w:r w:rsidR="00643EE6">
        <w:rPr>
          <w:rFonts w:ascii="Calibri" w:hAnsi="Calibri" w:cs="Calibri"/>
          <w:sz w:val="22"/>
          <w:szCs w:val="22"/>
        </w:rPr>
        <w:t>, despite the OHCHR’s express call on all Member States to refrain from forcefully returning Uyghurs in its August 2022 Assessment of the situation in Xinjiang</w:t>
      </w:r>
      <w:r w:rsidR="00643EE6">
        <w:rPr>
          <w:rStyle w:val="FootnoteReference"/>
          <w:rFonts w:ascii="Calibri" w:hAnsi="Calibri" w:cs="Calibri"/>
          <w:sz w:val="22"/>
          <w:szCs w:val="22"/>
        </w:rPr>
        <w:footnoteReference w:id="17"/>
      </w:r>
      <w:r w:rsidR="00643EE6">
        <w:rPr>
          <w:rFonts w:ascii="Calibri" w:hAnsi="Calibri" w:cs="Calibri"/>
          <w:sz w:val="22"/>
          <w:szCs w:val="22"/>
        </w:rPr>
        <w:t>.</w:t>
      </w:r>
    </w:p>
    <w:p w14:paraId="32B3639C" w14:textId="000B6B99" w:rsidR="00701B58" w:rsidRPr="00FF6B43" w:rsidRDefault="00FF6B43" w:rsidP="00FF6B43">
      <w:pPr>
        <w:spacing w:line="264" w:lineRule="auto"/>
        <w:jc w:val="both"/>
        <w:rPr>
          <w:rFonts w:ascii="Calibri" w:hAnsi="Calibri" w:cs="Calibri"/>
          <w:sz w:val="22"/>
          <w:szCs w:val="22"/>
        </w:rPr>
      </w:pPr>
      <w:r>
        <w:rPr>
          <w:rFonts w:ascii="Calibri" w:hAnsi="Calibri" w:cs="Calibri"/>
          <w:sz w:val="22"/>
          <w:szCs w:val="22"/>
        </w:rPr>
        <w:t xml:space="preserve">31. The lack of procedural safeguards and swiftness of proceedings away from public eyes in such handovers significantly increase the ensuing risk of enforced disappearances once returned to China.    </w:t>
      </w:r>
    </w:p>
    <w:p w14:paraId="008548BC" w14:textId="0F1A1BFC" w:rsidR="00391981" w:rsidRDefault="00391981" w:rsidP="00391981">
      <w:pPr>
        <w:pStyle w:val="Heading4"/>
      </w:pPr>
      <w:bookmarkStart w:id="7" w:name="_Toc220768390"/>
      <w:r>
        <w:t>2.3. Persuasion to Return</w:t>
      </w:r>
      <w:bookmarkEnd w:id="7"/>
      <w:r>
        <w:t xml:space="preserve"> </w:t>
      </w:r>
    </w:p>
    <w:p w14:paraId="4C724451" w14:textId="592C09E6" w:rsidR="00E02991" w:rsidRPr="00FF6B43" w:rsidRDefault="00FF6B43" w:rsidP="00FF6B43">
      <w:pPr>
        <w:spacing w:line="264" w:lineRule="auto"/>
        <w:jc w:val="both"/>
        <w:rPr>
          <w:rFonts w:ascii="Calibri" w:hAnsi="Calibri" w:cs="Calibri"/>
          <w:sz w:val="22"/>
          <w:szCs w:val="22"/>
        </w:rPr>
      </w:pPr>
      <w:r>
        <w:rPr>
          <w:rFonts w:ascii="Calibri" w:hAnsi="Calibri" w:cs="Calibri"/>
          <w:sz w:val="22"/>
          <w:szCs w:val="22"/>
        </w:rPr>
        <w:t xml:space="preserve">32. </w:t>
      </w:r>
      <w:r w:rsidRPr="00FF6B43">
        <w:rPr>
          <w:rFonts w:ascii="Calibri" w:hAnsi="Calibri" w:cs="Calibri"/>
          <w:sz w:val="22"/>
          <w:szCs w:val="22"/>
        </w:rPr>
        <w:t>The methods for persuasion have been described in detail in our January 2022 report Involuntary</w:t>
      </w:r>
      <w:r>
        <w:rPr>
          <w:rFonts w:ascii="Calibri" w:hAnsi="Calibri" w:cs="Calibri"/>
          <w:sz w:val="22"/>
          <w:szCs w:val="22"/>
        </w:rPr>
        <w:t xml:space="preserve"> </w:t>
      </w:r>
      <w:r w:rsidRPr="00FF6B43">
        <w:rPr>
          <w:rFonts w:ascii="Calibri" w:hAnsi="Calibri" w:cs="Calibri"/>
          <w:sz w:val="22"/>
          <w:szCs w:val="22"/>
        </w:rPr>
        <w:t>Returns</w:t>
      </w:r>
      <w:r>
        <w:rPr>
          <w:rStyle w:val="FootnoteReference"/>
          <w:rFonts w:ascii="Calibri" w:hAnsi="Calibri" w:cs="Calibri"/>
          <w:sz w:val="22"/>
          <w:szCs w:val="22"/>
        </w:rPr>
        <w:footnoteReference w:id="18"/>
      </w:r>
      <w:r w:rsidRPr="00FF6B43">
        <w:rPr>
          <w:rFonts w:ascii="Calibri" w:hAnsi="Calibri" w:cs="Calibri"/>
          <w:sz w:val="22"/>
          <w:szCs w:val="22"/>
        </w:rPr>
        <w:t xml:space="preserve"> and include online surveillance, threats and harassment; surveillance, extensive</w:t>
      </w:r>
      <w:r>
        <w:rPr>
          <w:rFonts w:ascii="Calibri" w:hAnsi="Calibri" w:cs="Calibri"/>
          <w:sz w:val="22"/>
          <w:szCs w:val="22"/>
        </w:rPr>
        <w:t xml:space="preserve"> </w:t>
      </w:r>
      <w:r w:rsidRPr="00FF6B43">
        <w:rPr>
          <w:rFonts w:ascii="Calibri" w:hAnsi="Calibri" w:cs="Calibri"/>
          <w:sz w:val="22"/>
          <w:szCs w:val="22"/>
        </w:rPr>
        <w:t>interrogation and repeated visits of and to family members in China; collective</w:t>
      </w:r>
      <w:r>
        <w:rPr>
          <w:rFonts w:ascii="Calibri" w:hAnsi="Calibri" w:cs="Calibri"/>
          <w:sz w:val="22"/>
          <w:szCs w:val="22"/>
        </w:rPr>
        <w:t xml:space="preserve"> </w:t>
      </w:r>
      <w:r w:rsidRPr="00FF6B43">
        <w:rPr>
          <w:rFonts w:ascii="Calibri" w:hAnsi="Calibri" w:cs="Calibri"/>
          <w:sz w:val="22"/>
          <w:szCs w:val="22"/>
        </w:rPr>
        <w:t>punishment of</w:t>
      </w:r>
      <w:r>
        <w:rPr>
          <w:rFonts w:ascii="Calibri" w:hAnsi="Calibri" w:cs="Calibri"/>
          <w:sz w:val="22"/>
          <w:szCs w:val="22"/>
        </w:rPr>
        <w:t xml:space="preserve"> </w:t>
      </w:r>
      <w:r w:rsidRPr="00FF6B43">
        <w:rPr>
          <w:rFonts w:ascii="Calibri" w:hAnsi="Calibri" w:cs="Calibri"/>
          <w:sz w:val="22"/>
          <w:szCs w:val="22"/>
        </w:rPr>
        <w:t>relatives in China</w:t>
      </w:r>
      <w:r>
        <w:rPr>
          <w:rStyle w:val="FootnoteReference"/>
          <w:rFonts w:ascii="Calibri" w:hAnsi="Calibri" w:cs="Calibri"/>
          <w:sz w:val="22"/>
          <w:szCs w:val="22"/>
        </w:rPr>
        <w:footnoteReference w:id="19"/>
      </w:r>
      <w:r>
        <w:rPr>
          <w:rFonts w:ascii="Calibri" w:hAnsi="Calibri" w:cs="Calibri"/>
          <w:sz w:val="22"/>
          <w:szCs w:val="22"/>
        </w:rPr>
        <w:t xml:space="preserve"> (also </w:t>
      </w:r>
      <w:r>
        <w:rPr>
          <w:rFonts w:ascii="Calibri" w:hAnsi="Calibri" w:cs="Calibri"/>
          <w:sz w:val="22"/>
          <w:szCs w:val="22"/>
        </w:rPr>
        <w:lastRenderedPageBreak/>
        <w:t xml:space="preserve">see our report </w:t>
      </w:r>
      <w:r>
        <w:rPr>
          <w:rFonts w:ascii="Calibri" w:hAnsi="Calibri" w:cs="Calibri"/>
          <w:i/>
          <w:iCs/>
          <w:sz w:val="22"/>
          <w:szCs w:val="22"/>
        </w:rPr>
        <w:t>Families in Fear</w:t>
      </w:r>
      <w:r>
        <w:rPr>
          <w:rStyle w:val="FootnoteReference"/>
          <w:rFonts w:ascii="Calibri" w:hAnsi="Calibri" w:cs="Calibri"/>
          <w:i/>
          <w:iCs/>
          <w:sz w:val="22"/>
          <w:szCs w:val="22"/>
        </w:rPr>
        <w:footnoteReference w:id="20"/>
      </w:r>
      <w:r>
        <w:rPr>
          <w:rFonts w:ascii="Calibri" w:hAnsi="Calibri" w:cs="Calibri"/>
          <w:sz w:val="22"/>
          <w:szCs w:val="22"/>
        </w:rPr>
        <w:t>)</w:t>
      </w:r>
      <w:r w:rsidRPr="00FF6B43">
        <w:rPr>
          <w:rFonts w:ascii="Calibri" w:hAnsi="Calibri" w:cs="Calibri"/>
          <w:sz w:val="22"/>
          <w:szCs w:val="22"/>
        </w:rPr>
        <w:t>; or direct threats, surveillance and harassment of the target abroad by (undeclared)</w:t>
      </w:r>
      <w:r>
        <w:rPr>
          <w:rFonts w:ascii="Calibri" w:hAnsi="Calibri" w:cs="Calibri"/>
          <w:sz w:val="22"/>
          <w:szCs w:val="22"/>
        </w:rPr>
        <w:t xml:space="preserve"> </w:t>
      </w:r>
      <w:r w:rsidRPr="00FF6B43">
        <w:rPr>
          <w:rFonts w:ascii="Calibri" w:hAnsi="Calibri" w:cs="Calibri"/>
          <w:sz w:val="22"/>
          <w:szCs w:val="22"/>
        </w:rPr>
        <w:t>PRC agents or their proxies.</w:t>
      </w:r>
    </w:p>
    <w:p w14:paraId="0D08010E" w14:textId="40755C7C" w:rsidR="00FF6B43" w:rsidRPr="00FF6B43" w:rsidRDefault="00FF6B43" w:rsidP="00FF6B43">
      <w:pPr>
        <w:spacing w:line="264" w:lineRule="auto"/>
        <w:jc w:val="both"/>
        <w:rPr>
          <w:rFonts w:ascii="Calibri" w:hAnsi="Calibri" w:cs="Calibri"/>
          <w:sz w:val="22"/>
          <w:szCs w:val="22"/>
        </w:rPr>
      </w:pPr>
      <w:r>
        <w:rPr>
          <w:rFonts w:ascii="Calibri" w:hAnsi="Calibri" w:cs="Calibri"/>
          <w:sz w:val="22"/>
          <w:szCs w:val="22"/>
        </w:rPr>
        <w:t xml:space="preserve">33. </w:t>
      </w:r>
      <w:r w:rsidRPr="00FF6B43">
        <w:rPr>
          <w:rFonts w:ascii="Calibri" w:hAnsi="Calibri" w:cs="Calibri"/>
          <w:sz w:val="22"/>
          <w:szCs w:val="22"/>
        </w:rPr>
        <w:t xml:space="preserve">It is by far the most pervasive among the means deployed by </w:t>
      </w:r>
      <w:r>
        <w:rPr>
          <w:rFonts w:ascii="Calibri" w:hAnsi="Calibri" w:cs="Calibri"/>
          <w:sz w:val="22"/>
          <w:szCs w:val="22"/>
        </w:rPr>
        <w:t>Chinese</w:t>
      </w:r>
      <w:r w:rsidRPr="00FF6B43">
        <w:rPr>
          <w:rFonts w:ascii="Calibri" w:hAnsi="Calibri" w:cs="Calibri"/>
          <w:sz w:val="22"/>
          <w:szCs w:val="22"/>
        </w:rPr>
        <w:t xml:space="preserve"> authorities not only for their</w:t>
      </w:r>
      <w:r>
        <w:rPr>
          <w:rFonts w:ascii="Calibri" w:hAnsi="Calibri" w:cs="Calibri"/>
          <w:sz w:val="22"/>
          <w:szCs w:val="22"/>
        </w:rPr>
        <w:t xml:space="preserve"> </w:t>
      </w:r>
      <w:r w:rsidRPr="00FF6B43">
        <w:rPr>
          <w:rFonts w:ascii="Calibri" w:hAnsi="Calibri" w:cs="Calibri"/>
          <w:sz w:val="22"/>
          <w:szCs w:val="22"/>
        </w:rPr>
        <w:t>overseas pursuits, but for exercising long-arm control over the rapidly growing diaspora in general,</w:t>
      </w:r>
      <w:r>
        <w:rPr>
          <w:rFonts w:ascii="Calibri" w:hAnsi="Calibri" w:cs="Calibri"/>
          <w:sz w:val="22"/>
          <w:szCs w:val="22"/>
        </w:rPr>
        <w:t xml:space="preserve"> </w:t>
      </w:r>
      <w:r w:rsidRPr="00FF6B43">
        <w:rPr>
          <w:rFonts w:ascii="Calibri" w:hAnsi="Calibri" w:cs="Calibri"/>
          <w:sz w:val="22"/>
          <w:szCs w:val="22"/>
        </w:rPr>
        <w:t xml:space="preserve">creating a global </w:t>
      </w:r>
      <w:r w:rsidRPr="00FF6B43">
        <w:rPr>
          <w:rFonts w:ascii="Calibri" w:hAnsi="Calibri" w:cs="Calibri"/>
          <w:i/>
          <w:iCs/>
          <w:sz w:val="22"/>
          <w:szCs w:val="22"/>
        </w:rPr>
        <w:t xml:space="preserve">chilling effect </w:t>
      </w:r>
      <w:r w:rsidRPr="00FF6B43">
        <w:rPr>
          <w:rFonts w:ascii="Calibri" w:hAnsi="Calibri" w:cs="Calibri"/>
          <w:sz w:val="22"/>
          <w:szCs w:val="22"/>
        </w:rPr>
        <w:t>on their free expression.</w:t>
      </w:r>
    </w:p>
    <w:p w14:paraId="79B4D1DA" w14:textId="29304F75" w:rsidR="00FF6B43" w:rsidRDefault="00FF6B43" w:rsidP="00FF6B43">
      <w:pPr>
        <w:spacing w:line="264" w:lineRule="auto"/>
        <w:jc w:val="both"/>
        <w:rPr>
          <w:rFonts w:ascii="Calibri" w:hAnsi="Calibri" w:cs="Calibri"/>
          <w:sz w:val="22"/>
          <w:szCs w:val="22"/>
        </w:rPr>
      </w:pPr>
      <w:r>
        <w:rPr>
          <w:rFonts w:ascii="Calibri" w:hAnsi="Calibri" w:cs="Calibri"/>
          <w:sz w:val="22"/>
          <w:szCs w:val="22"/>
        </w:rPr>
        <w:t xml:space="preserve">34. </w:t>
      </w:r>
      <w:r w:rsidRPr="00FF6B43">
        <w:rPr>
          <w:rFonts w:ascii="Calibri" w:hAnsi="Calibri" w:cs="Calibri"/>
          <w:sz w:val="22"/>
          <w:szCs w:val="22"/>
        </w:rPr>
        <w:t>The same effect is obtained or enhanced through the inevitable ties that link overseas nationals to</w:t>
      </w:r>
      <w:r>
        <w:rPr>
          <w:rFonts w:ascii="Calibri" w:hAnsi="Calibri" w:cs="Calibri"/>
          <w:sz w:val="22"/>
          <w:szCs w:val="22"/>
        </w:rPr>
        <w:t xml:space="preserve"> </w:t>
      </w:r>
      <w:r w:rsidRPr="00FF6B43">
        <w:rPr>
          <w:rFonts w:ascii="Calibri" w:hAnsi="Calibri" w:cs="Calibri"/>
          <w:sz w:val="22"/>
          <w:szCs w:val="22"/>
        </w:rPr>
        <w:t>the State apparatus. Administrative sanctions such as the refusal to renew passports may not only</w:t>
      </w:r>
      <w:r>
        <w:rPr>
          <w:rFonts w:ascii="Calibri" w:hAnsi="Calibri" w:cs="Calibri"/>
          <w:sz w:val="22"/>
          <w:szCs w:val="22"/>
        </w:rPr>
        <w:t xml:space="preserve"> </w:t>
      </w:r>
      <w:r w:rsidRPr="00FF6B43">
        <w:rPr>
          <w:rFonts w:ascii="Calibri" w:hAnsi="Calibri" w:cs="Calibri"/>
          <w:sz w:val="22"/>
          <w:szCs w:val="22"/>
        </w:rPr>
        <w:t xml:space="preserve">come in handy for persuade to return </w:t>
      </w:r>
      <w:proofErr w:type="gramStart"/>
      <w:r w:rsidRPr="00FF6B43">
        <w:rPr>
          <w:rFonts w:ascii="Calibri" w:hAnsi="Calibri" w:cs="Calibri"/>
          <w:sz w:val="22"/>
          <w:szCs w:val="22"/>
        </w:rPr>
        <w:t>operations, but</w:t>
      </w:r>
      <w:proofErr w:type="gramEnd"/>
      <w:r w:rsidRPr="00FF6B43">
        <w:rPr>
          <w:rFonts w:ascii="Calibri" w:hAnsi="Calibri" w:cs="Calibri"/>
          <w:sz w:val="22"/>
          <w:szCs w:val="22"/>
        </w:rPr>
        <w:t xml:space="preserve"> also serve as a powerful deterrent to any</w:t>
      </w:r>
      <w:r>
        <w:rPr>
          <w:rFonts w:ascii="Calibri" w:hAnsi="Calibri" w:cs="Calibri"/>
          <w:sz w:val="22"/>
          <w:szCs w:val="22"/>
        </w:rPr>
        <w:t xml:space="preserve"> </w:t>
      </w:r>
      <w:r w:rsidRPr="00FF6B43">
        <w:rPr>
          <w:rFonts w:ascii="Calibri" w:hAnsi="Calibri" w:cs="Calibri"/>
          <w:sz w:val="22"/>
          <w:szCs w:val="22"/>
        </w:rPr>
        <w:t>Chinese national residing abroad: every so many years, they are forced to engage with authorities</w:t>
      </w:r>
      <w:r>
        <w:rPr>
          <w:rFonts w:ascii="Calibri" w:hAnsi="Calibri" w:cs="Calibri"/>
          <w:sz w:val="22"/>
          <w:szCs w:val="22"/>
        </w:rPr>
        <w:t xml:space="preserve"> </w:t>
      </w:r>
      <w:r w:rsidRPr="00FF6B43">
        <w:rPr>
          <w:rFonts w:ascii="Calibri" w:hAnsi="Calibri" w:cs="Calibri"/>
          <w:sz w:val="22"/>
          <w:szCs w:val="22"/>
        </w:rPr>
        <w:t>bo</w:t>
      </w:r>
      <w:r>
        <w:rPr>
          <w:rFonts w:ascii="Calibri" w:hAnsi="Calibri" w:cs="Calibri"/>
          <w:sz w:val="22"/>
          <w:szCs w:val="22"/>
        </w:rPr>
        <w:t>o</w:t>
      </w:r>
      <w:r w:rsidRPr="00FF6B43">
        <w:rPr>
          <w:rFonts w:ascii="Calibri" w:hAnsi="Calibri" w:cs="Calibri"/>
          <w:sz w:val="22"/>
          <w:szCs w:val="22"/>
        </w:rPr>
        <w:t>sting their ability to keep an eye on community activities.</w:t>
      </w:r>
    </w:p>
    <w:p w14:paraId="0372D7E5" w14:textId="275DB6C5" w:rsidR="00FF6B43" w:rsidRPr="00FF6B43" w:rsidRDefault="00FF6B43" w:rsidP="00FF6B43">
      <w:pPr>
        <w:spacing w:line="264" w:lineRule="auto"/>
        <w:jc w:val="both"/>
        <w:rPr>
          <w:rFonts w:ascii="Calibri" w:hAnsi="Calibri" w:cs="Calibri"/>
          <w:sz w:val="22"/>
          <w:szCs w:val="22"/>
        </w:rPr>
      </w:pPr>
      <w:r>
        <w:rPr>
          <w:rFonts w:ascii="Calibri" w:hAnsi="Calibri" w:cs="Calibri"/>
          <w:sz w:val="22"/>
          <w:szCs w:val="22"/>
        </w:rPr>
        <w:t xml:space="preserve">35. By all official accounts, </w:t>
      </w:r>
      <w:r>
        <w:rPr>
          <w:rFonts w:ascii="Calibri" w:hAnsi="Calibri" w:cs="Calibri"/>
          <w:i/>
          <w:iCs/>
          <w:sz w:val="22"/>
          <w:szCs w:val="22"/>
        </w:rPr>
        <w:t xml:space="preserve">persuasion </w:t>
      </w:r>
      <w:r>
        <w:rPr>
          <w:rFonts w:ascii="Calibri" w:hAnsi="Calibri" w:cs="Calibri"/>
          <w:sz w:val="22"/>
          <w:szCs w:val="22"/>
        </w:rPr>
        <w:t xml:space="preserve">accounts for </w:t>
      </w:r>
      <w:proofErr w:type="gramStart"/>
      <w:r>
        <w:rPr>
          <w:rFonts w:ascii="Calibri" w:hAnsi="Calibri" w:cs="Calibri"/>
          <w:sz w:val="22"/>
          <w:szCs w:val="22"/>
        </w:rPr>
        <w:t>the vast majority of</w:t>
      </w:r>
      <w:proofErr w:type="gramEnd"/>
      <w:r>
        <w:rPr>
          <w:rFonts w:ascii="Calibri" w:hAnsi="Calibri" w:cs="Calibri"/>
          <w:sz w:val="22"/>
          <w:szCs w:val="22"/>
        </w:rPr>
        <w:t xml:space="preserve"> forced returns to China. As the Central Commission for Discipline Inspection put it in April 2019: </w:t>
      </w:r>
      <w:r w:rsidRPr="00FF6B43">
        <w:rPr>
          <w:rFonts w:ascii="Calibri" w:hAnsi="Calibri" w:cs="Calibri"/>
          <w:i/>
          <w:iCs/>
          <w:sz w:val="22"/>
          <w:szCs w:val="22"/>
        </w:rPr>
        <w:t>“The means for fugitive pursuit are relatively singular. Most of them are persuasion to return.”</w:t>
      </w:r>
      <w:r>
        <w:rPr>
          <w:rStyle w:val="FootnoteReference"/>
          <w:rFonts w:ascii="Calibri" w:hAnsi="Calibri" w:cs="Calibri"/>
          <w:i/>
          <w:iCs/>
          <w:sz w:val="22"/>
          <w:szCs w:val="22"/>
        </w:rPr>
        <w:footnoteReference w:id="21"/>
      </w:r>
    </w:p>
    <w:p w14:paraId="3FFA61CF" w14:textId="0B4C1837" w:rsidR="00E02991" w:rsidRDefault="00FF6B43" w:rsidP="00E02991">
      <w:pPr>
        <w:spacing w:line="264" w:lineRule="auto"/>
        <w:jc w:val="both"/>
        <w:rPr>
          <w:rFonts w:ascii="Calibri" w:hAnsi="Calibri" w:cs="Calibri"/>
          <w:sz w:val="22"/>
          <w:szCs w:val="22"/>
        </w:rPr>
      </w:pPr>
      <w:r>
        <w:rPr>
          <w:rFonts w:ascii="Calibri" w:hAnsi="Calibri" w:cs="Calibri"/>
          <w:sz w:val="22"/>
          <w:szCs w:val="22"/>
        </w:rPr>
        <w:t>36. Individuals targeted by this method have no judicial or administrative recourse against their refoulement whatsoever</w:t>
      </w:r>
      <w:r w:rsidR="00E02991">
        <w:rPr>
          <w:rFonts w:ascii="Calibri" w:hAnsi="Calibri" w:cs="Calibri"/>
          <w:sz w:val="22"/>
          <w:szCs w:val="22"/>
        </w:rPr>
        <w:t xml:space="preserve">. Unless their coerced return is used in publicity campaigns – violating privacy laws and the right to a fair trial -, information on their fate or successive whereabouts is </w:t>
      </w:r>
      <w:proofErr w:type="gramStart"/>
      <w:r w:rsidR="00E02991">
        <w:rPr>
          <w:rFonts w:ascii="Calibri" w:hAnsi="Calibri" w:cs="Calibri"/>
          <w:sz w:val="22"/>
          <w:szCs w:val="22"/>
        </w:rPr>
        <w:t>more often than not</w:t>
      </w:r>
      <w:proofErr w:type="gramEnd"/>
      <w:r w:rsidR="00E02991">
        <w:rPr>
          <w:rFonts w:ascii="Calibri" w:hAnsi="Calibri" w:cs="Calibri"/>
          <w:sz w:val="22"/>
          <w:szCs w:val="22"/>
        </w:rPr>
        <w:t xml:space="preserve"> lacking in the short to medium term. </w:t>
      </w:r>
    </w:p>
    <w:p w14:paraId="2DAE8A6C" w14:textId="1C54D09C" w:rsidR="00840AC2" w:rsidRPr="00E02991" w:rsidRDefault="00E02991" w:rsidP="00E02991">
      <w:pPr>
        <w:spacing w:line="264" w:lineRule="auto"/>
        <w:jc w:val="both"/>
        <w:rPr>
          <w:rFonts w:ascii="Calibri" w:hAnsi="Calibri" w:cs="Calibri"/>
          <w:sz w:val="22"/>
          <w:szCs w:val="22"/>
        </w:rPr>
      </w:pPr>
      <w:r>
        <w:rPr>
          <w:rFonts w:ascii="Calibri" w:hAnsi="Calibri" w:cs="Calibri"/>
          <w:sz w:val="22"/>
          <w:szCs w:val="22"/>
        </w:rPr>
        <w:t xml:space="preserve">37. </w:t>
      </w:r>
      <w:r w:rsidR="00FF6B43">
        <w:rPr>
          <w:rFonts w:ascii="Calibri" w:hAnsi="Calibri" w:cs="Calibri"/>
          <w:sz w:val="22"/>
          <w:szCs w:val="22"/>
        </w:rPr>
        <w:t xml:space="preserve">It should be of particular concern that Chinese authorities actively seek to inscribe such methods in bi- and multilateral cooperation mechanisms. For example, </w:t>
      </w:r>
      <w:r w:rsidR="00BD3AAC">
        <w:rPr>
          <w:rFonts w:ascii="Calibri" w:hAnsi="Calibri" w:cs="Calibri"/>
          <w:sz w:val="22"/>
          <w:szCs w:val="22"/>
        </w:rPr>
        <w:t>i</w:t>
      </w:r>
      <w:r w:rsidR="00FF6B43" w:rsidRPr="00FF6B43">
        <w:rPr>
          <w:rFonts w:ascii="Calibri" w:hAnsi="Calibri" w:cs="Calibri"/>
          <w:sz w:val="22"/>
          <w:szCs w:val="22"/>
        </w:rPr>
        <w:t>n 2016, in relation to the G20 High-Level Principles on Cooperation on Persons Sought for Corruption</w:t>
      </w:r>
      <w:r w:rsidR="00FF6B43">
        <w:rPr>
          <w:rFonts w:ascii="Calibri" w:hAnsi="Calibri" w:cs="Calibri"/>
          <w:sz w:val="22"/>
          <w:szCs w:val="22"/>
        </w:rPr>
        <w:t xml:space="preserve"> </w:t>
      </w:r>
      <w:r w:rsidR="00FF6B43" w:rsidRPr="00FF6B43">
        <w:rPr>
          <w:rFonts w:ascii="Calibri" w:hAnsi="Calibri" w:cs="Calibri"/>
          <w:sz w:val="22"/>
          <w:szCs w:val="22"/>
        </w:rPr>
        <w:t>and Asset Recovery, then Deputy Director of the CCDI’s International Cooperation Bureau Cai Wei</w:t>
      </w:r>
      <w:r w:rsidR="00FF6B43">
        <w:rPr>
          <w:rFonts w:ascii="Calibri" w:hAnsi="Calibri" w:cs="Calibri"/>
          <w:sz w:val="22"/>
          <w:szCs w:val="22"/>
        </w:rPr>
        <w:t xml:space="preserve"> </w:t>
      </w:r>
      <w:r w:rsidR="00FF6B43" w:rsidRPr="00FF6B43">
        <w:rPr>
          <w:rFonts w:ascii="Calibri" w:hAnsi="Calibri" w:cs="Calibri"/>
          <w:sz w:val="22"/>
          <w:szCs w:val="22"/>
        </w:rPr>
        <w:t xml:space="preserve">stipulated that its </w:t>
      </w:r>
      <w:r w:rsidR="00FF6B43" w:rsidRPr="00FF6B43">
        <w:rPr>
          <w:rFonts w:ascii="Calibri" w:hAnsi="Calibri" w:cs="Calibri"/>
          <w:i/>
          <w:iCs/>
          <w:sz w:val="22"/>
          <w:szCs w:val="22"/>
        </w:rPr>
        <w:t>“articles 6 to 10 are focused on the operational level, requiring each member country to create favorable conditions for fugitive recovery and asset recovery efforts. This includes conducting cooperation in areas such as information and intelligence exchange, individual case collaboration, persuasion for return, and asset restitution.”</w:t>
      </w:r>
      <w:r w:rsidR="00FF6B43">
        <w:rPr>
          <w:rStyle w:val="FootnoteReference"/>
          <w:rFonts w:ascii="Calibri" w:hAnsi="Calibri" w:cs="Calibri"/>
          <w:i/>
          <w:iCs/>
          <w:sz w:val="22"/>
          <w:szCs w:val="22"/>
        </w:rPr>
        <w:footnoteReference w:id="22"/>
      </w:r>
    </w:p>
    <w:p w14:paraId="78100674" w14:textId="0C42F2DB" w:rsidR="00926D53" w:rsidRDefault="00840AC2" w:rsidP="00EA3A86">
      <w:pPr>
        <w:pStyle w:val="Heading3"/>
      </w:pPr>
      <w:bookmarkStart w:id="8" w:name="_Toc220768391"/>
      <w:r>
        <w:t xml:space="preserve">3. </w:t>
      </w:r>
      <w:r w:rsidR="00EA3A86">
        <w:t>Operations</w:t>
      </w:r>
      <w:r>
        <w:t xml:space="preserve"> and Official Numbers</w:t>
      </w:r>
      <w:bookmarkEnd w:id="8"/>
    </w:p>
    <w:p w14:paraId="2DF98B5A" w14:textId="77777777" w:rsidR="00E02991" w:rsidRDefault="00E02991" w:rsidP="00FF6B43">
      <w:pPr>
        <w:spacing w:line="264" w:lineRule="auto"/>
        <w:jc w:val="both"/>
        <w:rPr>
          <w:rFonts w:ascii="Calibri" w:hAnsi="Calibri" w:cs="Calibri"/>
          <w:sz w:val="22"/>
          <w:szCs w:val="22"/>
        </w:rPr>
      </w:pPr>
      <w:r>
        <w:rPr>
          <w:rFonts w:ascii="Calibri" w:hAnsi="Calibri" w:cs="Calibri"/>
          <w:sz w:val="22"/>
          <w:szCs w:val="22"/>
        </w:rPr>
        <w:t xml:space="preserve">38. Given the persistent lack of independent international access to the country and the growing lack of transparency in official data, no exhaustive overview of active operations using the CCDI’s mandated methods or the effective numbers of forced returns is available. </w:t>
      </w:r>
    </w:p>
    <w:p w14:paraId="24BD623F" w14:textId="430A2C82" w:rsidR="00E02991" w:rsidRDefault="00E02991" w:rsidP="00FF6B43">
      <w:pPr>
        <w:spacing w:line="264" w:lineRule="auto"/>
        <w:jc w:val="both"/>
        <w:rPr>
          <w:rFonts w:ascii="Calibri" w:hAnsi="Calibri" w:cs="Calibri"/>
          <w:sz w:val="22"/>
          <w:szCs w:val="22"/>
        </w:rPr>
      </w:pPr>
      <w:r>
        <w:rPr>
          <w:rFonts w:ascii="Calibri" w:hAnsi="Calibri" w:cs="Calibri"/>
          <w:sz w:val="22"/>
          <w:szCs w:val="22"/>
        </w:rPr>
        <w:t xml:space="preserve">39. However, official information is occasionally made public as a means of propaganda and/or to instill fear in the wider community.  An additional source of (partial) information are annual work reports by the Central Commission for Discipline Inspection or statements by the Supreme People’s Court.  </w:t>
      </w:r>
    </w:p>
    <w:p w14:paraId="4B8EAC81" w14:textId="4D9046D2" w:rsidR="00E02991" w:rsidRDefault="00E02991" w:rsidP="00E02991">
      <w:pPr>
        <w:spacing w:line="264" w:lineRule="auto"/>
        <w:jc w:val="both"/>
        <w:rPr>
          <w:rFonts w:ascii="Calibri" w:hAnsi="Calibri" w:cs="Calibri"/>
          <w:sz w:val="22"/>
          <w:szCs w:val="22"/>
        </w:rPr>
      </w:pPr>
      <w:r>
        <w:rPr>
          <w:rFonts w:ascii="Calibri" w:hAnsi="Calibri" w:cs="Calibri"/>
          <w:sz w:val="22"/>
          <w:szCs w:val="22"/>
        </w:rPr>
        <w:t xml:space="preserve">40. Such annual reports include regular numbers on the “success” rate of Operation Fox Hunt and overarching operation Sky Net, the extra-territorial arm of Xi Jinping’s signature </w:t>
      </w:r>
      <w:r>
        <w:rPr>
          <w:rFonts w:ascii="Calibri" w:hAnsi="Calibri" w:cs="Calibri"/>
          <w:i/>
          <w:iCs/>
          <w:sz w:val="22"/>
          <w:szCs w:val="22"/>
        </w:rPr>
        <w:t xml:space="preserve">anti-corruption </w:t>
      </w:r>
      <w:r>
        <w:rPr>
          <w:rFonts w:ascii="Calibri" w:hAnsi="Calibri" w:cs="Calibri"/>
          <w:sz w:val="22"/>
          <w:szCs w:val="22"/>
        </w:rPr>
        <w:t xml:space="preserve">drive led </w:t>
      </w:r>
      <w:r>
        <w:rPr>
          <w:rFonts w:ascii="Calibri" w:hAnsi="Calibri" w:cs="Calibri"/>
          <w:sz w:val="22"/>
          <w:szCs w:val="22"/>
        </w:rPr>
        <w:lastRenderedPageBreak/>
        <w:t xml:space="preserve">by the Central Commission for Discipline Inspection (CCDI) and its State front the National Commission of Supervision established under the 2018 Supervision Law. </w:t>
      </w:r>
    </w:p>
    <w:p w14:paraId="78686E06" w14:textId="436407DF" w:rsidR="00E02991" w:rsidRPr="00E02991" w:rsidRDefault="00E02991" w:rsidP="00E02991">
      <w:pPr>
        <w:spacing w:line="264" w:lineRule="auto"/>
        <w:jc w:val="both"/>
        <w:rPr>
          <w:rFonts w:ascii="Calibri" w:hAnsi="Calibri" w:cs="Calibri"/>
          <w:sz w:val="22"/>
          <w:szCs w:val="22"/>
        </w:rPr>
      </w:pPr>
      <w:r>
        <w:rPr>
          <w:rFonts w:ascii="Calibri" w:hAnsi="Calibri" w:cs="Calibri"/>
          <w:sz w:val="22"/>
          <w:szCs w:val="22"/>
        </w:rPr>
        <w:t xml:space="preserve">41. International observers have consistently expressed concern over the exact nature of that campaign. While corruption is without doubt a persistent issue in China, the drive appear – at least in part – motivated by political reasons. Perhaps it is best expressed by the CCDI itself in a 2024 Communiqué - </w:t>
      </w:r>
      <w:r w:rsidRPr="00E02991">
        <w:rPr>
          <w:rFonts w:ascii="Calibri" w:hAnsi="Calibri" w:cs="Calibri"/>
          <w:i/>
          <w:iCs/>
          <w:sz w:val="22"/>
          <w:szCs w:val="22"/>
        </w:rPr>
        <w:t>“Put the political discipline and political rules of the Party in a prominent position, focus on political loyalty, political security, political responsibility and intra-party political life, resolutely correct political deviations, and eliminate political hidden dangers in a timely manner”</w:t>
      </w:r>
      <w:r w:rsidR="00A81DDB">
        <w:rPr>
          <w:rStyle w:val="FootnoteReference"/>
          <w:rFonts w:ascii="Calibri" w:hAnsi="Calibri" w:cs="Calibri"/>
          <w:i/>
          <w:iCs/>
          <w:sz w:val="22"/>
          <w:szCs w:val="22"/>
        </w:rPr>
        <w:footnoteReference w:id="23"/>
      </w:r>
      <w:r>
        <w:rPr>
          <w:rFonts w:ascii="Calibri" w:hAnsi="Calibri" w:cs="Calibri"/>
          <w:sz w:val="22"/>
          <w:szCs w:val="22"/>
        </w:rPr>
        <w:t xml:space="preserve"> -, or in its</w:t>
      </w:r>
      <w:r w:rsidRPr="00E02991">
        <w:rPr>
          <w:rFonts w:ascii="Calibri" w:hAnsi="Calibri" w:cs="Calibri"/>
          <w:sz w:val="22"/>
          <w:szCs w:val="22"/>
        </w:rPr>
        <w:t xml:space="preserve"> </w:t>
      </w:r>
      <w:r>
        <w:rPr>
          <w:rFonts w:ascii="Calibri" w:hAnsi="Calibri" w:cs="Calibri"/>
          <w:sz w:val="22"/>
          <w:szCs w:val="22"/>
        </w:rPr>
        <w:t>2023</w:t>
      </w:r>
      <w:r w:rsidRPr="00E02991">
        <w:rPr>
          <w:rFonts w:ascii="Calibri" w:hAnsi="Calibri" w:cs="Calibri"/>
          <w:sz w:val="22"/>
          <w:szCs w:val="22"/>
        </w:rPr>
        <w:t xml:space="preserve"> annual work report </w:t>
      </w:r>
      <w:r>
        <w:rPr>
          <w:rFonts w:ascii="Calibri" w:hAnsi="Calibri" w:cs="Calibri"/>
          <w:sz w:val="22"/>
          <w:szCs w:val="22"/>
        </w:rPr>
        <w:t xml:space="preserve">where it </w:t>
      </w:r>
      <w:r w:rsidRPr="00E02991">
        <w:rPr>
          <w:rFonts w:ascii="Calibri" w:hAnsi="Calibri" w:cs="Calibri"/>
          <w:sz w:val="22"/>
          <w:szCs w:val="22"/>
        </w:rPr>
        <w:t xml:space="preserve">stresses its task of </w:t>
      </w:r>
      <w:r w:rsidRPr="00E02991">
        <w:rPr>
          <w:rFonts w:ascii="Calibri" w:hAnsi="Calibri" w:cs="Calibri"/>
          <w:i/>
          <w:iCs/>
          <w:sz w:val="22"/>
          <w:szCs w:val="22"/>
        </w:rPr>
        <w:t>“forging strong political consciousness, ideological consciousness and action consciousness of loyalty to the Party”</w:t>
      </w:r>
      <w:r>
        <w:rPr>
          <w:rFonts w:ascii="Calibri" w:hAnsi="Calibri" w:cs="Calibri"/>
          <w:sz w:val="22"/>
          <w:szCs w:val="22"/>
        </w:rPr>
        <w:t>.</w:t>
      </w:r>
      <w:r w:rsidRPr="00E02991">
        <w:rPr>
          <w:rStyle w:val="FootnoteReference"/>
          <w:rFonts w:ascii="Calibri" w:hAnsi="Calibri" w:cs="Calibri"/>
          <w:sz w:val="22"/>
          <w:szCs w:val="22"/>
        </w:rPr>
        <w:footnoteReference w:id="24"/>
      </w:r>
    </w:p>
    <w:p w14:paraId="6BF2FCD4" w14:textId="64D706D9" w:rsidR="00E02991" w:rsidRDefault="00E02991" w:rsidP="00FF6B43">
      <w:pPr>
        <w:spacing w:line="264" w:lineRule="auto"/>
        <w:jc w:val="both"/>
        <w:rPr>
          <w:rFonts w:ascii="Calibri" w:hAnsi="Calibri" w:cs="Calibri"/>
          <w:sz w:val="22"/>
          <w:szCs w:val="22"/>
        </w:rPr>
      </w:pPr>
      <w:r>
        <w:rPr>
          <w:rFonts w:ascii="Calibri" w:hAnsi="Calibri" w:cs="Calibri"/>
          <w:sz w:val="22"/>
          <w:szCs w:val="22"/>
        </w:rPr>
        <w:t xml:space="preserve">42. </w:t>
      </w:r>
      <w:r w:rsidR="00D5572F">
        <w:rPr>
          <w:rFonts w:ascii="Calibri" w:hAnsi="Calibri" w:cs="Calibri"/>
          <w:sz w:val="22"/>
          <w:szCs w:val="22"/>
        </w:rPr>
        <w:t xml:space="preserve">Based on official (partial) data, </w:t>
      </w:r>
      <w:r w:rsidR="00D5572F">
        <w:rPr>
          <w:rFonts w:ascii="Calibri" w:hAnsi="Calibri" w:cs="Calibri"/>
          <w:i/>
          <w:iCs/>
          <w:sz w:val="22"/>
          <w:szCs w:val="22"/>
        </w:rPr>
        <w:t xml:space="preserve">at least </w:t>
      </w:r>
      <w:r w:rsidR="00D5572F" w:rsidRPr="00D5572F">
        <w:rPr>
          <w:rFonts w:ascii="Calibri" w:hAnsi="Calibri" w:cs="Calibri"/>
          <w:sz w:val="22"/>
          <w:szCs w:val="22"/>
        </w:rPr>
        <w:t>13,889</w:t>
      </w:r>
      <w:r w:rsidR="00D5572F">
        <w:rPr>
          <w:rFonts w:ascii="Calibri" w:hAnsi="Calibri" w:cs="Calibri"/>
          <w:i/>
          <w:iCs/>
          <w:sz w:val="22"/>
          <w:szCs w:val="22"/>
        </w:rPr>
        <w:t xml:space="preserve"> </w:t>
      </w:r>
      <w:r w:rsidR="00D5572F">
        <w:rPr>
          <w:rFonts w:ascii="Calibri" w:hAnsi="Calibri" w:cs="Calibri"/>
          <w:sz w:val="22"/>
          <w:szCs w:val="22"/>
        </w:rPr>
        <w:t xml:space="preserve">individuals have been forcefully returned to China from </w:t>
      </w:r>
      <w:r w:rsidR="00D5572F" w:rsidRPr="00D5572F">
        <w:rPr>
          <w:rFonts w:ascii="Calibri" w:hAnsi="Calibri" w:cs="Calibri"/>
          <w:i/>
          <w:iCs/>
          <w:sz w:val="22"/>
          <w:szCs w:val="22"/>
        </w:rPr>
        <w:t>“over 120 countries and regions”</w:t>
      </w:r>
      <w:r w:rsidR="00D5572F">
        <w:rPr>
          <w:rFonts w:ascii="Calibri" w:hAnsi="Calibri" w:cs="Calibri"/>
          <w:sz w:val="22"/>
          <w:szCs w:val="22"/>
        </w:rPr>
        <w:t xml:space="preserve"> since the start of Operation Fox Hunt in the second half of 2014</w:t>
      </w:r>
      <w:r w:rsidR="00D5572F">
        <w:rPr>
          <w:rStyle w:val="FootnoteReference"/>
          <w:rFonts w:ascii="Calibri" w:hAnsi="Calibri" w:cs="Calibri"/>
          <w:sz w:val="22"/>
          <w:szCs w:val="22"/>
        </w:rPr>
        <w:footnoteReference w:id="25"/>
      </w:r>
      <w:r w:rsidR="00D5572F">
        <w:rPr>
          <w:rFonts w:ascii="Calibri" w:hAnsi="Calibri" w:cs="Calibri"/>
          <w:sz w:val="22"/>
          <w:szCs w:val="22"/>
        </w:rPr>
        <w:t xml:space="preserve"> and the latest annual report for 2024</w:t>
      </w:r>
      <w:r w:rsidR="00D5572F">
        <w:rPr>
          <w:rStyle w:val="FootnoteReference"/>
          <w:rFonts w:ascii="Calibri" w:hAnsi="Calibri" w:cs="Calibri"/>
          <w:sz w:val="22"/>
          <w:szCs w:val="22"/>
        </w:rPr>
        <w:footnoteReference w:id="26"/>
      </w:r>
      <w:r w:rsidR="00D5572F">
        <w:rPr>
          <w:rFonts w:ascii="Calibri" w:hAnsi="Calibri" w:cs="Calibri"/>
          <w:sz w:val="22"/>
          <w:szCs w:val="22"/>
        </w:rPr>
        <w:t xml:space="preserve">. </w:t>
      </w:r>
    </w:p>
    <w:p w14:paraId="36744B0A" w14:textId="28BE7E20" w:rsidR="00D5572F" w:rsidRDefault="00D5572F" w:rsidP="00D5572F">
      <w:pPr>
        <w:spacing w:line="264" w:lineRule="auto"/>
        <w:jc w:val="both"/>
        <w:rPr>
          <w:rFonts w:ascii="Calibri" w:hAnsi="Calibri" w:cs="Calibri"/>
          <w:sz w:val="22"/>
          <w:szCs w:val="22"/>
        </w:rPr>
      </w:pPr>
      <w:r>
        <w:rPr>
          <w:rFonts w:ascii="Calibri" w:hAnsi="Calibri" w:cs="Calibri"/>
          <w:sz w:val="22"/>
          <w:szCs w:val="22"/>
        </w:rPr>
        <w:t xml:space="preserve">43. Other partial data points to (temporary) operations with an even vaster scope. For example, in response to the endemic crime of telecom fraud – also related to human trafficking -, in 2019 public security authorities launched </w:t>
      </w:r>
      <w:r w:rsidRPr="00D5572F">
        <w:rPr>
          <w:rFonts w:ascii="Calibri" w:hAnsi="Calibri" w:cs="Calibri"/>
          <w:sz w:val="22"/>
          <w:szCs w:val="22"/>
        </w:rPr>
        <w:t>Operation Cloud Sword</w:t>
      </w:r>
      <w:r>
        <w:rPr>
          <w:rFonts w:ascii="Calibri" w:hAnsi="Calibri" w:cs="Calibri"/>
          <w:sz w:val="22"/>
          <w:szCs w:val="22"/>
        </w:rPr>
        <w:t xml:space="preserve">, leading to the </w:t>
      </w:r>
      <w:r w:rsidRPr="00D5572F">
        <w:rPr>
          <w:rFonts w:ascii="Calibri" w:hAnsi="Calibri" w:cs="Calibri"/>
          <w:sz w:val="22"/>
          <w:szCs w:val="22"/>
        </w:rPr>
        <w:t>mass persuaded return of no less than 230,000</w:t>
      </w:r>
      <w:r>
        <w:rPr>
          <w:rFonts w:ascii="Calibri" w:hAnsi="Calibri" w:cs="Calibri"/>
          <w:sz w:val="22"/>
          <w:szCs w:val="22"/>
        </w:rPr>
        <w:t xml:space="preserve"> </w:t>
      </w:r>
      <w:r w:rsidRPr="00D5572F">
        <w:rPr>
          <w:rFonts w:ascii="Calibri" w:hAnsi="Calibri" w:cs="Calibri"/>
          <w:sz w:val="22"/>
          <w:szCs w:val="22"/>
        </w:rPr>
        <w:t>individuals between April 2021 and July 2022 alone</w:t>
      </w:r>
      <w:r>
        <w:rPr>
          <w:rFonts w:ascii="Calibri" w:hAnsi="Calibri" w:cs="Calibri"/>
          <w:sz w:val="22"/>
          <w:szCs w:val="22"/>
        </w:rPr>
        <w:t>.</w:t>
      </w:r>
      <w:r>
        <w:rPr>
          <w:rStyle w:val="FootnoteReference"/>
          <w:rFonts w:ascii="Calibri" w:hAnsi="Calibri" w:cs="Calibri"/>
          <w:sz w:val="22"/>
          <w:szCs w:val="22"/>
        </w:rPr>
        <w:footnoteReference w:id="27"/>
      </w:r>
      <w:r>
        <w:rPr>
          <w:rFonts w:ascii="Calibri" w:hAnsi="Calibri" w:cs="Calibri"/>
          <w:sz w:val="22"/>
          <w:szCs w:val="22"/>
        </w:rPr>
        <w:t xml:space="preserve"> </w:t>
      </w:r>
    </w:p>
    <w:p w14:paraId="01196F2D" w14:textId="7E9FBE4F" w:rsidR="002B644B" w:rsidRPr="002B644B" w:rsidRDefault="002B644B" w:rsidP="002B644B">
      <w:pPr>
        <w:spacing w:line="264" w:lineRule="auto"/>
        <w:jc w:val="both"/>
        <w:rPr>
          <w:rFonts w:ascii="Calibri" w:hAnsi="Calibri" w:cs="Calibri"/>
          <w:sz w:val="22"/>
          <w:szCs w:val="22"/>
        </w:rPr>
      </w:pPr>
      <w:r>
        <w:rPr>
          <w:rFonts w:ascii="Calibri" w:hAnsi="Calibri" w:cs="Calibri"/>
          <w:sz w:val="22"/>
          <w:szCs w:val="22"/>
        </w:rPr>
        <w:t xml:space="preserve">44. Very little information is usually made available on the ensuing fate of these subjects. Once returned, individuals are or can be subjected to the conditions against which the CAT warns in its General Comment No. 4, including the risk of enforced disappearances. This is the case </w:t>
      </w:r>
      <w:proofErr w:type="gramStart"/>
      <w:r>
        <w:rPr>
          <w:rFonts w:ascii="Calibri" w:hAnsi="Calibri" w:cs="Calibri"/>
          <w:sz w:val="22"/>
          <w:szCs w:val="22"/>
        </w:rPr>
        <w:t>in particular for</w:t>
      </w:r>
      <w:proofErr w:type="gramEnd"/>
      <w:r>
        <w:rPr>
          <w:rFonts w:ascii="Calibri" w:hAnsi="Calibri" w:cs="Calibri"/>
          <w:sz w:val="22"/>
          <w:szCs w:val="22"/>
        </w:rPr>
        <w:t xml:space="preserve"> individuals targeted under financial crimes or </w:t>
      </w:r>
      <w:r>
        <w:rPr>
          <w:rFonts w:ascii="Calibri" w:hAnsi="Calibri" w:cs="Calibri"/>
          <w:i/>
          <w:iCs/>
          <w:sz w:val="22"/>
          <w:szCs w:val="22"/>
        </w:rPr>
        <w:t xml:space="preserve">corruption </w:t>
      </w:r>
      <w:r>
        <w:rPr>
          <w:rFonts w:ascii="Calibri" w:hAnsi="Calibri" w:cs="Calibri"/>
          <w:sz w:val="22"/>
          <w:szCs w:val="22"/>
        </w:rPr>
        <w:t xml:space="preserve">charges – often the case for former officials and whistleblowers – as these cases fall directly under the provisions of the Supervision Law. </w:t>
      </w:r>
    </w:p>
    <w:p w14:paraId="47CAB3E4" w14:textId="33B68BF7" w:rsidR="002B644B" w:rsidRDefault="002B644B" w:rsidP="002B644B">
      <w:pPr>
        <w:spacing w:line="264" w:lineRule="auto"/>
        <w:jc w:val="both"/>
        <w:rPr>
          <w:rFonts w:ascii="Calibri" w:hAnsi="Calibri" w:cs="Calibri"/>
          <w:sz w:val="22"/>
          <w:szCs w:val="22"/>
        </w:rPr>
      </w:pPr>
      <w:r>
        <w:rPr>
          <w:rFonts w:ascii="Calibri" w:hAnsi="Calibri" w:cs="Calibri"/>
          <w:sz w:val="22"/>
          <w:szCs w:val="22"/>
        </w:rPr>
        <w:t xml:space="preserve">45. Official policies, including the above-cited Supervision Law provide for prolonged periods of solitary arbitrary detention at secret locations which have been repeatedly denounced by UN human rights mechanisms as </w:t>
      </w:r>
      <w:r w:rsidRPr="00D5572F">
        <w:rPr>
          <w:rFonts w:ascii="Calibri" w:hAnsi="Calibri" w:cs="Calibri"/>
          <w:i/>
          <w:iCs/>
          <w:sz w:val="22"/>
          <w:szCs w:val="22"/>
        </w:rPr>
        <w:t>tantamount to enforced disappearances</w:t>
      </w:r>
      <w:r>
        <w:rPr>
          <w:rFonts w:ascii="Calibri" w:hAnsi="Calibri" w:cs="Calibri"/>
          <w:sz w:val="22"/>
          <w:szCs w:val="22"/>
        </w:rPr>
        <w:t xml:space="preserve">. This includes </w:t>
      </w:r>
      <w:r>
        <w:rPr>
          <w:rFonts w:ascii="Calibri" w:hAnsi="Calibri" w:cs="Calibri"/>
          <w:i/>
          <w:iCs/>
          <w:sz w:val="22"/>
          <w:szCs w:val="22"/>
        </w:rPr>
        <w:t xml:space="preserve">Residential Surveillance at a Designated Location </w:t>
      </w:r>
      <w:r>
        <w:rPr>
          <w:rFonts w:ascii="Calibri" w:hAnsi="Calibri" w:cs="Calibri"/>
          <w:sz w:val="22"/>
          <w:szCs w:val="22"/>
        </w:rPr>
        <w:t xml:space="preserve">– RSDL, often used on HRD’s - and </w:t>
      </w:r>
      <w:proofErr w:type="spellStart"/>
      <w:r>
        <w:rPr>
          <w:rFonts w:ascii="Calibri" w:hAnsi="Calibri" w:cs="Calibri"/>
          <w:i/>
          <w:iCs/>
          <w:sz w:val="22"/>
          <w:szCs w:val="22"/>
        </w:rPr>
        <w:t>Liuzhi</w:t>
      </w:r>
      <w:proofErr w:type="spellEnd"/>
      <w:r>
        <w:rPr>
          <w:rFonts w:ascii="Calibri" w:hAnsi="Calibri" w:cs="Calibri"/>
          <w:sz w:val="22"/>
          <w:szCs w:val="22"/>
        </w:rPr>
        <w:t xml:space="preserve">. </w:t>
      </w:r>
    </w:p>
    <w:p w14:paraId="437F2E21" w14:textId="77777777" w:rsidR="002B644B" w:rsidRDefault="002B644B" w:rsidP="00D5572F">
      <w:pPr>
        <w:spacing w:line="264" w:lineRule="auto"/>
        <w:jc w:val="both"/>
        <w:rPr>
          <w:rFonts w:ascii="Calibri" w:hAnsi="Calibri" w:cs="Calibri"/>
          <w:sz w:val="22"/>
          <w:szCs w:val="22"/>
        </w:rPr>
      </w:pPr>
    </w:p>
    <w:p w14:paraId="2C070BD7" w14:textId="77777777" w:rsidR="002B644B" w:rsidRDefault="002B644B" w:rsidP="00D5572F">
      <w:pPr>
        <w:spacing w:line="264" w:lineRule="auto"/>
        <w:jc w:val="both"/>
        <w:rPr>
          <w:rFonts w:ascii="Calibri" w:hAnsi="Calibri" w:cs="Calibri"/>
          <w:sz w:val="22"/>
          <w:szCs w:val="22"/>
        </w:rPr>
      </w:pPr>
    </w:p>
    <w:p w14:paraId="6B709FB6" w14:textId="37C106EE" w:rsidR="00D5572F" w:rsidRDefault="00D5572F" w:rsidP="00D5572F">
      <w:pPr>
        <w:pStyle w:val="Heading1"/>
      </w:pPr>
      <w:bookmarkStart w:id="9" w:name="_Toc220768392"/>
      <w:r>
        <w:lastRenderedPageBreak/>
        <w:t>Enforced Disappearances as State Policy</w:t>
      </w:r>
      <w:bookmarkEnd w:id="9"/>
    </w:p>
    <w:p w14:paraId="7C705DD5" w14:textId="395AD66F" w:rsidR="00D5572F" w:rsidRDefault="000748D3" w:rsidP="002B644B">
      <w:pPr>
        <w:pStyle w:val="Heading3"/>
      </w:pPr>
      <w:bookmarkStart w:id="10" w:name="_Toc220768393"/>
      <w:r>
        <w:t xml:space="preserve">1. </w:t>
      </w:r>
      <w:proofErr w:type="spellStart"/>
      <w:r w:rsidR="002B644B">
        <w:t>Liuzhi</w:t>
      </w:r>
      <w:bookmarkEnd w:id="10"/>
      <w:proofErr w:type="spellEnd"/>
    </w:p>
    <w:p w14:paraId="631F16D9" w14:textId="23D5ED0C" w:rsidR="002B644B" w:rsidRPr="002B644B" w:rsidRDefault="002B644B" w:rsidP="002B644B">
      <w:pPr>
        <w:jc w:val="both"/>
        <w:rPr>
          <w:rFonts w:ascii="Calibri" w:hAnsi="Calibri" w:cs="Calibri"/>
          <w:sz w:val="22"/>
          <w:szCs w:val="22"/>
        </w:rPr>
      </w:pPr>
      <w:r>
        <w:rPr>
          <w:rFonts w:ascii="Calibri" w:hAnsi="Calibri" w:cs="Calibri"/>
          <w:sz w:val="22"/>
          <w:szCs w:val="22"/>
        </w:rPr>
        <w:t xml:space="preserve">46. </w:t>
      </w:r>
      <w:r w:rsidRPr="002B644B">
        <w:rPr>
          <w:rFonts w:ascii="Calibri" w:hAnsi="Calibri" w:cs="Calibri"/>
          <w:sz w:val="22"/>
          <w:szCs w:val="22"/>
        </w:rPr>
        <w:t xml:space="preserve">Article 22 of the </w:t>
      </w:r>
      <w:r>
        <w:rPr>
          <w:rFonts w:ascii="Calibri" w:hAnsi="Calibri" w:cs="Calibri"/>
          <w:sz w:val="22"/>
          <w:szCs w:val="22"/>
        </w:rPr>
        <w:t>Supervision Law</w:t>
      </w:r>
      <w:r w:rsidRPr="002B644B">
        <w:rPr>
          <w:rFonts w:ascii="Calibri" w:hAnsi="Calibri" w:cs="Calibri"/>
          <w:sz w:val="22"/>
          <w:szCs w:val="22"/>
        </w:rPr>
        <w:t xml:space="preserve"> provides for the system of </w:t>
      </w:r>
      <w:proofErr w:type="spellStart"/>
      <w:r w:rsidRPr="002B644B">
        <w:rPr>
          <w:rFonts w:ascii="Calibri" w:hAnsi="Calibri" w:cs="Calibri"/>
          <w:i/>
          <w:iCs/>
          <w:sz w:val="22"/>
          <w:szCs w:val="22"/>
        </w:rPr>
        <w:t>Liuzhi</w:t>
      </w:r>
      <w:proofErr w:type="spellEnd"/>
      <w:r w:rsidRPr="002B644B">
        <w:rPr>
          <w:rFonts w:ascii="Calibri" w:hAnsi="Calibri" w:cs="Calibri"/>
          <w:sz w:val="22"/>
          <w:szCs w:val="22"/>
        </w:rPr>
        <w:t xml:space="preserve"> (retention in custody). Operated by </w:t>
      </w:r>
      <w:r>
        <w:rPr>
          <w:rFonts w:ascii="Calibri" w:hAnsi="Calibri" w:cs="Calibri"/>
          <w:sz w:val="22"/>
          <w:szCs w:val="22"/>
        </w:rPr>
        <w:t>the CCDI-National Commission of Supervision</w:t>
      </w:r>
      <w:r w:rsidRPr="002B644B">
        <w:rPr>
          <w:rFonts w:ascii="Calibri" w:hAnsi="Calibri" w:cs="Calibri"/>
          <w:sz w:val="22"/>
          <w:szCs w:val="22"/>
        </w:rPr>
        <w:t>, there is no external entity to provide independent oversight, approval or review of a decision to place an individual into the system. As the system exists wholly outside the bounds of the PRC’s formal criminal justice system, victims do not have the right to access legal counsel</w:t>
      </w:r>
      <w:r>
        <w:rPr>
          <w:rFonts w:ascii="Calibri" w:hAnsi="Calibri" w:cs="Calibri"/>
          <w:sz w:val="22"/>
          <w:szCs w:val="22"/>
        </w:rPr>
        <w:t xml:space="preserve"> and no external appeal mechanisms are available</w:t>
      </w:r>
      <w:r w:rsidRPr="002B644B">
        <w:rPr>
          <w:rFonts w:ascii="Calibri" w:hAnsi="Calibri" w:cs="Calibri"/>
          <w:sz w:val="22"/>
          <w:szCs w:val="22"/>
        </w:rPr>
        <w:t>.</w:t>
      </w:r>
    </w:p>
    <w:p w14:paraId="69444CBF" w14:textId="0C38E7B5" w:rsidR="002B644B" w:rsidRPr="002B644B" w:rsidRDefault="002B644B" w:rsidP="002B644B">
      <w:pPr>
        <w:spacing w:line="264" w:lineRule="auto"/>
        <w:jc w:val="both"/>
        <w:rPr>
          <w:rFonts w:ascii="Calibri" w:hAnsi="Calibri" w:cs="Calibri"/>
          <w:sz w:val="22"/>
          <w:szCs w:val="22"/>
        </w:rPr>
      </w:pPr>
      <w:r>
        <w:rPr>
          <w:rFonts w:ascii="Calibri" w:hAnsi="Calibri" w:cs="Calibri"/>
          <w:sz w:val="22"/>
          <w:szCs w:val="22"/>
        </w:rPr>
        <w:t xml:space="preserve">47. </w:t>
      </w:r>
      <w:r w:rsidRPr="002B644B">
        <w:rPr>
          <w:rFonts w:ascii="Calibri" w:hAnsi="Calibri" w:cs="Calibri"/>
          <w:sz w:val="22"/>
          <w:szCs w:val="22"/>
        </w:rPr>
        <w:t xml:space="preserve">Per regulations, any individual placed inside the system must be held in solitary confinement. </w:t>
      </w:r>
      <w:proofErr w:type="gramStart"/>
      <w:r w:rsidRPr="002B644B">
        <w:rPr>
          <w:rFonts w:ascii="Calibri" w:hAnsi="Calibri" w:cs="Calibri"/>
          <w:sz w:val="22"/>
          <w:szCs w:val="22"/>
        </w:rPr>
        <w:t>The vast majority of</w:t>
      </w:r>
      <w:proofErr w:type="gramEnd"/>
      <w:r w:rsidRPr="002B644B">
        <w:rPr>
          <w:rFonts w:ascii="Calibri" w:hAnsi="Calibri" w:cs="Calibri"/>
          <w:sz w:val="22"/>
          <w:szCs w:val="22"/>
        </w:rPr>
        <w:t xml:space="preserve"> victims are kept from any type of communication with the outside </w:t>
      </w:r>
      <w:proofErr w:type="gramStart"/>
      <w:r w:rsidRPr="002B644B">
        <w:rPr>
          <w:rFonts w:ascii="Calibri" w:hAnsi="Calibri" w:cs="Calibri"/>
          <w:sz w:val="22"/>
          <w:szCs w:val="22"/>
        </w:rPr>
        <w:t>world</w:t>
      </w:r>
      <w:proofErr w:type="gramEnd"/>
      <w:r w:rsidRPr="002B644B">
        <w:rPr>
          <w:rFonts w:ascii="Calibri" w:hAnsi="Calibri" w:cs="Calibri"/>
          <w:sz w:val="22"/>
          <w:szCs w:val="22"/>
        </w:rPr>
        <w:t xml:space="preserve"> and their family members are not informed of their whereabouts (or even the retention itself) as the system makes use of undisclosed </w:t>
      </w:r>
      <w:r>
        <w:rPr>
          <w:rFonts w:ascii="Calibri" w:hAnsi="Calibri" w:cs="Calibri"/>
          <w:sz w:val="22"/>
          <w:szCs w:val="22"/>
        </w:rPr>
        <w:t>“</w:t>
      </w:r>
      <w:r w:rsidRPr="002B644B">
        <w:rPr>
          <w:rFonts w:ascii="Calibri" w:hAnsi="Calibri" w:cs="Calibri"/>
          <w:sz w:val="22"/>
          <w:szCs w:val="22"/>
        </w:rPr>
        <w:t>designated</w:t>
      </w:r>
      <w:r>
        <w:rPr>
          <w:rFonts w:ascii="Calibri" w:hAnsi="Calibri" w:cs="Calibri"/>
          <w:sz w:val="22"/>
          <w:szCs w:val="22"/>
        </w:rPr>
        <w:t>”</w:t>
      </w:r>
      <w:r w:rsidRPr="002B644B">
        <w:rPr>
          <w:rFonts w:ascii="Calibri" w:hAnsi="Calibri" w:cs="Calibri"/>
          <w:sz w:val="22"/>
          <w:szCs w:val="22"/>
        </w:rPr>
        <w:t xml:space="preserve"> locations (e.g., custom-built facilities to CCP-run hotels, guesthouses, offices, etc.).</w:t>
      </w:r>
    </w:p>
    <w:p w14:paraId="5EF40366" w14:textId="6D28F24D" w:rsidR="002B644B" w:rsidRDefault="002B644B" w:rsidP="002B644B">
      <w:pPr>
        <w:spacing w:line="264" w:lineRule="auto"/>
        <w:jc w:val="both"/>
        <w:rPr>
          <w:rFonts w:eastAsia="SimSun"/>
          <w:sz w:val="22"/>
          <w:szCs w:val="22"/>
        </w:rPr>
      </w:pPr>
      <w:r w:rsidRPr="002B644B">
        <w:rPr>
          <w:rFonts w:ascii="Calibri" w:hAnsi="Calibri" w:cs="Calibri"/>
          <w:sz w:val="22"/>
          <w:szCs w:val="22"/>
        </w:rPr>
        <w:t>4</w:t>
      </w:r>
      <w:r>
        <w:rPr>
          <w:rFonts w:ascii="Calibri" w:hAnsi="Calibri" w:cs="Calibri"/>
          <w:sz w:val="22"/>
          <w:szCs w:val="22"/>
        </w:rPr>
        <w:t>8</w:t>
      </w:r>
      <w:r w:rsidRPr="002B644B">
        <w:rPr>
          <w:rFonts w:ascii="Calibri" w:hAnsi="Calibri" w:cs="Calibri"/>
          <w:sz w:val="22"/>
          <w:szCs w:val="22"/>
        </w:rPr>
        <w:t xml:space="preserve">. Based on partial available data, the use of </w:t>
      </w:r>
      <w:proofErr w:type="spellStart"/>
      <w:r w:rsidRPr="002B644B">
        <w:rPr>
          <w:rFonts w:ascii="Calibri" w:hAnsi="Calibri" w:cs="Calibri"/>
          <w:i/>
          <w:iCs/>
          <w:sz w:val="22"/>
          <w:szCs w:val="22"/>
        </w:rPr>
        <w:t>liuzhi</w:t>
      </w:r>
      <w:proofErr w:type="spellEnd"/>
      <w:r w:rsidRPr="002B644B">
        <w:rPr>
          <w:rFonts w:ascii="Calibri" w:hAnsi="Calibri" w:cs="Calibri"/>
          <w:sz w:val="22"/>
          <w:szCs w:val="22"/>
        </w:rPr>
        <w:t xml:space="preserve"> has been officially acknowledged in at least 76,501 instances between 2018 and 2022</w:t>
      </w:r>
      <w:r>
        <w:rPr>
          <w:rFonts w:ascii="Calibri" w:hAnsi="Calibri" w:cs="Calibri"/>
          <w:sz w:val="22"/>
          <w:szCs w:val="22"/>
        </w:rPr>
        <w:t xml:space="preserve">. </w:t>
      </w:r>
      <w:r>
        <w:rPr>
          <w:rFonts w:eastAsia="SimSun"/>
          <w:sz w:val="22"/>
          <w:szCs w:val="22"/>
        </w:rPr>
        <w:t xml:space="preserve">Since 2024, work reports from the CCDI have contained official numbers on the annual use of </w:t>
      </w:r>
      <w:proofErr w:type="spellStart"/>
      <w:r w:rsidRPr="002B644B">
        <w:rPr>
          <w:rFonts w:eastAsia="SimSun"/>
          <w:i/>
          <w:iCs/>
          <w:sz w:val="22"/>
          <w:szCs w:val="22"/>
        </w:rPr>
        <w:t>Liuzhi</w:t>
      </w:r>
      <w:proofErr w:type="spellEnd"/>
      <w:r>
        <w:rPr>
          <w:rFonts w:eastAsia="SimSun"/>
          <w:sz w:val="22"/>
          <w:szCs w:val="22"/>
        </w:rPr>
        <w:t xml:space="preserve"> across the entire territory. These full data show </w:t>
      </w:r>
      <w:proofErr w:type="spellStart"/>
      <w:r w:rsidRPr="002B644B">
        <w:rPr>
          <w:rFonts w:eastAsia="SimSun"/>
          <w:i/>
          <w:iCs/>
          <w:sz w:val="22"/>
          <w:szCs w:val="22"/>
        </w:rPr>
        <w:t>Liuzhi</w:t>
      </w:r>
      <w:proofErr w:type="spellEnd"/>
      <w:r>
        <w:rPr>
          <w:rFonts w:eastAsia="SimSun"/>
          <w:sz w:val="22"/>
          <w:szCs w:val="22"/>
        </w:rPr>
        <w:t xml:space="preserve"> was used in at least 26,000 cases in 2023, while at least 38,000 individuals were subjected to the measure in 2024. Based on conservative extrapolation, Safeguard Defenders estimates that since 2018 </w:t>
      </w:r>
      <w:r w:rsidRPr="00B52C5D">
        <w:rPr>
          <w:rFonts w:eastAsia="SimSun"/>
          <w:sz w:val="22"/>
          <w:szCs w:val="22"/>
        </w:rPr>
        <w:t>the form of widespread and systematic enforced disappearances, arbitrary detention and torture or other inhuman or degrading treatment</w:t>
      </w:r>
      <w:r w:rsidRPr="00B52C5D">
        <w:rPr>
          <w:rFonts w:eastAsia="SimSun"/>
          <w:b/>
          <w:bCs/>
          <w:sz w:val="22"/>
          <w:szCs w:val="22"/>
        </w:rPr>
        <w:t xml:space="preserve"> </w:t>
      </w:r>
      <w:r>
        <w:rPr>
          <w:rFonts w:eastAsia="SimSun"/>
          <w:sz w:val="22"/>
          <w:szCs w:val="22"/>
        </w:rPr>
        <w:t>has been used on</w:t>
      </w:r>
      <w:r w:rsidRPr="00B52C5D">
        <w:rPr>
          <w:rFonts w:eastAsia="SimSun"/>
          <w:sz w:val="22"/>
          <w:szCs w:val="22"/>
        </w:rPr>
        <w:t xml:space="preserve"> well over 100,000 individuals and likely closing in on 200,000. </w:t>
      </w:r>
    </w:p>
    <w:p w14:paraId="791EFE10" w14:textId="0307A288" w:rsidR="002B644B" w:rsidRPr="002B644B" w:rsidRDefault="002B644B" w:rsidP="002B644B">
      <w:pPr>
        <w:jc w:val="both"/>
        <w:rPr>
          <w:rFonts w:ascii="Calibri" w:eastAsia="SimSun" w:hAnsi="Calibri" w:cs="Calibri"/>
          <w:sz w:val="22"/>
          <w:szCs w:val="22"/>
        </w:rPr>
      </w:pPr>
      <w:r>
        <w:rPr>
          <w:rFonts w:ascii="Calibri" w:eastAsia="SimSun" w:hAnsi="Calibri" w:cs="Calibri"/>
          <w:sz w:val="22"/>
          <w:szCs w:val="22"/>
        </w:rPr>
        <w:t>49</w:t>
      </w:r>
      <w:r w:rsidRPr="00B52C5D">
        <w:rPr>
          <w:rFonts w:ascii="Calibri" w:eastAsia="SimSun" w:hAnsi="Calibri" w:cs="Calibri"/>
          <w:sz w:val="22"/>
          <w:szCs w:val="22"/>
        </w:rPr>
        <w:t xml:space="preserve">. The rapid expansion in the number of disciplinary investigations and equally growing use of </w:t>
      </w:r>
      <w:proofErr w:type="spellStart"/>
      <w:r w:rsidRPr="002B644B">
        <w:rPr>
          <w:rFonts w:ascii="Calibri" w:eastAsia="SimSun" w:hAnsi="Calibri" w:cs="Calibri"/>
          <w:i/>
          <w:iCs/>
          <w:sz w:val="22"/>
          <w:szCs w:val="22"/>
        </w:rPr>
        <w:t>Liuzhi</w:t>
      </w:r>
      <w:proofErr w:type="spellEnd"/>
      <w:r w:rsidRPr="00B52C5D">
        <w:rPr>
          <w:rFonts w:ascii="Calibri" w:eastAsia="SimSun" w:hAnsi="Calibri" w:cs="Calibri"/>
          <w:sz w:val="22"/>
          <w:szCs w:val="22"/>
        </w:rPr>
        <w:t xml:space="preserve"> is of particular concern given recent amendments to the 2018 National Supervision Law. </w:t>
      </w:r>
      <w:r>
        <w:rPr>
          <w:rFonts w:ascii="Calibri" w:eastAsia="SimSun" w:hAnsi="Calibri" w:cs="Calibri"/>
          <w:bCs/>
          <w:sz w:val="22"/>
          <w:szCs w:val="22"/>
          <w:lang w:val="en-GB"/>
        </w:rPr>
        <w:t xml:space="preserve">Among </w:t>
      </w:r>
      <w:r w:rsidRPr="00B52C5D">
        <w:rPr>
          <w:rFonts w:ascii="Calibri" w:eastAsia="SimSun" w:hAnsi="Calibri" w:cs="Calibri"/>
          <w:sz w:val="22"/>
          <w:szCs w:val="22"/>
        </w:rPr>
        <w:t>the</w:t>
      </w:r>
      <w:r>
        <w:rPr>
          <w:rFonts w:ascii="Calibri" w:eastAsia="SimSun" w:hAnsi="Calibri" w:cs="Calibri"/>
          <w:sz w:val="22"/>
          <w:szCs w:val="22"/>
        </w:rPr>
        <w:t xml:space="preserve"> </w:t>
      </w:r>
      <w:r w:rsidRPr="00B52C5D">
        <w:rPr>
          <w:rFonts w:ascii="Calibri" w:eastAsia="SimSun" w:hAnsi="Calibri" w:cs="Calibri"/>
          <w:sz w:val="22"/>
          <w:szCs w:val="22"/>
        </w:rPr>
        <w:t xml:space="preserve">amendments which came into force on June 1, 2025, we note </w:t>
      </w:r>
      <w:proofErr w:type="gramStart"/>
      <w:r w:rsidRPr="00B52C5D">
        <w:rPr>
          <w:rFonts w:ascii="Calibri" w:eastAsia="SimSun" w:hAnsi="Calibri" w:cs="Calibri"/>
          <w:sz w:val="22"/>
          <w:szCs w:val="22"/>
        </w:rPr>
        <w:t>in particular the</w:t>
      </w:r>
      <w:proofErr w:type="gramEnd"/>
      <w:r w:rsidRPr="00B52C5D">
        <w:rPr>
          <w:rFonts w:ascii="Calibri" w:eastAsia="SimSun" w:hAnsi="Calibri" w:cs="Calibri"/>
          <w:b/>
          <w:bCs/>
          <w:sz w:val="22"/>
          <w:szCs w:val="22"/>
        </w:rPr>
        <w:t xml:space="preserve"> </w:t>
      </w:r>
      <w:r w:rsidRPr="00B52C5D">
        <w:rPr>
          <w:rFonts w:ascii="Calibri" w:eastAsia="SimSun" w:hAnsi="Calibri" w:cs="Calibri"/>
          <w:sz w:val="22"/>
          <w:szCs w:val="22"/>
        </w:rPr>
        <w:t xml:space="preserve">possibility of extending the period of reclusion in </w:t>
      </w:r>
      <w:proofErr w:type="spellStart"/>
      <w:r w:rsidRPr="002B644B">
        <w:rPr>
          <w:rFonts w:ascii="Calibri" w:eastAsia="SimSun" w:hAnsi="Calibri" w:cs="Calibri"/>
          <w:i/>
          <w:iCs/>
          <w:sz w:val="22"/>
          <w:szCs w:val="22"/>
        </w:rPr>
        <w:t>Liuzhi</w:t>
      </w:r>
      <w:proofErr w:type="spellEnd"/>
      <w:r w:rsidRPr="00B52C5D">
        <w:rPr>
          <w:rFonts w:ascii="Calibri" w:eastAsia="SimSun" w:hAnsi="Calibri" w:cs="Calibri"/>
          <w:sz w:val="22"/>
          <w:szCs w:val="22"/>
        </w:rPr>
        <w:t xml:space="preserve"> from six to eight months if the suspect faces the possibility of a prison sentence of 10 years or more. </w:t>
      </w:r>
    </w:p>
    <w:p w14:paraId="3505B05D" w14:textId="1EAB23BC" w:rsidR="002B644B" w:rsidRDefault="002B644B" w:rsidP="002B644B">
      <w:pPr>
        <w:spacing w:line="264" w:lineRule="auto"/>
        <w:jc w:val="both"/>
        <w:rPr>
          <w:rFonts w:ascii="Calibri" w:eastAsia="SimSun" w:hAnsi="Calibri" w:cs="Calibri"/>
          <w:sz w:val="22"/>
          <w:szCs w:val="22"/>
        </w:rPr>
      </w:pPr>
      <w:r>
        <w:rPr>
          <w:rFonts w:ascii="Calibri" w:eastAsia="SimSun" w:hAnsi="Calibri" w:cs="Calibri"/>
          <w:sz w:val="22"/>
          <w:szCs w:val="22"/>
        </w:rPr>
        <w:t xml:space="preserve">50. </w:t>
      </w:r>
      <w:r w:rsidRPr="00B52C5D">
        <w:rPr>
          <w:rFonts w:ascii="Calibri" w:eastAsia="SimSun" w:hAnsi="Calibri" w:cs="Calibri"/>
          <w:sz w:val="22"/>
          <w:szCs w:val="22"/>
        </w:rPr>
        <w:t>The system has been formally denounced by the UN WGEID in a General Allegation Letter of September 2019</w:t>
      </w:r>
      <w:r>
        <w:rPr>
          <w:rStyle w:val="FootnoteReference"/>
          <w:rFonts w:ascii="Calibri" w:eastAsia="SimSun" w:hAnsi="Calibri" w:cs="Calibri"/>
          <w:sz w:val="22"/>
          <w:szCs w:val="22"/>
        </w:rPr>
        <w:footnoteReference w:id="28"/>
      </w:r>
      <w:r w:rsidRPr="00B52C5D">
        <w:rPr>
          <w:rFonts w:ascii="Calibri" w:eastAsia="SimSun" w:hAnsi="Calibri" w:cs="Calibri"/>
          <w:sz w:val="22"/>
          <w:szCs w:val="22"/>
        </w:rPr>
        <w:t xml:space="preserve"> and reiterated in its 2020 report to the 45th Human Rights Council</w:t>
      </w:r>
      <w:r>
        <w:rPr>
          <w:rStyle w:val="FootnoteReference"/>
          <w:rFonts w:ascii="Calibri" w:eastAsia="SimSun" w:hAnsi="Calibri" w:cs="Calibri"/>
          <w:sz w:val="22"/>
          <w:szCs w:val="22"/>
        </w:rPr>
        <w:footnoteReference w:id="29"/>
      </w:r>
      <w:r w:rsidRPr="00B52C5D">
        <w:rPr>
          <w:rFonts w:ascii="Calibri" w:eastAsia="SimSun" w:hAnsi="Calibri" w:cs="Calibri"/>
          <w:sz w:val="22"/>
          <w:szCs w:val="22"/>
        </w:rPr>
        <w:t>, as well as its 2021 Fall Session report</w:t>
      </w:r>
      <w:r>
        <w:rPr>
          <w:rStyle w:val="FootnoteReference"/>
          <w:rFonts w:ascii="Calibri" w:eastAsia="SimSun" w:hAnsi="Calibri" w:cs="Calibri"/>
          <w:sz w:val="22"/>
          <w:szCs w:val="22"/>
        </w:rPr>
        <w:footnoteReference w:id="30"/>
      </w:r>
      <w:r w:rsidRPr="00B52C5D">
        <w:rPr>
          <w:rFonts w:ascii="Calibri" w:eastAsia="SimSun" w:hAnsi="Calibri" w:cs="Calibri"/>
          <w:sz w:val="22"/>
          <w:szCs w:val="22"/>
        </w:rPr>
        <w:t>.</w:t>
      </w:r>
    </w:p>
    <w:p w14:paraId="0E3A6D8C" w14:textId="13EE6022" w:rsidR="002B644B" w:rsidRPr="002B644B" w:rsidRDefault="002B644B" w:rsidP="002B644B">
      <w:pPr>
        <w:jc w:val="both"/>
        <w:rPr>
          <w:rFonts w:ascii="Calibri" w:eastAsia="SimSun" w:hAnsi="Calibri" w:cs="Calibri"/>
          <w:sz w:val="22"/>
          <w:szCs w:val="22"/>
        </w:rPr>
      </w:pPr>
      <w:r w:rsidRPr="00B52C5D">
        <w:rPr>
          <w:rFonts w:ascii="Calibri" w:eastAsia="SimSun" w:hAnsi="Calibri" w:cs="Calibri"/>
          <w:sz w:val="22"/>
          <w:szCs w:val="22"/>
        </w:rPr>
        <w:t>5</w:t>
      </w:r>
      <w:r>
        <w:rPr>
          <w:rFonts w:ascii="Calibri" w:eastAsia="SimSun" w:hAnsi="Calibri" w:cs="Calibri"/>
          <w:sz w:val="22"/>
          <w:szCs w:val="22"/>
        </w:rPr>
        <w:t>1</w:t>
      </w:r>
      <w:r w:rsidRPr="00B52C5D">
        <w:rPr>
          <w:rFonts w:ascii="Calibri" w:eastAsia="SimSun" w:hAnsi="Calibri" w:cs="Calibri"/>
          <w:sz w:val="22"/>
          <w:szCs w:val="22"/>
        </w:rPr>
        <w:t xml:space="preserve">. The rapid expansion in the number of disciplinary investigations and equally growing use of </w:t>
      </w:r>
      <w:proofErr w:type="spellStart"/>
      <w:r w:rsidRPr="002B644B">
        <w:rPr>
          <w:rFonts w:ascii="Calibri" w:eastAsia="SimSun" w:hAnsi="Calibri" w:cs="Calibri"/>
          <w:i/>
          <w:iCs/>
          <w:sz w:val="22"/>
          <w:szCs w:val="22"/>
        </w:rPr>
        <w:t>Liuzhi</w:t>
      </w:r>
      <w:proofErr w:type="spellEnd"/>
      <w:r w:rsidRPr="00B52C5D">
        <w:rPr>
          <w:rFonts w:ascii="Calibri" w:eastAsia="SimSun" w:hAnsi="Calibri" w:cs="Calibri"/>
          <w:sz w:val="22"/>
          <w:szCs w:val="22"/>
        </w:rPr>
        <w:t xml:space="preserve"> is of particular concern given recent amendments to the 2018 National Supervision Law. </w:t>
      </w:r>
      <w:r>
        <w:rPr>
          <w:rFonts w:ascii="Calibri" w:eastAsia="SimSun" w:hAnsi="Calibri" w:cs="Calibri"/>
          <w:bCs/>
          <w:sz w:val="22"/>
          <w:szCs w:val="22"/>
          <w:lang w:val="en-GB"/>
        </w:rPr>
        <w:t xml:space="preserve">Among </w:t>
      </w:r>
      <w:r w:rsidRPr="00B52C5D">
        <w:rPr>
          <w:rFonts w:ascii="Calibri" w:eastAsia="SimSun" w:hAnsi="Calibri" w:cs="Calibri"/>
          <w:sz w:val="22"/>
          <w:szCs w:val="22"/>
        </w:rPr>
        <w:t>the</w:t>
      </w:r>
      <w:r>
        <w:rPr>
          <w:rFonts w:ascii="Calibri" w:eastAsia="SimSun" w:hAnsi="Calibri" w:cs="Calibri"/>
          <w:sz w:val="22"/>
          <w:szCs w:val="22"/>
        </w:rPr>
        <w:t xml:space="preserve"> </w:t>
      </w:r>
      <w:r w:rsidRPr="00B52C5D">
        <w:rPr>
          <w:rFonts w:ascii="Calibri" w:eastAsia="SimSun" w:hAnsi="Calibri" w:cs="Calibri"/>
          <w:sz w:val="22"/>
          <w:szCs w:val="22"/>
        </w:rPr>
        <w:t xml:space="preserve">amendments which came into force on June 1, 2025, we note </w:t>
      </w:r>
      <w:proofErr w:type="gramStart"/>
      <w:r w:rsidRPr="00B52C5D">
        <w:rPr>
          <w:rFonts w:ascii="Calibri" w:eastAsia="SimSun" w:hAnsi="Calibri" w:cs="Calibri"/>
          <w:sz w:val="22"/>
          <w:szCs w:val="22"/>
        </w:rPr>
        <w:t>in particular the</w:t>
      </w:r>
      <w:proofErr w:type="gramEnd"/>
      <w:r w:rsidRPr="00B52C5D">
        <w:rPr>
          <w:rFonts w:ascii="Calibri" w:eastAsia="SimSun" w:hAnsi="Calibri" w:cs="Calibri"/>
          <w:b/>
          <w:bCs/>
          <w:sz w:val="22"/>
          <w:szCs w:val="22"/>
        </w:rPr>
        <w:t xml:space="preserve"> </w:t>
      </w:r>
      <w:r w:rsidRPr="00B52C5D">
        <w:rPr>
          <w:rFonts w:ascii="Calibri" w:eastAsia="SimSun" w:hAnsi="Calibri" w:cs="Calibri"/>
          <w:sz w:val="22"/>
          <w:szCs w:val="22"/>
        </w:rPr>
        <w:t xml:space="preserve">possibility of extending the period of reclusion in </w:t>
      </w:r>
      <w:proofErr w:type="spellStart"/>
      <w:r w:rsidRPr="002B644B">
        <w:rPr>
          <w:rFonts w:ascii="Calibri" w:eastAsia="SimSun" w:hAnsi="Calibri" w:cs="Calibri"/>
          <w:i/>
          <w:iCs/>
          <w:sz w:val="22"/>
          <w:szCs w:val="22"/>
        </w:rPr>
        <w:t>Liuzhi</w:t>
      </w:r>
      <w:proofErr w:type="spellEnd"/>
      <w:r w:rsidRPr="00B52C5D">
        <w:rPr>
          <w:rFonts w:ascii="Calibri" w:eastAsia="SimSun" w:hAnsi="Calibri" w:cs="Calibri"/>
          <w:sz w:val="22"/>
          <w:szCs w:val="22"/>
        </w:rPr>
        <w:t xml:space="preserve"> from six to eight months if the suspect faces the possibility of a prison sentence of 10 years or more. </w:t>
      </w:r>
    </w:p>
    <w:p w14:paraId="72894D54" w14:textId="565BE65F" w:rsidR="002B644B" w:rsidRDefault="002B644B" w:rsidP="002B644B">
      <w:pPr>
        <w:spacing w:line="264" w:lineRule="auto"/>
        <w:jc w:val="both"/>
        <w:rPr>
          <w:rFonts w:ascii="Calibri" w:eastAsia="SimSun" w:hAnsi="Calibri" w:cs="Calibri"/>
          <w:sz w:val="22"/>
          <w:szCs w:val="22"/>
        </w:rPr>
      </w:pPr>
      <w:r w:rsidRPr="00B52C5D">
        <w:rPr>
          <w:rFonts w:ascii="Calibri" w:eastAsia="SimSun" w:hAnsi="Calibri" w:cs="Calibri"/>
          <w:sz w:val="22"/>
          <w:szCs w:val="22"/>
        </w:rPr>
        <w:lastRenderedPageBreak/>
        <w:t>5</w:t>
      </w:r>
      <w:r>
        <w:rPr>
          <w:rFonts w:ascii="Calibri" w:eastAsia="SimSun" w:hAnsi="Calibri" w:cs="Calibri"/>
          <w:sz w:val="22"/>
          <w:szCs w:val="22"/>
        </w:rPr>
        <w:t>2</w:t>
      </w:r>
      <w:r>
        <w:rPr>
          <w:rFonts w:ascii="Calibri" w:eastAsia="SimSun" w:hAnsi="Calibri" w:cs="Calibri"/>
          <w:b/>
          <w:bCs/>
          <w:sz w:val="22"/>
          <w:szCs w:val="22"/>
        </w:rPr>
        <w:t xml:space="preserve">. </w:t>
      </w:r>
      <w:r w:rsidRPr="00B52C5D">
        <w:rPr>
          <w:rFonts w:ascii="Calibri" w:eastAsia="SimSun" w:hAnsi="Calibri" w:cs="Calibri"/>
          <w:sz w:val="22"/>
          <w:szCs w:val="22"/>
        </w:rPr>
        <w:t>Furthermore, for cases handled by the National Commission of Supervision -</w:t>
      </w:r>
      <w:r>
        <w:rPr>
          <w:rFonts w:ascii="Calibri" w:eastAsia="SimSun" w:hAnsi="Calibri" w:cs="Calibri"/>
          <w:sz w:val="22"/>
          <w:szCs w:val="22"/>
        </w:rPr>
        <w:t xml:space="preserve"> </w:t>
      </w:r>
      <w:r w:rsidRPr="00B52C5D">
        <w:rPr>
          <w:rFonts w:ascii="Calibri" w:eastAsia="SimSun" w:hAnsi="Calibri" w:cs="Calibri"/>
          <w:sz w:val="22"/>
          <w:szCs w:val="22"/>
        </w:rPr>
        <w:t xml:space="preserve">or by provincial supervision commissions upon approval by the National-level one -, that period may be reset once if new, serious duty-related offenses are alleged. This would make it possible to retain an individual in </w:t>
      </w:r>
      <w:proofErr w:type="spellStart"/>
      <w:r w:rsidRPr="002B644B">
        <w:rPr>
          <w:rFonts w:ascii="Calibri" w:eastAsia="SimSun" w:hAnsi="Calibri" w:cs="Calibri"/>
          <w:i/>
          <w:iCs/>
          <w:sz w:val="22"/>
          <w:szCs w:val="22"/>
        </w:rPr>
        <w:t>Liuzhi</w:t>
      </w:r>
      <w:proofErr w:type="spellEnd"/>
      <w:r w:rsidRPr="00B52C5D">
        <w:rPr>
          <w:rFonts w:ascii="Calibri" w:eastAsia="SimSun" w:hAnsi="Calibri" w:cs="Calibri"/>
          <w:sz w:val="22"/>
          <w:szCs w:val="22"/>
        </w:rPr>
        <w:t xml:space="preserve"> for up to 16 months. </w:t>
      </w:r>
    </w:p>
    <w:p w14:paraId="2868CB5E" w14:textId="5BD20590" w:rsidR="002B644B" w:rsidRDefault="000748D3" w:rsidP="002B644B">
      <w:pPr>
        <w:pStyle w:val="Heading3"/>
        <w:rPr>
          <w:rFonts w:eastAsia="SimSun"/>
        </w:rPr>
      </w:pPr>
      <w:bookmarkStart w:id="11" w:name="_Toc220768394"/>
      <w:r>
        <w:rPr>
          <w:rFonts w:eastAsia="SimSun"/>
        </w:rPr>
        <w:t xml:space="preserve">2. </w:t>
      </w:r>
      <w:r w:rsidR="002B644B">
        <w:rPr>
          <w:rFonts w:eastAsia="SimSun"/>
        </w:rPr>
        <w:t>Residential Surveillance at a Designated Location</w:t>
      </w:r>
      <w:bookmarkEnd w:id="11"/>
    </w:p>
    <w:p w14:paraId="60D0B623" w14:textId="3947CC96" w:rsidR="002B644B" w:rsidRDefault="002B644B" w:rsidP="002B644B">
      <w:pPr>
        <w:jc w:val="both"/>
        <w:rPr>
          <w:rFonts w:cstheme="minorHAnsi"/>
          <w:sz w:val="22"/>
          <w:szCs w:val="22"/>
        </w:rPr>
      </w:pPr>
      <w:r>
        <w:rPr>
          <w:rFonts w:cstheme="minorHAnsi"/>
          <w:sz w:val="22"/>
          <w:szCs w:val="22"/>
        </w:rPr>
        <w:t xml:space="preserve">53. </w:t>
      </w:r>
      <w:proofErr w:type="gramStart"/>
      <w:r>
        <w:rPr>
          <w:rFonts w:cstheme="minorHAnsi"/>
          <w:sz w:val="22"/>
          <w:szCs w:val="22"/>
        </w:rPr>
        <w:t>Similar to</w:t>
      </w:r>
      <w:proofErr w:type="gramEnd"/>
      <w:r>
        <w:rPr>
          <w:rFonts w:cstheme="minorHAnsi"/>
          <w:sz w:val="22"/>
          <w:szCs w:val="22"/>
        </w:rPr>
        <w:t xml:space="preserve"> </w:t>
      </w:r>
      <w:proofErr w:type="spellStart"/>
      <w:r w:rsidRPr="00FA2AD0">
        <w:rPr>
          <w:rFonts w:cstheme="minorHAnsi"/>
          <w:i/>
          <w:iCs/>
          <w:sz w:val="22"/>
          <w:szCs w:val="22"/>
        </w:rPr>
        <w:t>Liuzhi</w:t>
      </w:r>
      <w:proofErr w:type="spellEnd"/>
      <w:r>
        <w:rPr>
          <w:rFonts w:cstheme="minorHAnsi"/>
          <w:sz w:val="22"/>
          <w:szCs w:val="22"/>
        </w:rPr>
        <w:t xml:space="preserve"> is the incommunicado detention system of </w:t>
      </w:r>
      <w:r w:rsidRPr="00FA2AD0">
        <w:rPr>
          <w:rFonts w:cstheme="minorHAnsi"/>
          <w:i/>
          <w:iCs/>
          <w:sz w:val="22"/>
          <w:szCs w:val="22"/>
        </w:rPr>
        <w:t>RSDL</w:t>
      </w:r>
      <w:r>
        <w:rPr>
          <w:rFonts w:cstheme="minorHAnsi"/>
          <w:sz w:val="22"/>
          <w:szCs w:val="22"/>
        </w:rPr>
        <w:t xml:space="preserve"> operated by the Ministry of Public Security (MPS). </w:t>
      </w:r>
    </w:p>
    <w:p w14:paraId="0211EBCF" w14:textId="669E35F7" w:rsidR="002B644B" w:rsidRPr="002B644B" w:rsidRDefault="002B644B" w:rsidP="002B644B">
      <w:pPr>
        <w:jc w:val="both"/>
        <w:rPr>
          <w:rFonts w:eastAsia="Times New Roman" w:cstheme="minorHAnsi"/>
          <w:sz w:val="22"/>
          <w:szCs w:val="22"/>
          <w:lang w:eastAsia="en-GB"/>
        </w:rPr>
      </w:pPr>
      <w:r>
        <w:rPr>
          <w:rFonts w:cstheme="minorHAnsi"/>
          <w:sz w:val="22"/>
          <w:szCs w:val="22"/>
        </w:rPr>
        <w:t xml:space="preserve">56. </w:t>
      </w:r>
      <w:r w:rsidRPr="00FA2AD0">
        <w:rPr>
          <w:rFonts w:eastAsia="Times New Roman" w:cstheme="minorHAnsi"/>
          <w:sz w:val="22"/>
          <w:szCs w:val="22"/>
          <w:lang w:eastAsia="en-GB"/>
        </w:rPr>
        <w:t xml:space="preserve">Civil society groups have </w:t>
      </w:r>
      <w:r w:rsidRPr="00FA2AD0">
        <w:rPr>
          <w:rFonts w:eastAsia="Times New Roman" w:cstheme="minorHAnsi"/>
          <w:color w:val="000000" w:themeColor="text1"/>
          <w:sz w:val="22"/>
          <w:szCs w:val="22"/>
          <w:lang w:eastAsia="en-GB"/>
        </w:rPr>
        <w:t xml:space="preserve">documented dire conditions </w:t>
      </w:r>
      <w:r w:rsidRPr="00FA2AD0">
        <w:rPr>
          <w:rFonts w:eastAsia="Times New Roman" w:cstheme="minorHAnsi"/>
          <w:sz w:val="22"/>
          <w:szCs w:val="22"/>
          <w:lang w:eastAsia="en-GB"/>
        </w:rPr>
        <w:t>for those held under RSDL, including unsanitary conditions, constant surveillance, deprivation of access to outdoor spaces or exercise, forced solitary confinement</w:t>
      </w:r>
      <w:r w:rsidRPr="00173CE8">
        <w:rPr>
          <w:rFonts w:eastAsia="Times New Roman" w:cstheme="minorHAnsi"/>
          <w:sz w:val="22"/>
          <w:szCs w:val="22"/>
          <w:lang w:eastAsia="en-GB"/>
        </w:rPr>
        <w:t xml:space="preserve"> </w:t>
      </w:r>
      <w:r w:rsidRPr="00FA2AD0">
        <w:rPr>
          <w:rFonts w:eastAsia="Times New Roman" w:cstheme="minorHAnsi"/>
          <w:sz w:val="22"/>
          <w:szCs w:val="22"/>
          <w:lang w:eastAsia="en-GB"/>
        </w:rPr>
        <w:t>and oppressive interrogations with the aim of extracting confessions.</w:t>
      </w:r>
      <w:r>
        <w:rPr>
          <w:rStyle w:val="FootnoteReference"/>
          <w:rFonts w:eastAsia="Times New Roman" w:cstheme="minorHAnsi"/>
          <w:sz w:val="22"/>
          <w:szCs w:val="22"/>
          <w:lang w:eastAsia="en-GB"/>
        </w:rPr>
        <w:footnoteReference w:id="31"/>
      </w:r>
    </w:p>
    <w:p w14:paraId="23BE7DFE" w14:textId="3585DD1E" w:rsidR="002B644B" w:rsidRPr="00173CE8" w:rsidRDefault="002B644B" w:rsidP="002B644B">
      <w:pPr>
        <w:jc w:val="both"/>
        <w:rPr>
          <w:rFonts w:cstheme="minorHAnsi"/>
          <w:color w:val="000000" w:themeColor="text1"/>
          <w:sz w:val="22"/>
          <w:szCs w:val="22"/>
        </w:rPr>
      </w:pPr>
      <w:r>
        <w:rPr>
          <w:rFonts w:cstheme="minorHAnsi"/>
          <w:sz w:val="22"/>
          <w:szCs w:val="22"/>
        </w:rPr>
        <w:t xml:space="preserve">59. </w:t>
      </w:r>
      <w:r w:rsidRPr="00FA2AD0">
        <w:rPr>
          <w:rFonts w:ascii="Calibri" w:eastAsia="Times New Roman" w:hAnsi="Calibri" w:cs="Calibri"/>
          <w:sz w:val="22"/>
          <w:szCs w:val="22"/>
          <w:lang w:eastAsia="en-GB"/>
        </w:rPr>
        <w:t xml:space="preserve">In a detailed </w:t>
      </w:r>
      <w:r w:rsidRPr="00FA2AD0">
        <w:rPr>
          <w:rFonts w:ascii="Calibri" w:eastAsia="Times New Roman" w:hAnsi="Calibri" w:cs="Calibri"/>
          <w:color w:val="000000" w:themeColor="text1"/>
          <w:sz w:val="22"/>
          <w:szCs w:val="22"/>
          <w:lang w:eastAsia="en-GB"/>
        </w:rPr>
        <w:t>communication</w:t>
      </w:r>
      <w:r>
        <w:rPr>
          <w:rStyle w:val="FootnoteReference"/>
          <w:rFonts w:ascii="Calibri" w:eastAsia="Times New Roman" w:hAnsi="Calibri" w:cs="Calibri"/>
          <w:color w:val="000000" w:themeColor="text1"/>
          <w:sz w:val="22"/>
          <w:szCs w:val="22"/>
          <w:lang w:eastAsia="en-GB"/>
        </w:rPr>
        <w:footnoteReference w:id="32"/>
      </w:r>
      <w:r w:rsidRPr="00FA2AD0">
        <w:rPr>
          <w:rFonts w:ascii="Calibri" w:eastAsia="Times New Roman" w:hAnsi="Calibri" w:cs="Calibri"/>
          <w:color w:val="000000" w:themeColor="text1"/>
          <w:sz w:val="22"/>
          <w:szCs w:val="22"/>
          <w:lang w:eastAsia="en-GB"/>
        </w:rPr>
        <w:t xml:space="preserve"> to the government sent in August 2018, ten UN Special Procedures asserted that RSDL </w:t>
      </w:r>
      <w:r w:rsidRPr="003F23A4">
        <w:rPr>
          <w:rFonts w:ascii="Calibri" w:eastAsia="Times New Roman" w:hAnsi="Calibri" w:cs="Calibri"/>
          <w:i/>
          <w:iCs/>
          <w:color w:val="000000" w:themeColor="text1"/>
          <w:sz w:val="22"/>
          <w:szCs w:val="22"/>
          <w:lang w:eastAsia="en-GB"/>
        </w:rPr>
        <w:t>“</w:t>
      </w:r>
      <w:r w:rsidRPr="00FA2AD0">
        <w:rPr>
          <w:rFonts w:ascii="Calibri" w:eastAsia="Times New Roman" w:hAnsi="Calibri" w:cs="Calibri"/>
          <w:i/>
          <w:iCs/>
          <w:color w:val="000000" w:themeColor="text1"/>
          <w:sz w:val="22"/>
          <w:szCs w:val="22"/>
          <w:lang w:eastAsia="en-GB"/>
        </w:rPr>
        <w:t>denies the fundamental right to fair trial, potentially undermines the right to physical and mental integrity, and denies persons held under these conditions of their rights to counsel and family visits</w:t>
      </w:r>
      <w:r w:rsidRPr="003F23A4">
        <w:rPr>
          <w:rFonts w:ascii="Calibri" w:eastAsia="Times New Roman" w:hAnsi="Calibri" w:cs="Calibri"/>
          <w:i/>
          <w:iCs/>
          <w:color w:val="000000" w:themeColor="text1"/>
          <w:sz w:val="22"/>
          <w:szCs w:val="22"/>
          <w:lang w:eastAsia="en-GB"/>
        </w:rPr>
        <w:t>”</w:t>
      </w:r>
      <w:r w:rsidRPr="00FA2AD0">
        <w:rPr>
          <w:rFonts w:ascii="Calibri" w:eastAsia="Times New Roman" w:hAnsi="Calibri" w:cs="Calibri"/>
          <w:color w:val="000000" w:themeColor="text1"/>
          <w:sz w:val="22"/>
          <w:szCs w:val="22"/>
          <w:lang w:eastAsia="en-GB"/>
        </w:rPr>
        <w:t xml:space="preserve">. They stressed that RSDL gives the police and public security too much power, that is abused </w:t>
      </w:r>
      <w:proofErr w:type="gramStart"/>
      <w:r w:rsidRPr="00FA2AD0">
        <w:rPr>
          <w:rFonts w:ascii="Calibri" w:eastAsia="Times New Roman" w:hAnsi="Calibri" w:cs="Calibri"/>
          <w:color w:val="000000" w:themeColor="text1"/>
          <w:sz w:val="22"/>
          <w:szCs w:val="22"/>
          <w:lang w:eastAsia="en-GB"/>
        </w:rPr>
        <w:t>in order to</w:t>
      </w:r>
      <w:proofErr w:type="gramEnd"/>
      <w:r w:rsidRPr="00FA2AD0">
        <w:rPr>
          <w:rFonts w:ascii="Calibri" w:eastAsia="Times New Roman" w:hAnsi="Calibri" w:cs="Calibri"/>
          <w:color w:val="000000" w:themeColor="text1"/>
          <w:sz w:val="22"/>
          <w:szCs w:val="22"/>
          <w:lang w:eastAsia="en-GB"/>
        </w:rPr>
        <w:t xml:space="preserve"> allow arbitrary arrest, and that it is being used to muzzle peaceful and legitimate rights to freedom of expression, assembly, association and the right to defend rights. </w:t>
      </w:r>
    </w:p>
    <w:p w14:paraId="0075CB18" w14:textId="5D8F31F5" w:rsidR="002B644B" w:rsidRPr="00173CE8" w:rsidRDefault="002B644B" w:rsidP="002B644B">
      <w:pPr>
        <w:jc w:val="both"/>
        <w:rPr>
          <w:rFonts w:cstheme="minorHAnsi"/>
          <w:color w:val="000000" w:themeColor="text1"/>
          <w:sz w:val="22"/>
          <w:szCs w:val="22"/>
        </w:rPr>
      </w:pPr>
      <w:r>
        <w:rPr>
          <w:rFonts w:cstheme="minorHAnsi"/>
          <w:color w:val="000000" w:themeColor="text1"/>
          <w:sz w:val="22"/>
          <w:szCs w:val="22"/>
        </w:rPr>
        <w:t xml:space="preserve">60. </w:t>
      </w:r>
      <w:r w:rsidRPr="00FA2AD0">
        <w:rPr>
          <w:rFonts w:ascii="Calibri" w:eastAsia="Times New Roman" w:hAnsi="Calibri" w:cs="Calibri"/>
          <w:color w:val="000000" w:themeColor="text1"/>
          <w:sz w:val="22"/>
          <w:szCs w:val="22"/>
          <w:lang w:eastAsia="en-GB"/>
        </w:rPr>
        <w:t xml:space="preserve">The experts underscored that, by allowing individuals </w:t>
      </w:r>
      <w:r w:rsidRPr="00173CE8">
        <w:rPr>
          <w:rFonts w:ascii="Calibri" w:eastAsia="Times New Roman" w:hAnsi="Calibri" w:cs="Calibri"/>
          <w:color w:val="000000" w:themeColor="text1"/>
          <w:sz w:val="22"/>
          <w:szCs w:val="22"/>
          <w:lang w:eastAsia="en-GB"/>
        </w:rPr>
        <w:t>“</w:t>
      </w:r>
      <w:r w:rsidRPr="00FA2AD0">
        <w:rPr>
          <w:rFonts w:ascii="Calibri" w:eastAsia="Times New Roman" w:hAnsi="Calibri" w:cs="Calibri"/>
          <w:color w:val="000000" w:themeColor="text1"/>
          <w:sz w:val="22"/>
          <w:szCs w:val="22"/>
          <w:lang w:eastAsia="en-GB"/>
        </w:rPr>
        <w:t>to be held incommunicado, for long periods, in undisclosed location</w:t>
      </w:r>
      <w:r w:rsidRPr="00173CE8">
        <w:rPr>
          <w:rFonts w:ascii="Calibri" w:eastAsia="Times New Roman" w:hAnsi="Calibri" w:cs="Calibri"/>
          <w:color w:val="000000" w:themeColor="text1"/>
          <w:sz w:val="22"/>
          <w:szCs w:val="22"/>
          <w:lang w:eastAsia="en-GB"/>
        </w:rPr>
        <w:t>”</w:t>
      </w:r>
      <w:r w:rsidRPr="00FA2AD0">
        <w:rPr>
          <w:rFonts w:ascii="Calibri" w:eastAsia="Times New Roman" w:hAnsi="Calibri" w:cs="Calibri"/>
          <w:color w:val="000000" w:themeColor="text1"/>
          <w:sz w:val="22"/>
          <w:szCs w:val="22"/>
          <w:lang w:eastAsia="en-GB"/>
        </w:rPr>
        <w:t xml:space="preserve">, RSDL </w:t>
      </w:r>
      <w:r w:rsidRPr="00173CE8">
        <w:rPr>
          <w:rFonts w:ascii="Calibri" w:eastAsia="Times New Roman" w:hAnsi="Calibri" w:cs="Calibri"/>
          <w:color w:val="000000" w:themeColor="text1"/>
          <w:sz w:val="22"/>
          <w:szCs w:val="22"/>
          <w:lang w:eastAsia="en-GB"/>
        </w:rPr>
        <w:t>“</w:t>
      </w:r>
      <w:r w:rsidRPr="00FA2AD0">
        <w:rPr>
          <w:rFonts w:ascii="Calibri" w:eastAsia="Times New Roman" w:hAnsi="Calibri" w:cs="Calibri"/>
          <w:color w:val="000000" w:themeColor="text1"/>
          <w:sz w:val="22"/>
          <w:szCs w:val="22"/>
          <w:lang w:eastAsia="en-GB"/>
        </w:rPr>
        <w:t xml:space="preserve">may </w:t>
      </w:r>
      <w:r w:rsidRPr="00FA2AD0">
        <w:rPr>
          <w:rFonts w:ascii="Calibri" w:eastAsia="Times New Roman" w:hAnsi="Calibri" w:cs="Calibri"/>
          <w:i/>
          <w:iCs/>
          <w:color w:val="000000" w:themeColor="text1"/>
          <w:sz w:val="22"/>
          <w:szCs w:val="22"/>
          <w:lang w:eastAsia="en-GB"/>
        </w:rPr>
        <w:t xml:space="preserve">per se </w:t>
      </w:r>
      <w:r w:rsidRPr="00FA2AD0">
        <w:rPr>
          <w:rFonts w:ascii="Calibri" w:eastAsia="Times New Roman" w:hAnsi="Calibri" w:cs="Calibri"/>
          <w:color w:val="000000" w:themeColor="text1"/>
          <w:sz w:val="22"/>
          <w:szCs w:val="22"/>
          <w:lang w:eastAsia="en-GB"/>
        </w:rPr>
        <w:t>amount to cruel, inhuman or degrading treatment or punishment, or even torture, and additionally may expose [those held under RSDL] to an increased risk of further abuse, including acts of torture</w:t>
      </w:r>
      <w:r w:rsidRPr="00173CE8">
        <w:rPr>
          <w:rFonts w:ascii="Calibri" w:eastAsia="Times New Roman" w:hAnsi="Calibri" w:cs="Calibri"/>
          <w:color w:val="000000" w:themeColor="text1"/>
          <w:sz w:val="22"/>
          <w:szCs w:val="22"/>
          <w:lang w:eastAsia="en-GB"/>
        </w:rPr>
        <w:t>”</w:t>
      </w:r>
      <w:r w:rsidRPr="00FA2AD0">
        <w:rPr>
          <w:rFonts w:ascii="Calibri" w:eastAsia="Times New Roman" w:hAnsi="Calibri" w:cs="Calibri"/>
          <w:color w:val="000000" w:themeColor="text1"/>
          <w:sz w:val="22"/>
          <w:szCs w:val="22"/>
          <w:lang w:eastAsia="en-GB"/>
        </w:rPr>
        <w:t xml:space="preserve">. </w:t>
      </w:r>
    </w:p>
    <w:p w14:paraId="4F0131D4" w14:textId="5BEAD4DA" w:rsidR="002B644B" w:rsidRPr="00173CE8" w:rsidRDefault="002B644B" w:rsidP="002B644B">
      <w:pPr>
        <w:jc w:val="both"/>
        <w:rPr>
          <w:rFonts w:cstheme="minorHAnsi"/>
          <w:color w:val="000000" w:themeColor="text1"/>
          <w:sz w:val="22"/>
          <w:szCs w:val="22"/>
        </w:rPr>
      </w:pPr>
      <w:r>
        <w:rPr>
          <w:rFonts w:cstheme="minorHAnsi"/>
          <w:color w:val="000000" w:themeColor="text1"/>
          <w:sz w:val="22"/>
          <w:szCs w:val="22"/>
        </w:rPr>
        <w:t xml:space="preserve">61. </w:t>
      </w:r>
      <w:r w:rsidRPr="00FA2AD0">
        <w:rPr>
          <w:rFonts w:ascii="Calibri" w:eastAsia="Times New Roman" w:hAnsi="Calibri" w:cs="Calibri"/>
          <w:color w:val="000000" w:themeColor="text1"/>
          <w:sz w:val="22"/>
          <w:szCs w:val="22"/>
          <w:lang w:eastAsia="en-GB"/>
        </w:rPr>
        <w:t>In a March 2020 public statement,</w:t>
      </w:r>
      <w:r>
        <w:rPr>
          <w:rStyle w:val="FootnoteReference"/>
          <w:rFonts w:ascii="Calibri" w:eastAsia="Times New Roman" w:hAnsi="Calibri" w:cs="Calibri"/>
          <w:color w:val="000000" w:themeColor="text1"/>
          <w:sz w:val="22"/>
          <w:szCs w:val="22"/>
          <w:lang w:eastAsia="en-GB"/>
        </w:rPr>
        <w:footnoteReference w:id="33"/>
      </w:r>
      <w:r w:rsidRPr="00FA2AD0">
        <w:rPr>
          <w:rFonts w:ascii="Calibri" w:eastAsia="Times New Roman" w:hAnsi="Calibri" w:cs="Calibri"/>
          <w:color w:val="000000" w:themeColor="text1"/>
          <w:sz w:val="22"/>
          <w:szCs w:val="22"/>
          <w:lang w:eastAsia="en-GB"/>
        </w:rPr>
        <w:t xml:space="preserve"> six UN Special Procedures – including the UN’s Working Group on Enforced or Involuntary Disappearances – </w:t>
      </w:r>
      <w:r w:rsidRPr="00173CE8">
        <w:rPr>
          <w:rFonts w:ascii="Calibri" w:eastAsia="Times New Roman" w:hAnsi="Calibri" w:cs="Calibri"/>
          <w:i/>
          <w:iCs/>
          <w:color w:val="000000" w:themeColor="text1"/>
          <w:sz w:val="22"/>
          <w:szCs w:val="22"/>
          <w:lang w:eastAsia="en-GB"/>
        </w:rPr>
        <w:t>“</w:t>
      </w:r>
      <w:r w:rsidRPr="00FA2AD0">
        <w:rPr>
          <w:rFonts w:ascii="Calibri" w:eastAsia="Times New Roman" w:hAnsi="Calibri" w:cs="Calibri"/>
          <w:i/>
          <w:iCs/>
          <w:color w:val="000000" w:themeColor="text1"/>
          <w:sz w:val="22"/>
          <w:szCs w:val="22"/>
          <w:lang w:eastAsia="en-GB"/>
        </w:rPr>
        <w:t>expressed their alarm at the ongoing use of RSDL in China, despite having for many years reiterated the position that RSDL is not compatible with international human rights law.</w:t>
      </w:r>
      <w:r w:rsidRPr="00173CE8">
        <w:rPr>
          <w:rFonts w:ascii="Calibri" w:eastAsia="Times New Roman" w:hAnsi="Calibri" w:cs="Calibri"/>
          <w:i/>
          <w:iCs/>
          <w:color w:val="000000" w:themeColor="text1"/>
          <w:sz w:val="22"/>
          <w:szCs w:val="22"/>
          <w:lang w:eastAsia="en-GB"/>
        </w:rPr>
        <w:t>”</w:t>
      </w:r>
      <w:r w:rsidRPr="00FA2AD0">
        <w:rPr>
          <w:rFonts w:ascii="Calibri" w:eastAsia="Times New Roman" w:hAnsi="Calibri" w:cs="Calibri"/>
          <w:i/>
          <w:iCs/>
          <w:color w:val="000000" w:themeColor="text1"/>
          <w:sz w:val="22"/>
          <w:szCs w:val="22"/>
          <w:lang w:eastAsia="en-GB"/>
        </w:rPr>
        <w:t xml:space="preserve"> </w:t>
      </w:r>
    </w:p>
    <w:p w14:paraId="7BE18135" w14:textId="7C0003AA" w:rsidR="002B644B" w:rsidRPr="00716407" w:rsidRDefault="002B644B" w:rsidP="002B644B">
      <w:pPr>
        <w:jc w:val="both"/>
        <w:rPr>
          <w:rFonts w:ascii="Calibri" w:eastAsia="Times New Roman" w:hAnsi="Calibri" w:cs="Calibri"/>
          <w:color w:val="000000" w:themeColor="text1"/>
          <w:sz w:val="22"/>
          <w:szCs w:val="22"/>
          <w:lang w:eastAsia="en-GB"/>
        </w:rPr>
      </w:pPr>
      <w:r>
        <w:rPr>
          <w:rFonts w:ascii="Calibri" w:eastAsia="Times New Roman" w:hAnsi="Calibri" w:cs="Calibri"/>
          <w:color w:val="000000" w:themeColor="text1"/>
          <w:sz w:val="22"/>
          <w:szCs w:val="22"/>
          <w:lang w:eastAsia="en-GB"/>
        </w:rPr>
        <w:t xml:space="preserve">62. </w:t>
      </w:r>
      <w:r w:rsidRPr="00716407">
        <w:rPr>
          <w:rFonts w:ascii="Calibri" w:eastAsia="Times New Roman" w:hAnsi="Calibri" w:cs="Calibri"/>
          <w:color w:val="000000" w:themeColor="text1"/>
          <w:sz w:val="22"/>
          <w:szCs w:val="22"/>
          <w:lang w:eastAsia="en-GB"/>
        </w:rPr>
        <w:t xml:space="preserve"> The PRC’s</w:t>
      </w:r>
      <w:r w:rsidRPr="00FA2AD0">
        <w:rPr>
          <w:rFonts w:ascii="Calibri" w:eastAsia="Times New Roman" w:hAnsi="Calibri" w:cs="Calibri"/>
          <w:color w:val="000000" w:themeColor="text1"/>
          <w:sz w:val="22"/>
          <w:szCs w:val="22"/>
          <w:lang w:eastAsia="en-GB"/>
        </w:rPr>
        <w:t xml:space="preserve"> official court records database</w:t>
      </w:r>
      <w:r w:rsidRPr="00716407">
        <w:rPr>
          <w:rStyle w:val="FootnoteReference"/>
          <w:rFonts w:ascii="Calibri" w:eastAsia="Times New Roman" w:hAnsi="Calibri" w:cs="Calibri"/>
          <w:color w:val="000000" w:themeColor="text1"/>
          <w:sz w:val="22"/>
          <w:szCs w:val="22"/>
          <w:lang w:eastAsia="en-GB"/>
        </w:rPr>
        <w:footnoteReference w:id="34"/>
      </w:r>
      <w:r w:rsidRPr="00FA2AD0">
        <w:rPr>
          <w:rFonts w:ascii="Calibri" w:eastAsia="Times New Roman" w:hAnsi="Calibri" w:cs="Calibri"/>
          <w:color w:val="000000" w:themeColor="text1"/>
          <w:sz w:val="22"/>
          <w:szCs w:val="22"/>
          <w:lang w:eastAsia="en-GB"/>
        </w:rPr>
        <w:t xml:space="preserve"> points to an exponential growth of the RSDL system</w:t>
      </w:r>
      <w:r w:rsidRPr="00F80EAA">
        <w:rPr>
          <w:rFonts w:ascii="Calibri" w:eastAsia="Times New Roman" w:hAnsi="Calibri" w:cs="Calibri"/>
          <w:color w:val="000000" w:themeColor="text1"/>
          <w:sz w:val="22"/>
          <w:szCs w:val="22"/>
          <w:lang w:eastAsia="en-GB"/>
        </w:rPr>
        <w:t xml:space="preserve"> </w:t>
      </w:r>
      <w:r>
        <w:rPr>
          <w:rFonts w:ascii="Calibri" w:eastAsia="Times New Roman" w:hAnsi="Calibri" w:cs="Calibri"/>
          <w:color w:val="000000" w:themeColor="text1"/>
          <w:sz w:val="22"/>
          <w:szCs w:val="22"/>
          <w:lang w:eastAsia="en-GB"/>
        </w:rPr>
        <w:t xml:space="preserve">with a logged use of </w:t>
      </w:r>
      <w:r w:rsidRPr="00F80EAA">
        <w:rPr>
          <w:rFonts w:ascii="Calibri" w:eastAsia="Times New Roman" w:hAnsi="Calibri" w:cs="Calibri"/>
          <w:color w:val="000000" w:themeColor="text1"/>
          <w:sz w:val="22"/>
          <w:szCs w:val="22"/>
          <w:lang w:val="en-GB" w:eastAsia="en-GB"/>
        </w:rPr>
        <w:t>24,223</w:t>
      </w:r>
      <w:r>
        <w:rPr>
          <w:rFonts w:ascii="Calibri" w:eastAsia="Times New Roman" w:hAnsi="Calibri" w:cs="Calibri"/>
          <w:color w:val="000000" w:themeColor="text1"/>
          <w:sz w:val="22"/>
          <w:szCs w:val="22"/>
          <w:lang w:val="en-GB" w:eastAsia="en-GB"/>
        </w:rPr>
        <w:t xml:space="preserve"> cases</w:t>
      </w:r>
      <w:r w:rsidRPr="00F80EAA">
        <w:rPr>
          <w:rFonts w:ascii="Calibri" w:eastAsia="Times New Roman" w:hAnsi="Calibri" w:cs="Calibri"/>
          <w:color w:val="000000" w:themeColor="text1"/>
          <w:sz w:val="22"/>
          <w:szCs w:val="22"/>
          <w:lang w:eastAsia="en-GB"/>
        </w:rPr>
        <w:t xml:space="preserve">. </w:t>
      </w:r>
      <w:proofErr w:type="gramStart"/>
      <w:r>
        <w:rPr>
          <w:rFonts w:ascii="Calibri" w:eastAsia="Times New Roman" w:hAnsi="Calibri" w:cs="Calibri"/>
          <w:color w:val="000000" w:themeColor="text1"/>
          <w:sz w:val="22"/>
          <w:szCs w:val="22"/>
          <w:lang w:eastAsia="en-GB"/>
        </w:rPr>
        <w:t>Taking into account</w:t>
      </w:r>
      <w:proofErr w:type="gramEnd"/>
      <w:r>
        <w:rPr>
          <w:rFonts w:ascii="Calibri" w:eastAsia="Times New Roman" w:hAnsi="Calibri" w:cs="Calibri"/>
          <w:color w:val="000000" w:themeColor="text1"/>
          <w:sz w:val="22"/>
          <w:szCs w:val="22"/>
          <w:lang w:eastAsia="en-GB"/>
        </w:rPr>
        <w:t xml:space="preserve"> all caveats on missing data, Safeguard Defenders assumes a conservative </w:t>
      </w:r>
      <w:r w:rsidRPr="00F80EAA">
        <w:rPr>
          <w:rFonts w:ascii="Calibri" w:eastAsia="Times New Roman" w:hAnsi="Calibri" w:cs="Calibri"/>
          <w:color w:val="000000" w:themeColor="text1"/>
          <w:sz w:val="22"/>
          <w:szCs w:val="22"/>
          <w:lang w:eastAsia="en-GB"/>
        </w:rPr>
        <w:t>average</w:t>
      </w:r>
      <w:r w:rsidRPr="00FA2AD0">
        <w:rPr>
          <w:rFonts w:ascii="Calibri" w:eastAsia="Times New Roman" w:hAnsi="Calibri" w:cs="Calibri"/>
          <w:color w:val="000000" w:themeColor="text1"/>
          <w:sz w:val="22"/>
          <w:szCs w:val="22"/>
          <w:lang w:eastAsia="en-GB"/>
        </w:rPr>
        <w:t xml:space="preserve"> of </w:t>
      </w:r>
      <w:r w:rsidRPr="00716407">
        <w:rPr>
          <w:rFonts w:ascii="Calibri" w:eastAsia="Times New Roman" w:hAnsi="Calibri" w:cs="Calibri"/>
          <w:color w:val="000000" w:themeColor="text1"/>
          <w:sz w:val="22"/>
          <w:szCs w:val="22"/>
          <w:lang w:eastAsia="en-GB"/>
        </w:rPr>
        <w:t xml:space="preserve">close to </w:t>
      </w:r>
      <w:r w:rsidRPr="00FA2AD0">
        <w:rPr>
          <w:rFonts w:ascii="Calibri" w:eastAsia="Times New Roman" w:hAnsi="Calibri" w:cs="Calibri"/>
          <w:color w:val="000000" w:themeColor="text1"/>
          <w:sz w:val="22"/>
          <w:szCs w:val="22"/>
          <w:lang w:eastAsia="en-GB"/>
        </w:rPr>
        <w:t>6</w:t>
      </w:r>
      <w:r w:rsidRPr="00F80EAA">
        <w:rPr>
          <w:rFonts w:ascii="Calibri" w:eastAsia="Times New Roman" w:hAnsi="Calibri" w:cs="Calibri"/>
          <w:color w:val="000000" w:themeColor="text1"/>
          <w:sz w:val="22"/>
          <w:szCs w:val="22"/>
          <w:lang w:eastAsia="en-GB"/>
        </w:rPr>
        <w:t>4,</w:t>
      </w:r>
      <w:r>
        <w:rPr>
          <w:rFonts w:ascii="Calibri" w:eastAsia="Times New Roman" w:hAnsi="Calibri" w:cs="Calibri"/>
          <w:color w:val="000000" w:themeColor="text1"/>
          <w:sz w:val="22"/>
          <w:szCs w:val="22"/>
          <w:lang w:eastAsia="en-GB"/>
        </w:rPr>
        <w:t xml:space="preserve">900 </w:t>
      </w:r>
      <w:r w:rsidRPr="00FA2AD0">
        <w:rPr>
          <w:rFonts w:ascii="Calibri" w:eastAsia="Times New Roman" w:hAnsi="Calibri" w:cs="Calibri"/>
          <w:color w:val="000000" w:themeColor="text1"/>
          <w:sz w:val="22"/>
          <w:szCs w:val="22"/>
          <w:lang w:eastAsia="en-GB"/>
        </w:rPr>
        <w:t xml:space="preserve">victims since 2013. </w:t>
      </w:r>
    </w:p>
    <w:p w14:paraId="0A3BCDBE" w14:textId="7CBF342A" w:rsidR="002B644B" w:rsidRPr="00716407" w:rsidRDefault="002B644B" w:rsidP="002B644B">
      <w:pPr>
        <w:jc w:val="both"/>
        <w:rPr>
          <w:rFonts w:ascii="Calibri" w:eastAsia="Times New Roman" w:hAnsi="Calibri" w:cs="Calibri"/>
          <w:color w:val="000000" w:themeColor="text1"/>
          <w:sz w:val="22"/>
          <w:szCs w:val="22"/>
          <w:lang w:eastAsia="en-GB"/>
        </w:rPr>
      </w:pPr>
      <w:r>
        <w:rPr>
          <w:rFonts w:ascii="Calibri" w:eastAsia="Times New Roman" w:hAnsi="Calibri" w:cs="Calibri"/>
          <w:color w:val="000000" w:themeColor="text1"/>
          <w:sz w:val="22"/>
          <w:szCs w:val="22"/>
          <w:lang w:eastAsia="en-GB"/>
        </w:rPr>
        <w:t xml:space="preserve">63. </w:t>
      </w:r>
      <w:r w:rsidRPr="00FA2AD0">
        <w:rPr>
          <w:rFonts w:ascii="Calibri" w:eastAsia="Times New Roman" w:hAnsi="Calibri" w:cs="Calibri"/>
          <w:color w:val="000000" w:themeColor="text1"/>
          <w:sz w:val="22"/>
          <w:szCs w:val="22"/>
          <w:lang w:eastAsia="en-GB"/>
        </w:rPr>
        <w:t>While not all these individuals are human rights defenders, this is commonly recogni</w:t>
      </w:r>
      <w:r>
        <w:rPr>
          <w:rFonts w:ascii="Calibri" w:eastAsia="Times New Roman" w:hAnsi="Calibri" w:cs="Calibri"/>
          <w:color w:val="000000" w:themeColor="text1"/>
          <w:sz w:val="22"/>
          <w:szCs w:val="22"/>
          <w:lang w:eastAsia="en-GB"/>
        </w:rPr>
        <w:t>z</w:t>
      </w:r>
      <w:r w:rsidRPr="00FA2AD0">
        <w:rPr>
          <w:rFonts w:ascii="Calibri" w:eastAsia="Times New Roman" w:hAnsi="Calibri" w:cs="Calibri"/>
          <w:color w:val="000000" w:themeColor="text1"/>
          <w:sz w:val="22"/>
          <w:szCs w:val="22"/>
          <w:lang w:eastAsia="en-GB"/>
        </w:rPr>
        <w:t xml:space="preserve">ed as a tactic used to intimidate and coerce individuals detained for their human rights-related work. </w:t>
      </w:r>
    </w:p>
    <w:p w14:paraId="20E8C32F" w14:textId="41FC2D80" w:rsidR="00EA3A86" w:rsidRPr="002B644B" w:rsidRDefault="00D33E76" w:rsidP="00D33E76">
      <w:pPr>
        <w:jc w:val="center"/>
        <w:rPr>
          <w:rFonts w:ascii="Calibri" w:eastAsia="Times New Roman" w:hAnsi="Calibri" w:cs="Calibri"/>
          <w:sz w:val="22"/>
          <w:szCs w:val="22"/>
          <w:lang w:eastAsia="en-GB"/>
        </w:rPr>
      </w:pPr>
      <w:r>
        <w:rPr>
          <w:rFonts w:ascii="Calibri" w:eastAsia="Times New Roman" w:hAnsi="Calibri" w:cs="Calibri"/>
          <w:sz w:val="22"/>
          <w:szCs w:val="22"/>
          <w:lang w:eastAsia="en-GB"/>
        </w:rPr>
        <w:t>***</w:t>
      </w:r>
    </w:p>
    <w:sectPr w:rsidR="00EA3A86" w:rsidRPr="002B644B" w:rsidSect="00962F45">
      <w:headerReference w:type="default" r:id="rId9"/>
      <w:footerReference w:type="even"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54237" w14:textId="77777777" w:rsidR="00CC7F05" w:rsidRDefault="00CC7F05" w:rsidP="00962F45">
      <w:pPr>
        <w:spacing w:after="0" w:line="240" w:lineRule="auto"/>
      </w:pPr>
      <w:r>
        <w:separator/>
      </w:r>
    </w:p>
  </w:endnote>
  <w:endnote w:type="continuationSeparator" w:id="0">
    <w:p w14:paraId="0AD63CEA" w14:textId="77777777" w:rsidR="00CC7F05" w:rsidRDefault="00CC7F05" w:rsidP="00962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ingFang HK">
    <w:panose1 w:val="020B0600000000000000"/>
    <w:charset w:val="88"/>
    <w:family w:val="swiss"/>
    <w:pitch w:val="variable"/>
    <w:sig w:usb0="A00002FF" w:usb1="7ACFFDFB" w:usb2="00000017"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18388710"/>
      <w:docPartObj>
        <w:docPartGallery w:val="Page Numbers (Bottom of Page)"/>
        <w:docPartUnique/>
      </w:docPartObj>
    </w:sdtPr>
    <w:sdtEndPr>
      <w:rPr>
        <w:rStyle w:val="PageNumber"/>
      </w:rPr>
    </w:sdtEndPr>
    <w:sdtContent>
      <w:p w14:paraId="11B7C256" w14:textId="13A058D8" w:rsidR="00962F45" w:rsidRDefault="00962F45" w:rsidP="00B16F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EE441C" w14:textId="77777777" w:rsidR="00962F45" w:rsidRDefault="00962F45" w:rsidP="00962F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60959128"/>
      <w:docPartObj>
        <w:docPartGallery w:val="Page Numbers (Bottom of Page)"/>
        <w:docPartUnique/>
      </w:docPartObj>
    </w:sdtPr>
    <w:sdtEndPr>
      <w:rPr>
        <w:rStyle w:val="PageNumber"/>
      </w:rPr>
    </w:sdtEndPr>
    <w:sdtContent>
      <w:p w14:paraId="15A9CB45" w14:textId="52F9DFEA" w:rsidR="00962F45" w:rsidRDefault="00962F45" w:rsidP="00B16F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FD97D54" w14:textId="77777777" w:rsidR="00962F45" w:rsidRDefault="00962F45" w:rsidP="00962F4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F2444" w14:textId="77777777" w:rsidR="00CC7F05" w:rsidRDefault="00CC7F05" w:rsidP="00962F45">
      <w:pPr>
        <w:spacing w:after="0" w:line="240" w:lineRule="auto"/>
      </w:pPr>
      <w:r>
        <w:separator/>
      </w:r>
    </w:p>
  </w:footnote>
  <w:footnote w:type="continuationSeparator" w:id="0">
    <w:p w14:paraId="6B1DA711" w14:textId="77777777" w:rsidR="00CC7F05" w:rsidRDefault="00CC7F05" w:rsidP="00962F45">
      <w:pPr>
        <w:spacing w:after="0" w:line="240" w:lineRule="auto"/>
      </w:pPr>
      <w:r>
        <w:continuationSeparator/>
      </w:r>
    </w:p>
  </w:footnote>
  <w:footnote w:id="1">
    <w:p w14:paraId="0393C5A5" w14:textId="7FD15141" w:rsidR="00962F45" w:rsidRPr="00EA3A86" w:rsidRDefault="00962F45" w:rsidP="00962F45">
      <w:pPr>
        <w:pStyle w:val="FootnoteText"/>
        <w:rPr>
          <w:rFonts w:ascii="Calibri" w:hAnsi="Calibri" w:cs="Calibri"/>
          <w:sz w:val="16"/>
          <w:szCs w:val="16"/>
          <w:lang w:val="en-US"/>
        </w:rPr>
      </w:pPr>
      <w:r w:rsidRPr="00EA3A86">
        <w:rPr>
          <w:rStyle w:val="FootnoteReference"/>
          <w:rFonts w:ascii="Calibri" w:eastAsiaTheme="majorEastAsia" w:hAnsi="Calibri" w:cs="Calibri"/>
          <w:sz w:val="16"/>
          <w:szCs w:val="16"/>
        </w:rPr>
        <w:footnoteRef/>
      </w:r>
      <w:r w:rsidRPr="00EA3A86">
        <w:rPr>
          <w:rFonts w:ascii="Calibri" w:hAnsi="Calibri" w:cs="Calibri"/>
          <w:sz w:val="16"/>
          <w:szCs w:val="16"/>
          <w:lang w:val="en-US"/>
        </w:rPr>
        <w:t xml:space="preserve"> United Nations Office on Drugs and Crime, </w:t>
      </w:r>
      <w:r w:rsidRPr="00EA3A86">
        <w:rPr>
          <w:rFonts w:ascii="Calibri" w:hAnsi="Calibri" w:cs="Calibri"/>
          <w:i/>
          <w:iCs/>
          <w:sz w:val="16"/>
          <w:szCs w:val="16"/>
          <w:lang w:val="en-US"/>
        </w:rPr>
        <w:t>The United Nations and China sign agreement on combating corruption</w:t>
      </w:r>
      <w:r w:rsidRPr="00EA3A86">
        <w:rPr>
          <w:rFonts w:ascii="Calibri" w:hAnsi="Calibri" w:cs="Calibri"/>
          <w:sz w:val="16"/>
          <w:szCs w:val="16"/>
          <w:lang w:val="en-US"/>
        </w:rPr>
        <w:t xml:space="preserve">, 17 October 2019, </w:t>
      </w:r>
      <w:r>
        <w:fldChar w:fldCharType="begin"/>
      </w:r>
      <w:r w:rsidRPr="002D0832">
        <w:rPr>
          <w:lang w:val="en-US"/>
        </w:rPr>
        <w:instrText>HYPERLINK "https://www.unodc.org/unodc/en/frontpage/2019/October/the-united-nations-and-china-sign-agreement-on-combating-corruption.html"</w:instrText>
      </w:r>
      <w:r>
        <w:fldChar w:fldCharType="separate"/>
      </w:r>
      <w:r w:rsidRPr="00EA3A86">
        <w:rPr>
          <w:rStyle w:val="Hyperlink"/>
          <w:rFonts w:ascii="Calibri" w:hAnsi="Calibri" w:cs="Calibri"/>
          <w:sz w:val="16"/>
          <w:szCs w:val="16"/>
          <w:lang w:val="en-US"/>
        </w:rPr>
        <w:t>https://www.unodc.org/unodc/en/frontpage/2019/October/the-united-nations-and-china-sign-agreement-on-combating-corruption.html</w:t>
      </w:r>
      <w:r>
        <w:fldChar w:fldCharType="end"/>
      </w:r>
      <w:r w:rsidR="00D5572F" w:rsidRPr="00D5572F">
        <w:rPr>
          <w:rFonts w:ascii="Calibri" w:hAnsi="Calibri" w:cs="Calibri"/>
          <w:sz w:val="16"/>
          <w:szCs w:val="16"/>
          <w:lang w:val="en-US"/>
        </w:rPr>
        <w:t xml:space="preserve">. </w:t>
      </w:r>
      <w:r w:rsidR="00D5572F">
        <w:rPr>
          <w:rFonts w:ascii="Calibri" w:hAnsi="Calibri" w:cs="Calibri"/>
          <w:sz w:val="16"/>
          <w:szCs w:val="16"/>
          <w:lang w:val="en-US"/>
        </w:rPr>
        <w:t xml:space="preserve">See an analysis of the MoU against the mandatory HRDDP in, and a copy of the full MoU as an annex to, the below-cited report </w:t>
      </w:r>
      <w:r w:rsidR="00D5572F">
        <w:rPr>
          <w:rFonts w:ascii="Calibri" w:hAnsi="Calibri" w:cs="Calibri"/>
          <w:i/>
          <w:iCs/>
          <w:sz w:val="16"/>
          <w:szCs w:val="16"/>
          <w:lang w:val="en-US"/>
        </w:rPr>
        <w:t>Chasing Fox Hunt</w:t>
      </w:r>
      <w:r w:rsidR="00D5572F">
        <w:rPr>
          <w:rFonts w:ascii="Calibri" w:hAnsi="Calibri" w:cs="Calibri"/>
          <w:sz w:val="16"/>
          <w:szCs w:val="16"/>
          <w:lang w:val="en-US"/>
        </w:rPr>
        <w:t xml:space="preserve">. </w:t>
      </w:r>
      <w:r w:rsidRPr="00EA3A86">
        <w:rPr>
          <w:rFonts w:ascii="Calibri" w:hAnsi="Calibri" w:cs="Calibri"/>
          <w:sz w:val="16"/>
          <w:szCs w:val="16"/>
          <w:lang w:val="en-US"/>
        </w:rPr>
        <w:t xml:space="preserve"> </w:t>
      </w:r>
    </w:p>
  </w:footnote>
  <w:footnote w:id="2">
    <w:p w14:paraId="44842486" w14:textId="723BA15E" w:rsidR="00962F45" w:rsidRPr="00D5572F" w:rsidRDefault="00962F45" w:rsidP="00962F45">
      <w:pPr>
        <w:pStyle w:val="FootnoteText"/>
        <w:rPr>
          <w:rFonts w:ascii="Calibri" w:hAnsi="Calibri" w:cs="Calibri"/>
          <w:sz w:val="16"/>
          <w:szCs w:val="16"/>
          <w:lang w:val="en-US"/>
        </w:rPr>
      </w:pPr>
      <w:r w:rsidRPr="00EA3A86">
        <w:rPr>
          <w:rStyle w:val="FootnoteReference"/>
          <w:rFonts w:ascii="Calibri" w:eastAsiaTheme="majorEastAsia" w:hAnsi="Calibri" w:cs="Calibri"/>
          <w:sz w:val="16"/>
          <w:szCs w:val="16"/>
        </w:rPr>
        <w:footnoteRef/>
      </w:r>
      <w:r w:rsidRPr="00EA3A86">
        <w:rPr>
          <w:rFonts w:ascii="Calibri" w:hAnsi="Calibri" w:cs="Calibri"/>
          <w:sz w:val="16"/>
          <w:szCs w:val="16"/>
          <w:lang w:val="en-US"/>
        </w:rPr>
        <w:t xml:space="preserve"> United Nations Office on Drugs and Crime, </w:t>
      </w:r>
      <w:r w:rsidRPr="00EA3A86">
        <w:rPr>
          <w:rFonts w:ascii="Calibri" w:hAnsi="Calibri" w:cs="Calibri"/>
          <w:i/>
          <w:iCs/>
          <w:sz w:val="16"/>
          <w:szCs w:val="16"/>
          <w:lang w:val="en-US"/>
        </w:rPr>
        <w:t>Human Rights Due Diligence Policy</w:t>
      </w:r>
      <w:r w:rsidRPr="00EA3A86">
        <w:rPr>
          <w:rFonts w:ascii="Calibri" w:hAnsi="Calibri" w:cs="Calibri"/>
          <w:sz w:val="16"/>
          <w:szCs w:val="16"/>
          <w:lang w:val="en-US"/>
        </w:rPr>
        <w:t xml:space="preserve">, </w:t>
      </w:r>
      <w:r>
        <w:fldChar w:fldCharType="begin"/>
      </w:r>
      <w:r w:rsidRPr="002D0832">
        <w:rPr>
          <w:lang w:val="en-US"/>
        </w:rPr>
        <w:instrText>HYPERLINK "https://www.unodc.org/unodc/en/humanrights/hrddp.html"</w:instrText>
      </w:r>
      <w:r>
        <w:fldChar w:fldCharType="separate"/>
      </w:r>
      <w:r w:rsidRPr="00EA3A86">
        <w:rPr>
          <w:rStyle w:val="Hyperlink"/>
          <w:rFonts w:ascii="Calibri" w:hAnsi="Calibri" w:cs="Calibri"/>
          <w:sz w:val="16"/>
          <w:szCs w:val="16"/>
          <w:lang w:val="en-US"/>
        </w:rPr>
        <w:t>https://www.unodc.org/unodc/en/humanrights/hrddp.html</w:t>
      </w:r>
      <w:r>
        <w:fldChar w:fldCharType="end"/>
      </w:r>
      <w:r w:rsidRPr="00EA3A86">
        <w:rPr>
          <w:rFonts w:ascii="Calibri" w:hAnsi="Calibri" w:cs="Calibri"/>
          <w:sz w:val="16"/>
          <w:szCs w:val="16"/>
          <w:lang w:val="en-US"/>
        </w:rPr>
        <w:t xml:space="preserve">. </w:t>
      </w:r>
    </w:p>
  </w:footnote>
  <w:footnote w:id="3">
    <w:p w14:paraId="75013E99" w14:textId="248B5553" w:rsidR="008D57D5" w:rsidRPr="00EA3A86" w:rsidRDefault="008D57D5">
      <w:pPr>
        <w:pStyle w:val="FootnoteText"/>
        <w:rPr>
          <w:rFonts w:ascii="Calibri" w:hAnsi="Calibri" w:cs="Calibri"/>
          <w:sz w:val="16"/>
          <w:szCs w:val="16"/>
          <w:lang w:val="en-US"/>
        </w:rPr>
      </w:pPr>
      <w:r w:rsidRPr="00EA3A86">
        <w:rPr>
          <w:rStyle w:val="FootnoteReference"/>
          <w:rFonts w:ascii="Calibri" w:hAnsi="Calibri" w:cs="Calibri"/>
          <w:sz w:val="16"/>
          <w:szCs w:val="16"/>
        </w:rPr>
        <w:footnoteRef/>
      </w:r>
      <w:r w:rsidRPr="00EA3A86">
        <w:rPr>
          <w:rFonts w:ascii="Calibri" w:hAnsi="Calibri" w:cs="Calibri"/>
          <w:sz w:val="16"/>
          <w:szCs w:val="16"/>
          <w:lang w:val="en-US"/>
        </w:rPr>
        <w:t xml:space="preserve"> Safeguard Defenders, </w:t>
      </w:r>
      <w:r w:rsidRPr="00EA3A86">
        <w:rPr>
          <w:rFonts w:ascii="Calibri" w:hAnsi="Calibri" w:cs="Calibri"/>
          <w:i/>
          <w:iCs/>
          <w:sz w:val="16"/>
          <w:szCs w:val="16"/>
          <w:lang w:val="en-US"/>
        </w:rPr>
        <w:t xml:space="preserve">Chasing Fox Hunt - Tracing the PRC’s Forced Return Operations around the Globe, </w:t>
      </w:r>
      <w:r w:rsidRPr="00EA3A86">
        <w:rPr>
          <w:rFonts w:ascii="Calibri" w:hAnsi="Calibri" w:cs="Calibri"/>
          <w:sz w:val="16"/>
          <w:szCs w:val="16"/>
          <w:lang w:val="en-US"/>
        </w:rPr>
        <w:t xml:space="preserve">15 April 2024, </w:t>
      </w:r>
      <w:r>
        <w:fldChar w:fldCharType="begin"/>
      </w:r>
      <w:r w:rsidRPr="002D0832">
        <w:rPr>
          <w:lang w:val="en-US"/>
        </w:rPr>
        <w:instrText>HYPERLINK "https://safeguarddefenders.com/en/blog/new-report-chasing-fox-hunt"</w:instrText>
      </w:r>
      <w:r>
        <w:fldChar w:fldCharType="separate"/>
      </w:r>
      <w:r w:rsidRPr="00EA3A86">
        <w:rPr>
          <w:rStyle w:val="Hyperlink"/>
          <w:rFonts w:ascii="Calibri" w:hAnsi="Calibri" w:cs="Calibri"/>
          <w:sz w:val="16"/>
          <w:szCs w:val="16"/>
          <w:lang w:val="en-US"/>
        </w:rPr>
        <w:t>https://safeguarddefenders.com/en/blog/new-report-chasing-fox-hunt</w:t>
      </w:r>
      <w:r>
        <w:fldChar w:fldCharType="end"/>
      </w:r>
      <w:r w:rsidRPr="00EA3A86">
        <w:rPr>
          <w:rFonts w:ascii="Calibri" w:hAnsi="Calibri" w:cs="Calibri"/>
          <w:sz w:val="16"/>
          <w:szCs w:val="16"/>
          <w:lang w:val="en-US"/>
        </w:rPr>
        <w:t xml:space="preserve">. </w:t>
      </w:r>
    </w:p>
  </w:footnote>
  <w:footnote w:id="4">
    <w:p w14:paraId="350C394F" w14:textId="6A91BEAE" w:rsidR="008D57D5" w:rsidRPr="00EA3A86" w:rsidRDefault="008D57D5">
      <w:pPr>
        <w:pStyle w:val="FootnoteText"/>
        <w:rPr>
          <w:rFonts w:ascii="Calibri" w:hAnsi="Calibri" w:cs="Calibri"/>
          <w:b/>
          <w:bCs/>
          <w:sz w:val="16"/>
          <w:szCs w:val="16"/>
          <w:lang w:val="en-US"/>
        </w:rPr>
      </w:pPr>
      <w:r w:rsidRPr="00EA3A86">
        <w:rPr>
          <w:rStyle w:val="FootnoteReference"/>
          <w:rFonts w:ascii="Calibri" w:hAnsi="Calibri" w:cs="Calibri"/>
          <w:sz w:val="16"/>
          <w:szCs w:val="16"/>
        </w:rPr>
        <w:footnoteRef/>
      </w:r>
      <w:r w:rsidRPr="00EA3A86">
        <w:rPr>
          <w:rFonts w:ascii="Calibri" w:hAnsi="Calibri" w:cs="Calibri"/>
          <w:sz w:val="16"/>
          <w:szCs w:val="16"/>
          <w:lang w:val="en-US"/>
        </w:rPr>
        <w:t xml:space="preserve"> Latest submissions: Safeguard Defenders, </w:t>
      </w:r>
      <w:r w:rsidRPr="00EA3A86">
        <w:rPr>
          <w:rFonts w:ascii="Calibri" w:hAnsi="Calibri" w:cs="Calibri"/>
          <w:bCs/>
          <w:i/>
          <w:iCs/>
          <w:sz w:val="16"/>
          <w:szCs w:val="16"/>
          <w:lang w:val="en-US"/>
        </w:rPr>
        <w:t xml:space="preserve">Follow-up Submission - </w:t>
      </w:r>
      <w:r w:rsidRPr="008D57D5">
        <w:rPr>
          <w:rFonts w:ascii="Calibri" w:hAnsi="Calibri" w:cs="Calibri"/>
          <w:bCs/>
          <w:i/>
          <w:iCs/>
          <w:sz w:val="16"/>
          <w:szCs w:val="16"/>
          <w:lang w:val="en-US"/>
        </w:rPr>
        <w:t xml:space="preserve">Enforced Disappearances in China: Update on Actors and Scale of </w:t>
      </w:r>
      <w:proofErr w:type="spellStart"/>
      <w:r w:rsidRPr="008D57D5">
        <w:rPr>
          <w:rFonts w:ascii="Calibri" w:hAnsi="Calibri" w:cs="Calibri"/>
          <w:bCs/>
          <w:i/>
          <w:iCs/>
          <w:sz w:val="16"/>
          <w:szCs w:val="16"/>
          <w:lang w:val="en-US"/>
        </w:rPr>
        <w:t>Liuzhi</w:t>
      </w:r>
      <w:proofErr w:type="spellEnd"/>
      <w:r w:rsidRPr="008D57D5">
        <w:rPr>
          <w:rFonts w:ascii="Calibri" w:hAnsi="Calibri" w:cs="Calibri"/>
          <w:bCs/>
          <w:i/>
          <w:iCs/>
          <w:sz w:val="16"/>
          <w:szCs w:val="16"/>
          <w:lang w:val="en-US"/>
        </w:rPr>
        <w:t xml:space="preserve"> Use</w:t>
      </w:r>
      <w:r w:rsidRPr="00EA3A86">
        <w:rPr>
          <w:rFonts w:ascii="Calibri" w:hAnsi="Calibri" w:cs="Calibri"/>
          <w:bCs/>
          <w:sz w:val="16"/>
          <w:szCs w:val="16"/>
          <w:lang w:val="en-US"/>
        </w:rPr>
        <w:t xml:space="preserve">, 12 December 2024; Safeguard Defenders, </w:t>
      </w:r>
      <w:r w:rsidRPr="00EA3A86">
        <w:rPr>
          <w:rFonts w:ascii="Calibri" w:hAnsi="Calibri" w:cs="Calibri"/>
          <w:i/>
          <w:iCs/>
          <w:sz w:val="16"/>
          <w:szCs w:val="16"/>
          <w:lang w:val="en-US"/>
        </w:rPr>
        <w:t xml:space="preserve">Follow-up Submission - </w:t>
      </w:r>
      <w:r w:rsidRPr="008D57D5">
        <w:rPr>
          <w:rFonts w:ascii="Calibri" w:hAnsi="Calibri" w:cs="Calibri"/>
          <w:i/>
          <w:iCs/>
          <w:sz w:val="16"/>
          <w:szCs w:val="16"/>
          <w:lang w:val="en-US"/>
        </w:rPr>
        <w:t xml:space="preserve">Enforced Disappearances in China: Update on Scale of </w:t>
      </w:r>
      <w:proofErr w:type="spellStart"/>
      <w:r w:rsidRPr="008D57D5">
        <w:rPr>
          <w:rFonts w:ascii="Calibri" w:hAnsi="Calibri" w:cs="Calibri"/>
          <w:i/>
          <w:iCs/>
          <w:sz w:val="16"/>
          <w:szCs w:val="16"/>
          <w:lang w:val="en-US"/>
        </w:rPr>
        <w:t>Liuzhi</w:t>
      </w:r>
      <w:proofErr w:type="spellEnd"/>
      <w:r w:rsidRPr="008D57D5">
        <w:rPr>
          <w:rFonts w:ascii="Calibri" w:hAnsi="Calibri" w:cs="Calibri"/>
          <w:i/>
          <w:iCs/>
          <w:sz w:val="16"/>
          <w:szCs w:val="16"/>
          <w:lang w:val="en-US"/>
        </w:rPr>
        <w:t xml:space="preserve"> Use</w:t>
      </w:r>
      <w:r w:rsidRPr="00EA3A86">
        <w:rPr>
          <w:rFonts w:ascii="Calibri" w:hAnsi="Calibri" w:cs="Calibri"/>
          <w:i/>
          <w:iCs/>
          <w:sz w:val="16"/>
          <w:szCs w:val="16"/>
          <w:lang w:val="en-US"/>
        </w:rPr>
        <w:t xml:space="preserve">, </w:t>
      </w:r>
      <w:r w:rsidRPr="00EA3A86">
        <w:rPr>
          <w:rFonts w:ascii="Calibri" w:hAnsi="Calibri" w:cs="Calibri"/>
          <w:sz w:val="16"/>
          <w:szCs w:val="16"/>
          <w:lang w:val="en-US"/>
        </w:rPr>
        <w:t>6 July 2025. [A copy of each of these submissions was shared with the UN Office and Drugs and Crime.]</w:t>
      </w:r>
    </w:p>
  </w:footnote>
  <w:footnote w:id="5">
    <w:p w14:paraId="08682353" w14:textId="4E0CC154" w:rsidR="00926D53" w:rsidRPr="00EA3A86" w:rsidRDefault="00926D53">
      <w:pPr>
        <w:pStyle w:val="FootnoteText"/>
        <w:rPr>
          <w:rFonts w:ascii="Calibri" w:hAnsi="Calibri" w:cs="Calibri"/>
          <w:sz w:val="16"/>
          <w:szCs w:val="16"/>
          <w:lang w:val="en-US"/>
        </w:rPr>
      </w:pPr>
      <w:r w:rsidRPr="00EA3A86">
        <w:rPr>
          <w:rStyle w:val="FootnoteReference"/>
          <w:rFonts w:ascii="Calibri" w:hAnsi="Calibri" w:cs="Calibri"/>
          <w:sz w:val="16"/>
          <w:szCs w:val="16"/>
        </w:rPr>
        <w:footnoteRef/>
      </w:r>
      <w:r w:rsidRPr="00EA3A86">
        <w:rPr>
          <w:rFonts w:ascii="Calibri" w:hAnsi="Calibri" w:cs="Calibri"/>
          <w:sz w:val="16"/>
          <w:szCs w:val="16"/>
          <w:lang w:val="en-US"/>
        </w:rPr>
        <w:t xml:space="preserve"> Office of the High Commissioner for Human Rights, </w:t>
      </w:r>
      <w:r w:rsidRPr="00EA3A86">
        <w:rPr>
          <w:rFonts w:ascii="Calibri" w:hAnsi="Calibri" w:cs="Calibri"/>
          <w:i/>
          <w:iCs/>
          <w:sz w:val="16"/>
          <w:szCs w:val="16"/>
          <w:lang w:val="en-US"/>
        </w:rPr>
        <w:t>Civic Space Brief – Transnational Repression</w:t>
      </w:r>
      <w:r w:rsidRPr="00EA3A86">
        <w:rPr>
          <w:rFonts w:ascii="Calibri" w:hAnsi="Calibri" w:cs="Calibri"/>
          <w:sz w:val="16"/>
          <w:szCs w:val="16"/>
          <w:lang w:val="en-US"/>
        </w:rPr>
        <w:t xml:space="preserve">, 18 June 2025, </w:t>
      </w:r>
      <w:r>
        <w:fldChar w:fldCharType="begin"/>
      </w:r>
      <w:r w:rsidRPr="002D0832">
        <w:rPr>
          <w:lang w:val="en-US"/>
        </w:rPr>
        <w:instrText>HYPERLINK "https://www.ohchr.org/en/documents/tools-and-resources/transnational-repression"</w:instrText>
      </w:r>
      <w:r>
        <w:fldChar w:fldCharType="separate"/>
      </w:r>
      <w:r w:rsidRPr="00EA3A86">
        <w:rPr>
          <w:rStyle w:val="Hyperlink"/>
          <w:rFonts w:ascii="Calibri" w:hAnsi="Calibri" w:cs="Calibri"/>
          <w:sz w:val="16"/>
          <w:szCs w:val="16"/>
          <w:lang w:val="en-US"/>
        </w:rPr>
        <w:t>https://www.ohchr.org/en/documents/tools-and-resources/transnational-repression</w:t>
      </w:r>
      <w:r>
        <w:fldChar w:fldCharType="end"/>
      </w:r>
      <w:r w:rsidRPr="00EA3A86">
        <w:rPr>
          <w:rFonts w:ascii="Calibri" w:hAnsi="Calibri" w:cs="Calibri"/>
          <w:sz w:val="16"/>
          <w:szCs w:val="16"/>
          <w:lang w:val="en-US"/>
        </w:rPr>
        <w:t xml:space="preserve">. </w:t>
      </w:r>
    </w:p>
  </w:footnote>
  <w:footnote w:id="6">
    <w:p w14:paraId="67455DA5" w14:textId="326A46B2" w:rsidR="00926D53" w:rsidRPr="00EA3A86" w:rsidRDefault="00926D53">
      <w:pPr>
        <w:pStyle w:val="FootnoteText"/>
        <w:rPr>
          <w:rFonts w:ascii="Calibri" w:hAnsi="Calibri" w:cs="Calibri"/>
          <w:sz w:val="16"/>
          <w:szCs w:val="16"/>
          <w:lang w:val="en-US"/>
        </w:rPr>
      </w:pPr>
      <w:r w:rsidRPr="00EA3A86">
        <w:rPr>
          <w:rStyle w:val="FootnoteReference"/>
          <w:rFonts w:ascii="Calibri" w:hAnsi="Calibri" w:cs="Calibri"/>
          <w:sz w:val="16"/>
          <w:szCs w:val="16"/>
        </w:rPr>
        <w:footnoteRef/>
      </w:r>
      <w:r w:rsidRPr="00EA3A86">
        <w:rPr>
          <w:rFonts w:ascii="Calibri" w:hAnsi="Calibri" w:cs="Calibri"/>
          <w:sz w:val="16"/>
          <w:szCs w:val="16"/>
          <w:lang w:val="en-US"/>
        </w:rPr>
        <w:t xml:space="preserve"> Prime Minister of Canada, </w:t>
      </w:r>
      <w:r w:rsidRPr="00EA3A86">
        <w:rPr>
          <w:rFonts w:ascii="Calibri" w:hAnsi="Calibri" w:cs="Calibri"/>
          <w:i/>
          <w:iCs/>
          <w:sz w:val="16"/>
          <w:szCs w:val="16"/>
          <w:lang w:val="en-US"/>
        </w:rPr>
        <w:t>G7 Leaders’ Statement on Transnational Repression</w:t>
      </w:r>
      <w:r w:rsidRPr="00EA3A86">
        <w:rPr>
          <w:rFonts w:ascii="Calibri" w:hAnsi="Calibri" w:cs="Calibri"/>
          <w:sz w:val="16"/>
          <w:szCs w:val="16"/>
          <w:lang w:val="en-US"/>
        </w:rPr>
        <w:t xml:space="preserve">, 17 June 2025, </w:t>
      </w:r>
      <w:r>
        <w:fldChar w:fldCharType="begin"/>
      </w:r>
      <w:r w:rsidRPr="002D0832">
        <w:rPr>
          <w:lang w:val="en-US"/>
        </w:rPr>
        <w:instrText>HYPERLINK "https://www.pm.gc.ca/en/news/statements/2025/06/17/g7-leaders-statement-transnational-repression"</w:instrText>
      </w:r>
      <w:r>
        <w:fldChar w:fldCharType="separate"/>
      </w:r>
      <w:r w:rsidRPr="00EA3A86">
        <w:rPr>
          <w:rStyle w:val="Hyperlink"/>
          <w:rFonts w:ascii="Calibri" w:hAnsi="Calibri" w:cs="Calibri"/>
          <w:sz w:val="16"/>
          <w:szCs w:val="16"/>
          <w:lang w:val="en-US"/>
        </w:rPr>
        <w:t>https://www.pm.gc.ca/en/news/statements/2025/06/17/g7-leaders-statement-transnational-repression</w:t>
      </w:r>
      <w:r>
        <w:fldChar w:fldCharType="end"/>
      </w:r>
      <w:r w:rsidRPr="00EA3A86">
        <w:rPr>
          <w:rFonts w:ascii="Calibri" w:hAnsi="Calibri" w:cs="Calibri"/>
          <w:sz w:val="16"/>
          <w:szCs w:val="16"/>
          <w:lang w:val="en-US"/>
        </w:rPr>
        <w:t xml:space="preserve">. </w:t>
      </w:r>
    </w:p>
  </w:footnote>
  <w:footnote w:id="7">
    <w:p w14:paraId="5AF2883B" w14:textId="401DE95B" w:rsidR="00840AC2" w:rsidRPr="00840AC2" w:rsidRDefault="00840AC2" w:rsidP="00840AC2">
      <w:pPr>
        <w:pStyle w:val="FootnoteText"/>
        <w:rPr>
          <w:rFonts w:ascii="Calibri" w:hAnsi="Calibri" w:cs="Calibri"/>
          <w:sz w:val="16"/>
          <w:szCs w:val="16"/>
          <w:lang w:val="en-US"/>
        </w:rPr>
      </w:pPr>
      <w:r w:rsidRPr="00840AC2">
        <w:rPr>
          <w:rStyle w:val="FootnoteReference"/>
          <w:rFonts w:ascii="Calibri" w:hAnsi="Calibri" w:cs="Calibri"/>
          <w:sz w:val="16"/>
          <w:szCs w:val="16"/>
        </w:rPr>
        <w:footnoteRef/>
      </w:r>
      <w:r w:rsidRPr="00840AC2">
        <w:rPr>
          <w:rFonts w:ascii="Calibri" w:hAnsi="Calibri" w:cs="Calibri"/>
          <w:sz w:val="16"/>
          <w:szCs w:val="16"/>
          <w:lang w:val="en-US"/>
        </w:rPr>
        <w:t xml:space="preserve"> </w:t>
      </w:r>
      <w:r w:rsidRPr="00840AC2">
        <w:rPr>
          <w:rFonts w:ascii="Calibri" w:hAnsi="Calibri" w:cs="Calibri"/>
          <w:color w:val="1E1E1F"/>
          <w:sz w:val="16"/>
          <w:szCs w:val="16"/>
          <w:shd w:val="clear" w:color="auto" w:fill="FFFFFF"/>
          <w:lang w:val="en-US"/>
        </w:rPr>
        <w:t xml:space="preserve">Nate Schenkkan, Zselyke </w:t>
      </w:r>
      <w:proofErr w:type="spellStart"/>
      <w:r w:rsidRPr="00840AC2">
        <w:rPr>
          <w:rFonts w:ascii="Calibri" w:hAnsi="Calibri" w:cs="Calibri"/>
          <w:color w:val="1E1E1F"/>
          <w:sz w:val="16"/>
          <w:szCs w:val="16"/>
          <w:shd w:val="clear" w:color="auto" w:fill="FFFFFF"/>
          <w:lang w:val="en-US"/>
        </w:rPr>
        <w:t>Csaky</w:t>
      </w:r>
      <w:proofErr w:type="spellEnd"/>
      <w:r w:rsidRPr="00840AC2">
        <w:rPr>
          <w:rFonts w:ascii="Calibri" w:hAnsi="Calibri" w:cs="Calibri"/>
          <w:color w:val="1E1E1F"/>
          <w:sz w:val="16"/>
          <w:szCs w:val="16"/>
          <w:shd w:val="clear" w:color="auto" w:fill="FFFFFF"/>
          <w:lang w:val="en-US"/>
        </w:rPr>
        <w:t xml:space="preserve">, Emile Dirks, Alexander </w:t>
      </w:r>
      <w:proofErr w:type="spellStart"/>
      <w:r w:rsidRPr="00840AC2">
        <w:rPr>
          <w:rFonts w:ascii="Calibri" w:hAnsi="Calibri" w:cs="Calibri"/>
          <w:color w:val="1E1E1F"/>
          <w:sz w:val="16"/>
          <w:szCs w:val="16"/>
          <w:shd w:val="clear" w:color="auto" w:fill="FFFFFF"/>
          <w:lang w:val="en-US"/>
        </w:rPr>
        <w:t>Dukalskis</w:t>
      </w:r>
      <w:proofErr w:type="spellEnd"/>
      <w:r w:rsidRPr="00840AC2">
        <w:rPr>
          <w:rFonts w:ascii="Calibri" w:hAnsi="Calibri" w:cs="Calibri"/>
          <w:color w:val="1E1E1F"/>
          <w:sz w:val="16"/>
          <w:szCs w:val="16"/>
          <w:shd w:val="clear" w:color="auto" w:fill="FFFFFF"/>
          <w:lang w:val="en-US"/>
        </w:rPr>
        <w:t xml:space="preserve">, </w:t>
      </w:r>
      <w:r w:rsidRPr="00840AC2">
        <w:rPr>
          <w:rFonts w:ascii="Calibri" w:hAnsi="Calibri" w:cs="Calibri"/>
          <w:i/>
          <w:iCs/>
          <w:color w:val="1E1E1F"/>
          <w:sz w:val="16"/>
          <w:szCs w:val="16"/>
          <w:shd w:val="clear" w:color="auto" w:fill="FFFFFF"/>
          <w:lang w:val="en-US"/>
        </w:rPr>
        <w:t>European Parliament Study</w:t>
      </w:r>
      <w:r w:rsidRPr="00840AC2">
        <w:rPr>
          <w:rFonts w:ascii="Calibri" w:hAnsi="Calibri" w:cs="Calibri"/>
          <w:i/>
          <w:iCs/>
          <w:sz w:val="16"/>
          <w:szCs w:val="16"/>
          <w:lang w:val="en-US"/>
        </w:rPr>
        <w:t>: Perpetrators and methods of transnational repression and possible counter strategies</w:t>
      </w:r>
      <w:r w:rsidRPr="00840AC2">
        <w:rPr>
          <w:rFonts w:ascii="Calibri" w:hAnsi="Calibri" w:cs="Calibri"/>
          <w:sz w:val="16"/>
          <w:szCs w:val="16"/>
          <w:lang w:val="en-US"/>
        </w:rPr>
        <w:t xml:space="preserve">, 22 January 2026, </w:t>
      </w:r>
      <w:r>
        <w:fldChar w:fldCharType="begin"/>
      </w:r>
      <w:r w:rsidRPr="002D0832">
        <w:rPr>
          <w:lang w:val="en-US"/>
        </w:rPr>
        <w:instrText>HYPERLINK "https://www.europarl.europa.eu/thinktank/en/document/EXAS_STU(2026)775286"</w:instrText>
      </w:r>
      <w:r>
        <w:fldChar w:fldCharType="separate"/>
      </w:r>
      <w:r w:rsidRPr="00840AC2">
        <w:rPr>
          <w:rStyle w:val="Hyperlink"/>
          <w:rFonts w:ascii="Calibri" w:hAnsi="Calibri" w:cs="Calibri"/>
          <w:sz w:val="16"/>
          <w:szCs w:val="16"/>
          <w:lang w:val="en-US"/>
        </w:rPr>
        <w:t>https://www.europarl.europa.eu/thinktank/en/document/EXAS_STU(2026)775286</w:t>
      </w:r>
      <w:r>
        <w:fldChar w:fldCharType="end"/>
      </w:r>
      <w:r w:rsidRPr="00840AC2">
        <w:rPr>
          <w:rFonts w:ascii="Calibri" w:hAnsi="Calibri" w:cs="Calibri"/>
          <w:sz w:val="16"/>
          <w:szCs w:val="16"/>
          <w:lang w:val="en-US"/>
        </w:rPr>
        <w:t xml:space="preserve">. </w:t>
      </w:r>
    </w:p>
    <w:p w14:paraId="309AABA7" w14:textId="25613573" w:rsidR="00840AC2" w:rsidRPr="00840AC2" w:rsidRDefault="00840AC2">
      <w:pPr>
        <w:pStyle w:val="FootnoteText"/>
        <w:rPr>
          <w:lang w:val="en-US"/>
        </w:rPr>
      </w:pPr>
    </w:p>
  </w:footnote>
  <w:footnote w:id="8">
    <w:p w14:paraId="18BB8F70" w14:textId="36217050" w:rsidR="00EA3A86" w:rsidRPr="00EA3A86" w:rsidRDefault="00EA3A86">
      <w:pPr>
        <w:pStyle w:val="FootnoteText"/>
        <w:rPr>
          <w:rFonts w:ascii="Calibri" w:hAnsi="Calibri" w:cs="Calibri"/>
          <w:sz w:val="16"/>
          <w:szCs w:val="16"/>
          <w:lang w:val="en-US"/>
        </w:rPr>
      </w:pPr>
      <w:r w:rsidRPr="00EA3A86">
        <w:rPr>
          <w:rStyle w:val="FootnoteReference"/>
          <w:rFonts w:ascii="Calibri" w:hAnsi="Calibri" w:cs="Calibri"/>
          <w:sz w:val="16"/>
          <w:szCs w:val="16"/>
        </w:rPr>
        <w:footnoteRef/>
      </w:r>
      <w:r w:rsidRPr="00EA3A86">
        <w:rPr>
          <w:rFonts w:ascii="Calibri" w:hAnsi="Calibri" w:cs="Calibri"/>
          <w:sz w:val="16"/>
          <w:szCs w:val="16"/>
          <w:lang w:val="en-US"/>
        </w:rPr>
        <w:t xml:space="preserve"> The National People’s Congress of the People’s Republic of China, </w:t>
      </w:r>
      <w:r w:rsidRPr="00EA3A86">
        <w:rPr>
          <w:rFonts w:ascii="Calibri" w:hAnsi="Calibri" w:cs="Calibri"/>
          <w:i/>
          <w:iCs/>
          <w:sz w:val="16"/>
          <w:szCs w:val="16"/>
          <w:lang w:val="en-US"/>
        </w:rPr>
        <w:t>Supervision Law of the People’s Republic of China</w:t>
      </w:r>
      <w:r w:rsidRPr="00EA3A86">
        <w:rPr>
          <w:rFonts w:ascii="Calibri" w:hAnsi="Calibri" w:cs="Calibri"/>
          <w:sz w:val="16"/>
          <w:szCs w:val="16"/>
          <w:lang w:val="en-US"/>
        </w:rPr>
        <w:t xml:space="preserve">, 20 March 2018, </w:t>
      </w:r>
      <w:r>
        <w:fldChar w:fldCharType="begin"/>
      </w:r>
      <w:r w:rsidRPr="002D0832">
        <w:rPr>
          <w:lang w:val="en-US"/>
        </w:rPr>
        <w:instrText>HYPERLINK "http://en.npc.gov.cn.cdurl.cn/2018-03/20/c_1020382.htm"</w:instrText>
      </w:r>
      <w:r>
        <w:fldChar w:fldCharType="separate"/>
      </w:r>
      <w:r w:rsidRPr="00EA3A86">
        <w:rPr>
          <w:rStyle w:val="Hyperlink"/>
          <w:rFonts w:ascii="Calibri" w:hAnsi="Calibri" w:cs="Calibri"/>
          <w:sz w:val="16"/>
          <w:szCs w:val="16"/>
          <w:lang w:val="en-US"/>
        </w:rPr>
        <w:t>http://en.npc.gov.cn.cdurl.cn/2018-03/20/c_1020382.htm</w:t>
      </w:r>
      <w:r>
        <w:fldChar w:fldCharType="end"/>
      </w:r>
      <w:r w:rsidRPr="00EA3A86">
        <w:rPr>
          <w:rFonts w:ascii="Calibri" w:hAnsi="Calibri" w:cs="Calibri"/>
          <w:sz w:val="16"/>
          <w:szCs w:val="16"/>
          <w:lang w:val="en-US"/>
        </w:rPr>
        <w:t xml:space="preserve">. </w:t>
      </w:r>
    </w:p>
  </w:footnote>
  <w:footnote w:id="9">
    <w:p w14:paraId="74580F8E" w14:textId="3124C55E" w:rsidR="00EA3A86" w:rsidRPr="00EA3A86" w:rsidRDefault="00EA3A86" w:rsidP="00EA3A86">
      <w:pPr>
        <w:pStyle w:val="FootnoteText"/>
        <w:rPr>
          <w:rFonts w:ascii="SimSun" w:eastAsia="SimSun" w:hAnsi="SimSun" w:cs="Calibri"/>
          <w:i/>
          <w:iCs/>
          <w:sz w:val="15"/>
          <w:szCs w:val="15"/>
          <w:lang w:val="en-US"/>
        </w:rPr>
      </w:pPr>
      <w:r w:rsidRPr="00EA3A86">
        <w:rPr>
          <w:rStyle w:val="FootnoteReference"/>
          <w:rFonts w:ascii="Calibri" w:hAnsi="Calibri" w:cs="Calibri"/>
          <w:sz w:val="16"/>
          <w:szCs w:val="16"/>
        </w:rPr>
        <w:footnoteRef/>
      </w:r>
      <w:r w:rsidRPr="00EA3A86">
        <w:rPr>
          <w:rFonts w:ascii="Calibri" w:hAnsi="Calibri" w:cs="Calibri"/>
          <w:sz w:val="16"/>
          <w:szCs w:val="16"/>
          <w:lang w:val="en-US"/>
        </w:rPr>
        <w:t xml:space="preserve"> </w:t>
      </w:r>
      <w:r w:rsidR="00E02991" w:rsidRPr="00E02991">
        <w:rPr>
          <w:rFonts w:ascii="Calibri" w:hAnsi="Calibri" w:cs="Calibri"/>
          <w:sz w:val="16"/>
          <w:szCs w:val="16"/>
          <w:lang w:val="en-US"/>
        </w:rPr>
        <w:t>Commission for Discipline Inspection of the CPC Central Committee</w:t>
      </w:r>
      <w:r w:rsidRPr="00EA3A86">
        <w:rPr>
          <w:rFonts w:ascii="Calibri" w:hAnsi="Calibri" w:cs="Calibri"/>
          <w:sz w:val="16"/>
          <w:szCs w:val="16"/>
          <w:lang w:val="en-US"/>
        </w:rPr>
        <w:t xml:space="preserve">, </w:t>
      </w:r>
      <w:r w:rsidRPr="00EA3A86">
        <w:rPr>
          <w:rFonts w:ascii="Calibri" w:eastAsia="MS Mincho" w:hAnsi="Calibri" w:cs="Calibri"/>
          <w:sz w:val="16"/>
          <w:szCs w:val="16"/>
          <w:lang w:val="en-US"/>
        </w:rPr>
        <w:t>《</w:t>
      </w:r>
      <w:proofErr w:type="spellStart"/>
      <w:r w:rsidRPr="00EA3A86">
        <w:rPr>
          <w:rFonts w:ascii="SimSun" w:eastAsia="SimSun" w:hAnsi="SimSun" w:cs="Calibri"/>
          <w:i/>
          <w:iCs/>
          <w:sz w:val="15"/>
          <w:szCs w:val="15"/>
          <w:lang w:val="en-US"/>
        </w:rPr>
        <w:t>中华人民共和国监察法》释义</w:t>
      </w:r>
      <w:proofErr w:type="spellEnd"/>
      <w:r w:rsidRPr="00EA3A86">
        <w:rPr>
          <w:rFonts w:ascii="SimSun" w:eastAsia="SimSun" w:hAnsi="SimSun" w:cs="Calibri"/>
          <w:i/>
          <w:iCs/>
          <w:sz w:val="15"/>
          <w:szCs w:val="15"/>
          <w:lang w:val="en-US"/>
        </w:rPr>
        <w:t>:</w:t>
      </w:r>
      <w:proofErr w:type="spellStart"/>
      <w:r w:rsidRPr="00EA3A86">
        <w:rPr>
          <w:rFonts w:ascii="SimSun" w:eastAsia="SimSun" w:hAnsi="SimSun" w:cs="Calibri"/>
          <w:i/>
          <w:iCs/>
          <w:sz w:val="15"/>
          <w:szCs w:val="15"/>
          <w:lang w:val="en-US"/>
        </w:rPr>
        <w:t>第六章反腐败国际合作第五十二条</w:t>
      </w:r>
      <w:proofErr w:type="spellEnd"/>
      <w:r w:rsidRPr="00EA3A86">
        <w:rPr>
          <w:rFonts w:ascii="Calibri" w:hAnsi="Calibri" w:cs="Calibri"/>
          <w:sz w:val="16"/>
          <w:szCs w:val="16"/>
          <w:lang w:val="en-US"/>
        </w:rPr>
        <w:t xml:space="preserve">, 4 July 2018, </w:t>
      </w:r>
      <w:r>
        <w:fldChar w:fldCharType="begin"/>
      </w:r>
      <w:r w:rsidRPr="002D0832">
        <w:rPr>
          <w:lang w:val="en-US"/>
        </w:rPr>
        <w:instrText>HYPERLINK "https://web.archive.org/web/20220328145410/https:/www.ccdi.gov.cn/djfgn/fgsy/201807/t20180704_33962.html"</w:instrText>
      </w:r>
      <w:r>
        <w:fldChar w:fldCharType="separate"/>
      </w:r>
      <w:r w:rsidRPr="00EA3A86">
        <w:rPr>
          <w:rStyle w:val="Hyperlink"/>
          <w:rFonts w:ascii="Calibri" w:hAnsi="Calibri" w:cs="Calibri"/>
          <w:sz w:val="16"/>
          <w:szCs w:val="16"/>
          <w:lang w:val="en-US"/>
        </w:rPr>
        <w:t>https://web.archive.org/web/20220328145410/https:/www.ccdi.gov.cn/djfgn/fgsy/201807/t20180704_33962.html</w:t>
      </w:r>
      <w:r>
        <w:fldChar w:fldCharType="end"/>
      </w:r>
      <w:r w:rsidRPr="00EA3A86">
        <w:rPr>
          <w:rFonts w:ascii="Calibri" w:hAnsi="Calibri" w:cs="Calibri"/>
          <w:sz w:val="16"/>
          <w:szCs w:val="16"/>
          <w:lang w:val="en-US"/>
        </w:rPr>
        <w:t>.</w:t>
      </w:r>
      <w:r>
        <w:rPr>
          <w:rFonts w:ascii="Calibri" w:hAnsi="Calibri" w:cs="Calibri"/>
          <w:sz w:val="16"/>
          <w:szCs w:val="16"/>
          <w:lang w:val="en-US"/>
        </w:rPr>
        <w:t xml:space="preserve"> </w:t>
      </w:r>
    </w:p>
  </w:footnote>
  <w:footnote w:id="10">
    <w:p w14:paraId="130114A9" w14:textId="2AE1FFA7" w:rsidR="00D5572F" w:rsidRPr="00D5572F" w:rsidRDefault="00D5572F">
      <w:pPr>
        <w:pStyle w:val="FootnoteText"/>
        <w:rPr>
          <w:rFonts w:ascii="Calibri" w:hAnsi="Calibri" w:cs="Calibri"/>
          <w:sz w:val="16"/>
          <w:szCs w:val="16"/>
          <w:lang w:val="en-US"/>
        </w:rPr>
      </w:pPr>
      <w:r w:rsidRPr="00D5572F">
        <w:rPr>
          <w:rStyle w:val="FootnoteReference"/>
          <w:rFonts w:ascii="Calibri" w:hAnsi="Calibri" w:cs="Calibri"/>
          <w:sz w:val="16"/>
          <w:szCs w:val="16"/>
        </w:rPr>
        <w:footnoteRef/>
      </w:r>
      <w:r w:rsidRPr="00D5572F">
        <w:rPr>
          <w:rFonts w:ascii="Calibri" w:hAnsi="Calibri" w:cs="Calibri"/>
          <w:sz w:val="16"/>
          <w:szCs w:val="16"/>
          <w:lang w:val="en-US"/>
        </w:rPr>
        <w:t xml:space="preserve"> UN Committee Against Torture, </w:t>
      </w:r>
      <w:r w:rsidRPr="00D5572F">
        <w:rPr>
          <w:rFonts w:ascii="Calibri" w:hAnsi="Calibri" w:cs="Calibri"/>
          <w:i/>
          <w:iCs/>
          <w:sz w:val="16"/>
          <w:szCs w:val="16"/>
          <w:lang w:val="en-US"/>
        </w:rPr>
        <w:t>General comment No. 4 (2017) on the implementation of article 3 of the Convention in the context of article 22</w:t>
      </w:r>
      <w:r w:rsidRPr="00D5572F">
        <w:rPr>
          <w:rFonts w:ascii="Calibri" w:hAnsi="Calibri" w:cs="Calibri"/>
          <w:sz w:val="16"/>
          <w:szCs w:val="16"/>
          <w:lang w:val="en-US"/>
        </w:rPr>
        <w:t xml:space="preserve">, CAT/C/GC/4, Office of the High Commissioner for Human Rights, 4 September 2018, available at: </w:t>
      </w:r>
      <w:r>
        <w:fldChar w:fldCharType="begin"/>
      </w:r>
      <w:r w:rsidRPr="002D0832">
        <w:rPr>
          <w:lang w:val="en-US"/>
        </w:rPr>
        <w:instrText>HYPERLINK "https://www.ohchr.org/en/documents/general-comments-and-recommendations/catcgc4-general-comment-no-4-2017-implementation"</w:instrText>
      </w:r>
      <w:r>
        <w:fldChar w:fldCharType="separate"/>
      </w:r>
      <w:r w:rsidRPr="00D5572F">
        <w:rPr>
          <w:rStyle w:val="Hyperlink"/>
          <w:rFonts w:ascii="Calibri" w:hAnsi="Calibri" w:cs="Calibri"/>
          <w:sz w:val="16"/>
          <w:szCs w:val="16"/>
          <w:lang w:val="en-US"/>
        </w:rPr>
        <w:t>https://www.ohchr.org/en/documents/general-comments-and-recommendations/catcgc4-general-comment-no-4-2017-implementation</w:t>
      </w:r>
      <w:r>
        <w:fldChar w:fldCharType="end"/>
      </w:r>
      <w:r w:rsidRPr="00D5572F">
        <w:rPr>
          <w:rFonts w:ascii="Calibri" w:hAnsi="Calibri" w:cs="Calibri"/>
          <w:sz w:val="16"/>
          <w:szCs w:val="16"/>
          <w:lang w:val="en-US"/>
        </w:rPr>
        <w:t>.</w:t>
      </w:r>
    </w:p>
  </w:footnote>
  <w:footnote w:id="11">
    <w:p w14:paraId="3898F6E7" w14:textId="416CF0A1" w:rsidR="00701B58" w:rsidRPr="00701B58" w:rsidRDefault="00701B58">
      <w:pPr>
        <w:pStyle w:val="FootnoteText"/>
        <w:rPr>
          <w:rFonts w:ascii="Calibri" w:hAnsi="Calibri" w:cs="Calibri"/>
          <w:sz w:val="16"/>
          <w:szCs w:val="16"/>
          <w:lang w:val="en-US"/>
        </w:rPr>
      </w:pPr>
      <w:r w:rsidRPr="00701B58">
        <w:rPr>
          <w:rStyle w:val="FootnoteReference"/>
          <w:rFonts w:ascii="Calibri" w:hAnsi="Calibri" w:cs="Calibri"/>
          <w:sz w:val="16"/>
          <w:szCs w:val="16"/>
        </w:rPr>
        <w:footnoteRef/>
      </w:r>
      <w:r w:rsidRPr="00701B58">
        <w:rPr>
          <w:rFonts w:ascii="Calibri" w:hAnsi="Calibri" w:cs="Calibri"/>
          <w:sz w:val="16"/>
          <w:szCs w:val="16"/>
          <w:lang w:val="en-US"/>
        </w:rPr>
        <w:t xml:space="preserve"> European Court of Human Rights, </w:t>
      </w:r>
      <w:r w:rsidRPr="00701B58">
        <w:rPr>
          <w:rFonts w:ascii="Calibri" w:hAnsi="Calibri" w:cs="Calibri"/>
          <w:i/>
          <w:iCs/>
          <w:sz w:val="16"/>
          <w:szCs w:val="16"/>
          <w:lang w:val="en-US"/>
        </w:rPr>
        <w:t>Case of</w:t>
      </w:r>
      <w:r w:rsidRPr="00701B58">
        <w:rPr>
          <w:rFonts w:ascii="Calibri" w:hAnsi="Calibri" w:cs="Calibri"/>
          <w:sz w:val="16"/>
          <w:szCs w:val="16"/>
          <w:lang w:val="en-US"/>
        </w:rPr>
        <w:t xml:space="preserve"> </w:t>
      </w:r>
      <w:r w:rsidRPr="00701B58">
        <w:rPr>
          <w:rFonts w:ascii="Calibri" w:hAnsi="Calibri" w:cs="Calibri"/>
          <w:i/>
          <w:iCs/>
          <w:sz w:val="16"/>
          <w:szCs w:val="16"/>
          <w:lang w:val="en-US"/>
        </w:rPr>
        <w:t xml:space="preserve">Liu v. Poland </w:t>
      </w:r>
      <w:r w:rsidRPr="00701B58">
        <w:rPr>
          <w:rFonts w:ascii="Calibri" w:hAnsi="Calibri" w:cs="Calibri"/>
          <w:sz w:val="16"/>
          <w:szCs w:val="16"/>
          <w:lang w:val="en-US"/>
        </w:rPr>
        <w:t xml:space="preserve">(Application no. 37610/18), 6 October 2022, available at </w:t>
      </w:r>
      <w:r>
        <w:fldChar w:fldCharType="begin"/>
      </w:r>
      <w:r w:rsidRPr="002D0832">
        <w:rPr>
          <w:lang w:val="en-US"/>
        </w:rPr>
        <w:instrText>HYPERLINK "https://hudoc.echr.coe.int/fre?i=001-219786"</w:instrText>
      </w:r>
      <w:r>
        <w:fldChar w:fldCharType="separate"/>
      </w:r>
      <w:r w:rsidRPr="00701B58">
        <w:rPr>
          <w:rStyle w:val="Hyperlink"/>
          <w:rFonts w:ascii="Calibri" w:hAnsi="Calibri" w:cs="Calibri"/>
          <w:sz w:val="16"/>
          <w:szCs w:val="16"/>
          <w:lang w:val="en-US"/>
        </w:rPr>
        <w:t>https://hudoc.echr.coe.int/fre?i=001-219786</w:t>
      </w:r>
      <w:r>
        <w:fldChar w:fldCharType="end"/>
      </w:r>
      <w:r w:rsidRPr="00701B58">
        <w:rPr>
          <w:rFonts w:ascii="Calibri" w:hAnsi="Calibri" w:cs="Calibri"/>
          <w:sz w:val="16"/>
          <w:szCs w:val="16"/>
          <w:lang w:val="en-US"/>
        </w:rPr>
        <w:t>.</w:t>
      </w:r>
    </w:p>
  </w:footnote>
  <w:footnote w:id="12">
    <w:p w14:paraId="2AC95AE6" w14:textId="77777777" w:rsidR="00701B58" w:rsidRPr="00701B58" w:rsidRDefault="00701B58" w:rsidP="00701B58">
      <w:pPr>
        <w:pStyle w:val="FootnoteText"/>
        <w:rPr>
          <w:rFonts w:ascii="Calibri" w:hAnsi="Calibri" w:cs="Calibri"/>
          <w:sz w:val="16"/>
          <w:szCs w:val="16"/>
          <w:lang w:val="en-US"/>
        </w:rPr>
      </w:pPr>
      <w:r w:rsidRPr="00701B58">
        <w:rPr>
          <w:rStyle w:val="FootnoteReference"/>
          <w:rFonts w:ascii="Calibri" w:hAnsi="Calibri" w:cs="Calibri"/>
          <w:sz w:val="16"/>
          <w:szCs w:val="16"/>
        </w:rPr>
        <w:footnoteRef/>
      </w:r>
      <w:r w:rsidRPr="00701B58">
        <w:rPr>
          <w:rFonts w:ascii="Calibri" w:hAnsi="Calibri" w:cs="Calibri"/>
          <w:sz w:val="16"/>
          <w:szCs w:val="16"/>
          <w:lang w:val="en-US"/>
        </w:rPr>
        <w:t xml:space="preserve"> INTERPOL, </w:t>
      </w:r>
      <w:r w:rsidRPr="00701B58">
        <w:rPr>
          <w:rFonts w:ascii="Calibri" w:hAnsi="Calibri" w:cs="Calibri"/>
          <w:i/>
          <w:iCs/>
          <w:sz w:val="16"/>
          <w:szCs w:val="16"/>
          <w:lang w:val="en-US"/>
        </w:rPr>
        <w:t>Red Notices</w:t>
      </w:r>
      <w:r w:rsidRPr="00701B58">
        <w:rPr>
          <w:rFonts w:ascii="Calibri" w:hAnsi="Calibri" w:cs="Calibri"/>
          <w:sz w:val="16"/>
          <w:szCs w:val="16"/>
          <w:lang w:val="en-US"/>
        </w:rPr>
        <w:t xml:space="preserve">, </w:t>
      </w:r>
      <w:r>
        <w:fldChar w:fldCharType="begin"/>
      </w:r>
      <w:r w:rsidRPr="002D0832">
        <w:rPr>
          <w:lang w:val="en-US"/>
        </w:rPr>
        <w:instrText>HYPERLINK "https://www.interpol.int/How-we-work/Notices/Red-Notices"</w:instrText>
      </w:r>
      <w:r>
        <w:fldChar w:fldCharType="separate"/>
      </w:r>
      <w:r w:rsidRPr="00701B58">
        <w:rPr>
          <w:rStyle w:val="Hyperlink"/>
          <w:rFonts w:ascii="Calibri" w:hAnsi="Calibri" w:cs="Calibri"/>
          <w:sz w:val="16"/>
          <w:szCs w:val="16"/>
          <w:lang w:val="en-US"/>
        </w:rPr>
        <w:t>https://www.interpol.int/How-we-work/Notices/Red-Notices</w:t>
      </w:r>
      <w:r>
        <w:fldChar w:fldCharType="end"/>
      </w:r>
      <w:r w:rsidRPr="00701B58">
        <w:rPr>
          <w:rFonts w:ascii="Calibri" w:hAnsi="Calibri" w:cs="Calibri"/>
          <w:sz w:val="16"/>
          <w:szCs w:val="16"/>
          <w:lang w:val="en-US"/>
        </w:rPr>
        <w:t xml:space="preserve">. </w:t>
      </w:r>
    </w:p>
  </w:footnote>
  <w:footnote w:id="13">
    <w:p w14:paraId="4F1C4984" w14:textId="42A3641B" w:rsidR="006D672B" w:rsidRPr="006D672B" w:rsidRDefault="006D672B">
      <w:pPr>
        <w:pStyle w:val="FootnoteText"/>
        <w:rPr>
          <w:rFonts w:ascii="Calibri" w:hAnsi="Calibri" w:cs="Calibri"/>
          <w:sz w:val="16"/>
          <w:szCs w:val="16"/>
          <w:lang w:val="en-US"/>
        </w:rPr>
      </w:pPr>
      <w:r w:rsidRPr="006D672B">
        <w:rPr>
          <w:rStyle w:val="FootnoteReference"/>
          <w:rFonts w:ascii="Calibri" w:hAnsi="Calibri" w:cs="Calibri"/>
          <w:sz w:val="16"/>
          <w:szCs w:val="16"/>
        </w:rPr>
        <w:footnoteRef/>
      </w:r>
      <w:r w:rsidRPr="006D672B">
        <w:rPr>
          <w:rFonts w:ascii="Calibri" w:hAnsi="Calibri" w:cs="Calibri"/>
          <w:sz w:val="16"/>
          <w:szCs w:val="16"/>
          <w:lang w:val="en-US"/>
        </w:rPr>
        <w:t xml:space="preserve"> INTERPOL, </w:t>
      </w:r>
      <w:r w:rsidRPr="006D672B">
        <w:rPr>
          <w:rFonts w:ascii="Calibri" w:hAnsi="Calibri" w:cs="Calibri"/>
          <w:i/>
          <w:iCs/>
          <w:sz w:val="16"/>
          <w:szCs w:val="16"/>
          <w:lang w:val="en-US"/>
        </w:rPr>
        <w:t>Constitution of the ICPO-INTERPOL</w:t>
      </w:r>
      <w:r w:rsidRPr="006D672B">
        <w:rPr>
          <w:rFonts w:ascii="Calibri" w:hAnsi="Calibri" w:cs="Calibri"/>
          <w:sz w:val="16"/>
          <w:szCs w:val="16"/>
          <w:lang w:val="en-US"/>
        </w:rPr>
        <w:t xml:space="preserve">, </w:t>
      </w:r>
      <w:r>
        <w:fldChar w:fldCharType="begin"/>
      </w:r>
      <w:r w:rsidRPr="002D0832">
        <w:rPr>
          <w:lang w:val="en-US"/>
        </w:rPr>
        <w:instrText>HYPERLINK "https://www.interpol.int/Who-we-are/Legal-framework/Legal-documents"</w:instrText>
      </w:r>
      <w:r>
        <w:fldChar w:fldCharType="separate"/>
      </w:r>
      <w:r w:rsidRPr="006D672B">
        <w:rPr>
          <w:rStyle w:val="Hyperlink"/>
          <w:rFonts w:ascii="Calibri" w:hAnsi="Calibri" w:cs="Calibri"/>
          <w:sz w:val="16"/>
          <w:szCs w:val="16"/>
          <w:lang w:val="en-US"/>
        </w:rPr>
        <w:t>https://www.interpol.int/Who-we-are/Legal-framework/Legal-documents</w:t>
      </w:r>
      <w:r>
        <w:fldChar w:fldCharType="end"/>
      </w:r>
      <w:r w:rsidRPr="006D672B">
        <w:rPr>
          <w:rFonts w:ascii="Calibri" w:hAnsi="Calibri" w:cs="Calibri"/>
          <w:sz w:val="16"/>
          <w:szCs w:val="16"/>
          <w:lang w:val="en-US"/>
        </w:rPr>
        <w:t xml:space="preserve">. </w:t>
      </w:r>
    </w:p>
  </w:footnote>
  <w:footnote w:id="14">
    <w:p w14:paraId="4DC19D65" w14:textId="40F480FE" w:rsidR="00701B58" w:rsidRPr="00701B58" w:rsidRDefault="00701B58">
      <w:pPr>
        <w:pStyle w:val="FootnoteText"/>
        <w:rPr>
          <w:rFonts w:ascii="Calibri" w:hAnsi="Calibri" w:cs="Calibri"/>
          <w:sz w:val="16"/>
          <w:szCs w:val="16"/>
          <w:lang w:val="en-US"/>
        </w:rPr>
      </w:pPr>
      <w:r w:rsidRPr="00701B58">
        <w:rPr>
          <w:rStyle w:val="FootnoteReference"/>
          <w:rFonts w:ascii="Calibri" w:hAnsi="Calibri" w:cs="Calibri"/>
          <w:sz w:val="16"/>
          <w:szCs w:val="16"/>
        </w:rPr>
        <w:footnoteRef/>
      </w:r>
      <w:r w:rsidRPr="00701B58">
        <w:rPr>
          <w:rFonts w:ascii="Calibri" w:hAnsi="Calibri" w:cs="Calibri"/>
          <w:sz w:val="16"/>
          <w:szCs w:val="16"/>
          <w:lang w:val="en-US"/>
        </w:rPr>
        <w:t xml:space="preserve"> See: </w:t>
      </w:r>
      <w:r>
        <w:fldChar w:fldCharType="begin"/>
      </w:r>
      <w:r w:rsidRPr="002D0832">
        <w:rPr>
          <w:lang w:val="en-US"/>
        </w:rPr>
        <w:instrText>HYPERLINK "https://www.interpol.int/How-we-work/Notices/Red-Notices/View-Red-Notices"</w:instrText>
      </w:r>
      <w:r>
        <w:fldChar w:fldCharType="separate"/>
      </w:r>
      <w:r w:rsidRPr="00701B58">
        <w:rPr>
          <w:rStyle w:val="Hyperlink"/>
          <w:rFonts w:ascii="Calibri" w:hAnsi="Calibri" w:cs="Calibri"/>
          <w:sz w:val="16"/>
          <w:szCs w:val="16"/>
          <w:lang w:val="en-US"/>
        </w:rPr>
        <w:t>https://www.interpol.int/How-we-work/Notices/Red-Notices/View-Red-Notices</w:t>
      </w:r>
      <w:r>
        <w:fldChar w:fldCharType="end"/>
      </w:r>
      <w:r w:rsidRPr="00701B58">
        <w:rPr>
          <w:rFonts w:ascii="Calibri" w:hAnsi="Calibri" w:cs="Calibri"/>
          <w:sz w:val="16"/>
          <w:szCs w:val="16"/>
          <w:lang w:val="en-US"/>
        </w:rPr>
        <w:t xml:space="preserve">. </w:t>
      </w:r>
    </w:p>
  </w:footnote>
  <w:footnote w:id="15">
    <w:p w14:paraId="45D5F3AC" w14:textId="31E3A723" w:rsidR="006D672B" w:rsidRPr="00FF6B43" w:rsidRDefault="006D672B" w:rsidP="00FF6B43">
      <w:pPr>
        <w:pStyle w:val="FootnoteText"/>
        <w:rPr>
          <w:rFonts w:ascii="Calibri" w:hAnsi="Calibri" w:cs="Calibri"/>
          <w:sz w:val="16"/>
          <w:szCs w:val="16"/>
          <w:lang w:val="en-US"/>
        </w:rPr>
      </w:pPr>
      <w:r w:rsidRPr="00FF6B43">
        <w:rPr>
          <w:rStyle w:val="FootnoteReference"/>
          <w:rFonts w:ascii="Calibri" w:hAnsi="Calibri" w:cs="Calibri"/>
          <w:sz w:val="16"/>
          <w:szCs w:val="16"/>
        </w:rPr>
        <w:footnoteRef/>
      </w:r>
      <w:r w:rsidRPr="00FF6B43">
        <w:rPr>
          <w:rFonts w:ascii="Calibri" w:hAnsi="Calibri" w:cs="Calibri"/>
          <w:sz w:val="16"/>
          <w:szCs w:val="16"/>
          <w:lang w:val="en-US"/>
        </w:rPr>
        <w:t xml:space="preserve"> Safeguard Defenders, </w:t>
      </w:r>
      <w:r w:rsidRPr="00FF6B43">
        <w:rPr>
          <w:rFonts w:ascii="Calibri" w:hAnsi="Calibri" w:cs="Calibri"/>
          <w:i/>
          <w:iCs/>
          <w:sz w:val="16"/>
          <w:szCs w:val="16"/>
          <w:lang w:val="en-US"/>
        </w:rPr>
        <w:t xml:space="preserve">Chasing Fox Hunt - Tracing the PRC’s Forced Return Operations around the Globe, </w:t>
      </w:r>
      <w:r w:rsidRPr="00FF6B43">
        <w:rPr>
          <w:rFonts w:ascii="Calibri" w:hAnsi="Calibri" w:cs="Calibri"/>
          <w:sz w:val="16"/>
          <w:szCs w:val="16"/>
          <w:lang w:val="en-US"/>
        </w:rPr>
        <w:t xml:space="preserve">15 April 2024, </w:t>
      </w:r>
      <w:r>
        <w:fldChar w:fldCharType="begin"/>
      </w:r>
      <w:r w:rsidRPr="002D0832">
        <w:rPr>
          <w:lang w:val="en-US"/>
        </w:rPr>
        <w:instrText>HYPERLINK "https://safeguarddefenders.com/en/blog/new-report-chasing-fox-hunt"</w:instrText>
      </w:r>
      <w:r>
        <w:fldChar w:fldCharType="separate"/>
      </w:r>
      <w:r w:rsidRPr="00FF6B43">
        <w:rPr>
          <w:rStyle w:val="Hyperlink"/>
          <w:rFonts w:ascii="Calibri" w:hAnsi="Calibri" w:cs="Calibri"/>
          <w:sz w:val="16"/>
          <w:szCs w:val="16"/>
          <w:lang w:val="en-US"/>
        </w:rPr>
        <w:t>https://safeguarddefenders.com/en/blog/new-report-chasing-fox-hunt</w:t>
      </w:r>
      <w:r>
        <w:fldChar w:fldCharType="end"/>
      </w:r>
      <w:r w:rsidRPr="00FF6B43">
        <w:rPr>
          <w:rFonts w:ascii="Calibri" w:hAnsi="Calibri" w:cs="Calibri"/>
          <w:sz w:val="16"/>
          <w:szCs w:val="16"/>
          <w:lang w:val="en-US"/>
        </w:rPr>
        <w:t>.</w:t>
      </w:r>
    </w:p>
  </w:footnote>
  <w:footnote w:id="16">
    <w:p w14:paraId="02FC41FC" w14:textId="4BB7858B" w:rsidR="00643EE6" w:rsidRPr="00FF6B43" w:rsidRDefault="00643EE6" w:rsidP="00FF6B43">
      <w:pPr>
        <w:spacing w:line="240" w:lineRule="auto"/>
        <w:jc w:val="both"/>
        <w:rPr>
          <w:rFonts w:ascii="Calibri" w:hAnsi="Calibri" w:cs="Calibri"/>
          <w:sz w:val="16"/>
          <w:szCs w:val="16"/>
        </w:rPr>
      </w:pPr>
      <w:r w:rsidRPr="00FF6B43">
        <w:rPr>
          <w:rStyle w:val="FootnoteReference"/>
          <w:rFonts w:ascii="Calibri" w:hAnsi="Calibri" w:cs="Calibri"/>
          <w:sz w:val="16"/>
          <w:szCs w:val="16"/>
        </w:rPr>
        <w:footnoteRef/>
      </w:r>
      <w:r w:rsidRPr="00FF6B43">
        <w:rPr>
          <w:rFonts w:ascii="Calibri" w:hAnsi="Calibri" w:cs="Calibri"/>
          <w:sz w:val="16"/>
          <w:szCs w:val="16"/>
        </w:rPr>
        <w:t xml:space="preserve"> UNHCR, </w:t>
      </w:r>
      <w:r w:rsidRPr="00FF6B43">
        <w:rPr>
          <w:rFonts w:ascii="Calibri" w:eastAsia="Times New Roman" w:hAnsi="Calibri" w:cs="Calibri"/>
          <w:i/>
          <w:iCs/>
          <w:kern w:val="0"/>
          <w:sz w:val="16"/>
          <w:szCs w:val="16"/>
          <w:lang w:eastAsia="it-IT"/>
          <w14:ligatures w14:val="none"/>
        </w:rPr>
        <w:t>UNHCR condemns forced returns from Thailand</w:t>
      </w:r>
      <w:r w:rsidRPr="00FF6B43">
        <w:rPr>
          <w:rFonts w:ascii="Calibri" w:hAnsi="Calibri" w:cs="Calibri"/>
          <w:sz w:val="16"/>
          <w:szCs w:val="16"/>
        </w:rPr>
        <w:t>, 27 February 2025,</w:t>
      </w:r>
      <w:r w:rsidRPr="00FF6B43">
        <w:rPr>
          <w:rFonts w:ascii="Calibri" w:hAnsi="Calibri" w:cs="Calibri"/>
          <w:b/>
          <w:bCs/>
          <w:sz w:val="16"/>
          <w:szCs w:val="16"/>
        </w:rPr>
        <w:t xml:space="preserve"> </w:t>
      </w:r>
      <w:hyperlink r:id="rId1" w:history="1">
        <w:r w:rsidRPr="00FF6B43">
          <w:rPr>
            <w:rStyle w:val="Hyperlink"/>
            <w:rFonts w:ascii="Calibri" w:hAnsi="Calibri" w:cs="Calibri"/>
            <w:sz w:val="16"/>
            <w:szCs w:val="16"/>
          </w:rPr>
          <w:t>https://www.unhcr.org/news/press-releases/unhcr-condemns-forced-returns-thailand</w:t>
        </w:r>
      </w:hyperlink>
      <w:r w:rsidRPr="00FF6B43">
        <w:rPr>
          <w:rFonts w:ascii="Calibri" w:hAnsi="Calibri" w:cs="Calibri"/>
          <w:sz w:val="16"/>
          <w:szCs w:val="16"/>
        </w:rPr>
        <w:t xml:space="preserve">. </w:t>
      </w:r>
    </w:p>
  </w:footnote>
  <w:footnote w:id="17">
    <w:p w14:paraId="69D61AF1" w14:textId="4B71B35B" w:rsidR="00643EE6" w:rsidRPr="00FF6B43" w:rsidRDefault="00643EE6" w:rsidP="00FF6B43">
      <w:pPr>
        <w:spacing w:line="240" w:lineRule="auto"/>
        <w:jc w:val="both"/>
        <w:rPr>
          <w:rFonts w:ascii="Calibri" w:hAnsi="Calibri" w:cs="Calibri"/>
          <w:sz w:val="16"/>
          <w:szCs w:val="16"/>
        </w:rPr>
      </w:pPr>
      <w:r w:rsidRPr="00FF6B43">
        <w:rPr>
          <w:rStyle w:val="FootnoteReference"/>
          <w:rFonts w:ascii="Calibri" w:hAnsi="Calibri" w:cs="Calibri"/>
          <w:sz w:val="16"/>
          <w:szCs w:val="16"/>
        </w:rPr>
        <w:footnoteRef/>
      </w:r>
      <w:r w:rsidRPr="00FF6B43">
        <w:rPr>
          <w:rFonts w:ascii="Calibri" w:hAnsi="Calibri" w:cs="Calibri"/>
          <w:sz w:val="16"/>
          <w:szCs w:val="16"/>
        </w:rPr>
        <w:t xml:space="preserve"> Office of the High Commissioner for Human Rights, </w:t>
      </w:r>
      <w:r w:rsidRPr="00FF6B43">
        <w:rPr>
          <w:rFonts w:ascii="Calibri" w:hAnsi="Calibri" w:cs="Calibri"/>
          <w:i/>
          <w:iCs/>
          <w:sz w:val="16"/>
          <w:szCs w:val="16"/>
        </w:rPr>
        <w:t>OHCHR Assessment of human rights concerns in the Xinjiang Uyghur Autonomous Region, People’s Republic of China</w:t>
      </w:r>
      <w:r w:rsidRPr="00FF6B43">
        <w:rPr>
          <w:rFonts w:ascii="Calibri" w:hAnsi="Calibri" w:cs="Calibri"/>
          <w:sz w:val="16"/>
          <w:szCs w:val="16"/>
        </w:rPr>
        <w:t xml:space="preserve">, 31 August 2022, </w:t>
      </w:r>
      <w:hyperlink r:id="rId2" w:history="1">
        <w:r w:rsidRPr="00FF6B43">
          <w:rPr>
            <w:rStyle w:val="Hyperlink"/>
            <w:rFonts w:ascii="Calibri" w:hAnsi="Calibri" w:cs="Calibri"/>
            <w:sz w:val="16"/>
            <w:szCs w:val="16"/>
          </w:rPr>
          <w:t>https://www.ohchr.org/en/documents/country-reports/ohchr-assessment-human-rights-concerns-xinjiang-uyghur-autonomous-region</w:t>
        </w:r>
      </w:hyperlink>
      <w:r w:rsidRPr="00FF6B43">
        <w:rPr>
          <w:rFonts w:ascii="Calibri" w:hAnsi="Calibri" w:cs="Calibri"/>
          <w:sz w:val="16"/>
          <w:szCs w:val="16"/>
        </w:rPr>
        <w:t>.</w:t>
      </w:r>
    </w:p>
  </w:footnote>
  <w:footnote w:id="18">
    <w:p w14:paraId="4D16BFD0" w14:textId="1E6B1736" w:rsidR="00FF6B43" w:rsidRPr="00FF6B43" w:rsidRDefault="00FF6B43" w:rsidP="00FF6B43">
      <w:pPr>
        <w:pStyle w:val="FootnoteText"/>
        <w:rPr>
          <w:rFonts w:ascii="Calibri" w:hAnsi="Calibri" w:cs="Calibri"/>
          <w:sz w:val="16"/>
          <w:szCs w:val="16"/>
          <w:lang w:val="en-US"/>
        </w:rPr>
      </w:pPr>
      <w:r w:rsidRPr="00FF6B43">
        <w:rPr>
          <w:rStyle w:val="FootnoteReference"/>
          <w:rFonts w:ascii="Calibri" w:hAnsi="Calibri" w:cs="Calibri"/>
          <w:sz w:val="16"/>
          <w:szCs w:val="16"/>
        </w:rPr>
        <w:footnoteRef/>
      </w:r>
      <w:r w:rsidRPr="00FF6B43">
        <w:rPr>
          <w:rFonts w:ascii="Calibri" w:hAnsi="Calibri" w:cs="Calibri"/>
          <w:sz w:val="16"/>
          <w:szCs w:val="16"/>
          <w:lang w:val="en-US"/>
        </w:rPr>
        <w:t xml:space="preserve"> Safeguard Defenders, </w:t>
      </w:r>
      <w:r w:rsidRPr="00FF6B43">
        <w:rPr>
          <w:rFonts w:ascii="Calibri" w:hAnsi="Calibri" w:cs="Calibri"/>
          <w:i/>
          <w:iCs/>
          <w:sz w:val="16"/>
          <w:szCs w:val="16"/>
          <w:lang w:val="en-US"/>
        </w:rPr>
        <w:t xml:space="preserve">Involuntary Returns, </w:t>
      </w:r>
      <w:r w:rsidRPr="00FF6B43">
        <w:rPr>
          <w:rFonts w:ascii="Calibri" w:hAnsi="Calibri" w:cs="Calibri"/>
          <w:sz w:val="16"/>
          <w:szCs w:val="16"/>
          <w:lang w:val="en-US"/>
        </w:rPr>
        <w:t xml:space="preserve">January 2022, </w:t>
      </w:r>
      <w:r>
        <w:fldChar w:fldCharType="begin"/>
      </w:r>
      <w:r w:rsidRPr="002D0832">
        <w:rPr>
          <w:lang w:val="en-US"/>
        </w:rPr>
        <w:instrText>HYPERLINK "https://safeguarddefenders.com/sites/default/files/pdf/INvoluntary%20Returns.pdf"</w:instrText>
      </w:r>
      <w:r>
        <w:fldChar w:fldCharType="separate"/>
      </w:r>
      <w:r w:rsidRPr="00FF6B43">
        <w:rPr>
          <w:rStyle w:val="Hyperlink"/>
          <w:rFonts w:ascii="Calibri" w:hAnsi="Calibri" w:cs="Calibri"/>
          <w:sz w:val="16"/>
          <w:szCs w:val="16"/>
          <w:lang w:val="en-US"/>
        </w:rPr>
        <w:t>https://safeguarddefenders.com/sites/default/files/pdf/INvoluntary%20Returns.pdf</w:t>
      </w:r>
      <w:r>
        <w:fldChar w:fldCharType="end"/>
      </w:r>
      <w:r w:rsidRPr="00FF6B43">
        <w:rPr>
          <w:rFonts w:ascii="Calibri" w:hAnsi="Calibri" w:cs="Calibri"/>
          <w:sz w:val="16"/>
          <w:szCs w:val="16"/>
          <w:lang w:val="en-US"/>
        </w:rPr>
        <w:t xml:space="preserve">. </w:t>
      </w:r>
    </w:p>
  </w:footnote>
  <w:footnote w:id="19">
    <w:p w14:paraId="0DB95634" w14:textId="64F3ECF0" w:rsidR="00FF6B43" w:rsidRPr="00FF6B43" w:rsidRDefault="00FF6B43">
      <w:pPr>
        <w:pStyle w:val="FootnoteText"/>
        <w:rPr>
          <w:rFonts w:ascii="Calibri" w:hAnsi="Calibri" w:cs="Calibri"/>
          <w:sz w:val="16"/>
          <w:szCs w:val="16"/>
          <w:lang w:val="en-US"/>
        </w:rPr>
      </w:pPr>
      <w:r w:rsidRPr="00FF6B43">
        <w:rPr>
          <w:rStyle w:val="FootnoteReference"/>
          <w:rFonts w:ascii="Calibri" w:hAnsi="Calibri" w:cs="Calibri"/>
          <w:sz w:val="16"/>
          <w:szCs w:val="16"/>
        </w:rPr>
        <w:footnoteRef/>
      </w:r>
      <w:r w:rsidRPr="00FF6B43">
        <w:rPr>
          <w:rFonts w:ascii="Calibri" w:hAnsi="Calibri" w:cs="Calibri"/>
          <w:sz w:val="16"/>
          <w:szCs w:val="16"/>
          <w:lang w:val="en-US"/>
        </w:rPr>
        <w:t xml:space="preserve"> </w:t>
      </w:r>
      <w:r>
        <w:rPr>
          <w:rFonts w:ascii="Calibri" w:hAnsi="Calibri" w:cs="Calibri"/>
          <w:sz w:val="16"/>
          <w:szCs w:val="16"/>
          <w:lang w:val="en-US"/>
        </w:rPr>
        <w:t xml:space="preserve">Methods </w:t>
      </w:r>
      <w:proofErr w:type="gramStart"/>
      <w:r>
        <w:rPr>
          <w:rFonts w:ascii="Calibri" w:hAnsi="Calibri" w:cs="Calibri"/>
          <w:sz w:val="16"/>
          <w:szCs w:val="16"/>
          <w:lang w:val="en-US"/>
        </w:rPr>
        <w:t>include:</w:t>
      </w:r>
      <w:proofErr w:type="gramEnd"/>
      <w:r>
        <w:rPr>
          <w:rFonts w:ascii="Calibri" w:hAnsi="Calibri" w:cs="Calibri"/>
          <w:sz w:val="16"/>
          <w:szCs w:val="16"/>
          <w:lang w:val="en-US"/>
        </w:rPr>
        <w:t xml:space="preserve"> </w:t>
      </w:r>
      <w:r w:rsidRPr="00FF6B43">
        <w:rPr>
          <w:rFonts w:ascii="Calibri" w:hAnsi="Calibri" w:cs="Calibri"/>
          <w:sz w:val="16"/>
          <w:szCs w:val="16"/>
          <w:lang w:val="en-US"/>
        </w:rPr>
        <w:t>Suspension of family members’ eligibility for healthcare subsidies;</w:t>
      </w:r>
      <w:r>
        <w:rPr>
          <w:rFonts w:ascii="Calibri" w:hAnsi="Calibri" w:cs="Calibri"/>
          <w:sz w:val="16"/>
          <w:szCs w:val="16"/>
          <w:lang w:val="en-US"/>
        </w:rPr>
        <w:t xml:space="preserve"> </w:t>
      </w:r>
      <w:r w:rsidRPr="00FF6B43">
        <w:rPr>
          <w:rFonts w:ascii="Calibri" w:hAnsi="Calibri" w:cs="Calibri"/>
          <w:sz w:val="16"/>
          <w:szCs w:val="16"/>
          <w:lang w:val="en-US"/>
        </w:rPr>
        <w:t>Placement of limitations on their family members’ banking use;</w:t>
      </w:r>
      <w:r>
        <w:rPr>
          <w:rFonts w:ascii="Calibri" w:hAnsi="Calibri" w:cs="Calibri"/>
          <w:sz w:val="16"/>
          <w:szCs w:val="16"/>
          <w:lang w:val="en-US"/>
        </w:rPr>
        <w:t xml:space="preserve"> </w:t>
      </w:r>
      <w:r w:rsidRPr="00FF6B43">
        <w:rPr>
          <w:rFonts w:ascii="Calibri" w:hAnsi="Calibri" w:cs="Calibri"/>
          <w:sz w:val="16"/>
          <w:szCs w:val="16"/>
          <w:lang w:val="en-US"/>
        </w:rPr>
        <w:t>Barring them from obtaining bank loans;</w:t>
      </w:r>
      <w:r>
        <w:rPr>
          <w:rFonts w:ascii="Calibri" w:hAnsi="Calibri" w:cs="Calibri"/>
          <w:sz w:val="16"/>
          <w:szCs w:val="16"/>
          <w:lang w:val="en-US"/>
        </w:rPr>
        <w:t xml:space="preserve"> </w:t>
      </w:r>
      <w:r w:rsidRPr="00FF6B43">
        <w:rPr>
          <w:rFonts w:ascii="Calibri" w:hAnsi="Calibri" w:cs="Calibri"/>
          <w:sz w:val="16"/>
          <w:szCs w:val="16"/>
          <w:lang w:val="en-US"/>
        </w:rPr>
        <w:t>Denying their children access to schools;</w:t>
      </w:r>
      <w:r>
        <w:rPr>
          <w:rFonts w:ascii="Calibri" w:hAnsi="Calibri" w:cs="Calibri"/>
          <w:sz w:val="16"/>
          <w:szCs w:val="16"/>
          <w:lang w:val="en-US"/>
        </w:rPr>
        <w:t xml:space="preserve"> </w:t>
      </w:r>
      <w:r w:rsidRPr="00FF6B43">
        <w:rPr>
          <w:rFonts w:ascii="Calibri" w:hAnsi="Calibri" w:cs="Calibri"/>
          <w:sz w:val="16"/>
          <w:szCs w:val="16"/>
          <w:lang w:val="en-US"/>
        </w:rPr>
        <w:t>Banning their family members from public-sector employment;</w:t>
      </w:r>
      <w:r>
        <w:rPr>
          <w:rFonts w:ascii="Calibri" w:hAnsi="Calibri" w:cs="Calibri"/>
          <w:sz w:val="16"/>
          <w:szCs w:val="16"/>
          <w:lang w:val="en-US"/>
        </w:rPr>
        <w:t xml:space="preserve"> </w:t>
      </w:r>
      <w:r w:rsidRPr="00FF6B43">
        <w:rPr>
          <w:rFonts w:ascii="Calibri" w:hAnsi="Calibri" w:cs="Calibri"/>
          <w:sz w:val="16"/>
          <w:szCs w:val="16"/>
          <w:lang w:val="en-US"/>
        </w:rPr>
        <w:t>Restrictions on new housing</w:t>
      </w:r>
      <w:r>
        <w:rPr>
          <w:rFonts w:ascii="Calibri" w:hAnsi="Calibri" w:cs="Calibri"/>
          <w:sz w:val="16"/>
          <w:szCs w:val="16"/>
          <w:lang w:val="en-US"/>
        </w:rPr>
        <w:t xml:space="preserve">; extended interrogation, surveillance and/or detention of family members; prosecution of family members. See more: Safeguard Defenders, </w:t>
      </w:r>
      <w:r w:rsidRPr="00FF6B43">
        <w:rPr>
          <w:rFonts w:ascii="Calibri" w:hAnsi="Calibri" w:cs="Calibri"/>
          <w:i/>
          <w:iCs/>
          <w:sz w:val="16"/>
          <w:szCs w:val="16"/>
          <w:lang w:val="en-US"/>
        </w:rPr>
        <w:t xml:space="preserve">Chasing Fox Hunt - Tracing the PRC’s Forced Return Operations around the Globe, </w:t>
      </w:r>
      <w:r w:rsidRPr="00FF6B43">
        <w:rPr>
          <w:rFonts w:ascii="Calibri" w:hAnsi="Calibri" w:cs="Calibri"/>
          <w:sz w:val="16"/>
          <w:szCs w:val="16"/>
          <w:lang w:val="en-US"/>
        </w:rPr>
        <w:t xml:space="preserve">15 April 2024, </w:t>
      </w:r>
      <w:r>
        <w:fldChar w:fldCharType="begin"/>
      </w:r>
      <w:r w:rsidRPr="002D0832">
        <w:rPr>
          <w:lang w:val="en-US"/>
        </w:rPr>
        <w:instrText>HYPERLINK "https://safeguarddefenders.com/en/blog/new-report-chasing-fox-hunt"</w:instrText>
      </w:r>
      <w:r>
        <w:fldChar w:fldCharType="separate"/>
      </w:r>
      <w:r w:rsidRPr="00FF6B43">
        <w:rPr>
          <w:rStyle w:val="Hyperlink"/>
          <w:rFonts w:ascii="Calibri" w:hAnsi="Calibri" w:cs="Calibri"/>
          <w:sz w:val="16"/>
          <w:szCs w:val="16"/>
          <w:lang w:val="en-US"/>
        </w:rPr>
        <w:t>https://safeguarddefenders.com/en/blog/new-report-chasing-fox-hunt</w:t>
      </w:r>
      <w:r>
        <w:fldChar w:fldCharType="end"/>
      </w:r>
      <w:r w:rsidRPr="00FF6B43">
        <w:rPr>
          <w:rFonts w:ascii="Calibri" w:hAnsi="Calibri" w:cs="Calibri"/>
          <w:sz w:val="16"/>
          <w:szCs w:val="16"/>
          <w:lang w:val="en-US"/>
        </w:rPr>
        <w:t>.</w:t>
      </w:r>
    </w:p>
  </w:footnote>
  <w:footnote w:id="20">
    <w:p w14:paraId="6BF6BC23" w14:textId="3C3AEF2B" w:rsidR="00FF6B43" w:rsidRPr="00FF6B43" w:rsidRDefault="00FF6B43">
      <w:pPr>
        <w:pStyle w:val="FootnoteText"/>
        <w:rPr>
          <w:lang w:val="en-US"/>
        </w:rPr>
      </w:pPr>
      <w:r w:rsidRPr="00FF6B43">
        <w:rPr>
          <w:rStyle w:val="FootnoteReference"/>
          <w:rFonts w:ascii="Calibri" w:hAnsi="Calibri" w:cs="Calibri"/>
          <w:sz w:val="16"/>
          <w:szCs w:val="16"/>
        </w:rPr>
        <w:footnoteRef/>
      </w:r>
      <w:r w:rsidRPr="00FF6B43">
        <w:rPr>
          <w:rFonts w:ascii="Calibri" w:hAnsi="Calibri" w:cs="Calibri"/>
          <w:sz w:val="16"/>
          <w:szCs w:val="16"/>
          <w:lang w:val="en-US"/>
        </w:rPr>
        <w:t xml:space="preserve"> Safeguard Defenders, </w:t>
      </w:r>
      <w:r w:rsidRPr="00FF6B43">
        <w:rPr>
          <w:rFonts w:ascii="Calibri" w:hAnsi="Calibri" w:cs="Calibri"/>
          <w:i/>
          <w:iCs/>
          <w:sz w:val="16"/>
          <w:szCs w:val="16"/>
          <w:lang w:val="en-US"/>
        </w:rPr>
        <w:t>Families in Fear: Collective Punishment in 21</w:t>
      </w:r>
      <w:r w:rsidRPr="00FF6B43">
        <w:rPr>
          <w:rFonts w:ascii="Calibri" w:hAnsi="Calibri" w:cs="Calibri"/>
          <w:i/>
          <w:iCs/>
          <w:sz w:val="16"/>
          <w:szCs w:val="16"/>
          <w:vertAlign w:val="superscript"/>
          <w:lang w:val="en-US"/>
        </w:rPr>
        <w:t>st</w:t>
      </w:r>
      <w:r w:rsidRPr="00FF6B43">
        <w:rPr>
          <w:rFonts w:ascii="Calibri" w:hAnsi="Calibri" w:cs="Calibri"/>
          <w:i/>
          <w:iCs/>
          <w:sz w:val="16"/>
          <w:szCs w:val="16"/>
          <w:lang w:val="en-US"/>
        </w:rPr>
        <w:t xml:space="preserve"> Century China</w:t>
      </w:r>
      <w:r w:rsidRPr="00FF6B43">
        <w:rPr>
          <w:rFonts w:ascii="Calibri" w:hAnsi="Calibri" w:cs="Calibri"/>
          <w:sz w:val="16"/>
          <w:szCs w:val="16"/>
          <w:lang w:val="en-US"/>
        </w:rPr>
        <w:t xml:space="preserve">, 9 December 2023, </w:t>
      </w:r>
      <w:r>
        <w:fldChar w:fldCharType="begin"/>
      </w:r>
      <w:r w:rsidRPr="002D0832">
        <w:rPr>
          <w:lang w:val="en-US"/>
        </w:rPr>
        <w:instrText>HYPERLINK "https://safeguarddefenders.com/en/publications/families-fear-collective-punishment-21st-century-china"</w:instrText>
      </w:r>
      <w:r>
        <w:fldChar w:fldCharType="separate"/>
      </w:r>
      <w:r w:rsidRPr="00FF6B43">
        <w:rPr>
          <w:rStyle w:val="Hyperlink"/>
          <w:rFonts w:ascii="Calibri" w:hAnsi="Calibri" w:cs="Calibri"/>
          <w:sz w:val="16"/>
          <w:szCs w:val="16"/>
          <w:lang w:val="en-US"/>
        </w:rPr>
        <w:t>https://safeguarddefenders.com/en/publications/families-fear-collective-punishment-21st-century-china</w:t>
      </w:r>
      <w:r>
        <w:fldChar w:fldCharType="end"/>
      </w:r>
      <w:r w:rsidRPr="00FF6B43">
        <w:rPr>
          <w:rFonts w:ascii="Calibri" w:hAnsi="Calibri" w:cs="Calibri"/>
          <w:sz w:val="16"/>
          <w:szCs w:val="16"/>
          <w:lang w:val="en-US"/>
        </w:rPr>
        <w:t>.</w:t>
      </w:r>
      <w:r>
        <w:rPr>
          <w:lang w:val="en-US"/>
        </w:rPr>
        <w:t xml:space="preserve"> </w:t>
      </w:r>
    </w:p>
  </w:footnote>
  <w:footnote w:id="21">
    <w:p w14:paraId="51396654" w14:textId="03983A82" w:rsidR="00FF6B43" w:rsidRPr="00D5572F" w:rsidRDefault="00FF6B43" w:rsidP="00FF6B43">
      <w:pPr>
        <w:pStyle w:val="p1"/>
        <w:rPr>
          <w:rFonts w:ascii="Calibri" w:eastAsia="PingFang HK" w:hAnsi="Calibri" w:cs="Calibri"/>
          <w:color w:val="000000" w:themeColor="text1"/>
          <w:sz w:val="16"/>
          <w:szCs w:val="16"/>
        </w:rPr>
      </w:pPr>
      <w:r w:rsidRPr="00FF6B43">
        <w:rPr>
          <w:rStyle w:val="FootnoteReference"/>
          <w:rFonts w:ascii="Calibri" w:hAnsi="Calibri" w:cs="Calibri"/>
          <w:sz w:val="16"/>
          <w:szCs w:val="16"/>
        </w:rPr>
        <w:footnoteRef/>
      </w:r>
      <w:r w:rsidRPr="00FF6B43">
        <w:rPr>
          <w:rFonts w:ascii="Calibri" w:hAnsi="Calibri" w:cs="Calibri"/>
          <w:sz w:val="16"/>
          <w:szCs w:val="16"/>
        </w:rPr>
        <w:t xml:space="preserve"> </w:t>
      </w:r>
      <w:r w:rsidR="00E02991" w:rsidRPr="00E02991">
        <w:rPr>
          <w:rFonts w:ascii="Calibri" w:hAnsi="Calibri" w:cs="Calibri"/>
          <w:sz w:val="16"/>
          <w:szCs w:val="16"/>
        </w:rPr>
        <w:t>Commission for Discipline Inspection of the CPC Central Committee</w:t>
      </w:r>
      <w:r w:rsidRPr="00FF6B43">
        <w:rPr>
          <w:rFonts w:ascii="Calibri" w:hAnsi="Calibri" w:cs="Calibri"/>
          <w:sz w:val="16"/>
          <w:szCs w:val="16"/>
        </w:rPr>
        <w:t xml:space="preserve">, </w:t>
      </w:r>
      <w:r w:rsidRPr="00FF6B43">
        <w:rPr>
          <w:rFonts w:ascii="SimSun" w:eastAsia="SimSun" w:hAnsi="SimSun" w:cs="Calibri"/>
          <w:i/>
          <w:iCs/>
          <w:sz w:val="15"/>
          <w:szCs w:val="15"/>
        </w:rPr>
        <w:t>从4个关键词看2019全国追逃防逃追赃工作新布局</w:t>
      </w:r>
      <w:r w:rsidRPr="00FF6B43">
        <w:rPr>
          <w:rFonts w:ascii="Calibri" w:eastAsia="PingFang HK" w:hAnsi="Calibri" w:cs="Calibri"/>
          <w:sz w:val="16"/>
          <w:szCs w:val="16"/>
        </w:rPr>
        <w:t>, 13 April 2019,</w:t>
      </w:r>
      <w:r>
        <w:rPr>
          <w:rFonts w:ascii="Calibri" w:eastAsia="PingFang HK" w:hAnsi="Calibri" w:cs="Calibri"/>
          <w:sz w:val="16"/>
          <w:szCs w:val="16"/>
        </w:rPr>
        <w:t xml:space="preserve"> </w:t>
      </w:r>
      <w:hyperlink r:id="rId3" w:history="1">
        <w:r w:rsidR="00D5572F" w:rsidRPr="00FF6B43">
          <w:rPr>
            <w:rStyle w:val="Hyperlink"/>
            <w:rFonts w:ascii="Calibri" w:hAnsi="Calibri" w:cs="Calibri"/>
            <w:sz w:val="16"/>
            <w:szCs w:val="16"/>
          </w:rPr>
          <w:t>https://archive.ph/nI8Be</w:t>
        </w:r>
      </w:hyperlink>
      <w:r w:rsidRPr="00FF6B43">
        <w:rPr>
          <w:rFonts w:ascii="Calibri" w:hAnsi="Calibri" w:cs="Calibri"/>
          <w:color w:val="3D82B4"/>
          <w:sz w:val="16"/>
          <w:szCs w:val="16"/>
        </w:rPr>
        <w:t>.</w:t>
      </w:r>
      <w:r w:rsidR="00D5572F">
        <w:rPr>
          <w:rFonts w:ascii="Calibri" w:hAnsi="Calibri" w:cs="Calibri"/>
          <w:color w:val="3D82B4"/>
          <w:sz w:val="16"/>
          <w:szCs w:val="16"/>
        </w:rPr>
        <w:t xml:space="preserve"> </w:t>
      </w:r>
      <w:r w:rsidR="00D5572F">
        <w:rPr>
          <w:rFonts w:ascii="Calibri" w:hAnsi="Calibri" w:cs="Calibri"/>
          <w:color w:val="000000" w:themeColor="text1"/>
          <w:sz w:val="16"/>
          <w:szCs w:val="16"/>
        </w:rPr>
        <w:t xml:space="preserve">Also see data analysis in Safeguard Defenders’ Stakeholder Submission to China’s Fourth Universal Periodic Review. </w:t>
      </w:r>
    </w:p>
  </w:footnote>
  <w:footnote w:id="22">
    <w:p w14:paraId="50410281" w14:textId="5B30ABCE" w:rsidR="00FF6B43" w:rsidRPr="00FF6B43" w:rsidRDefault="00FF6B43" w:rsidP="00FF6B43">
      <w:pPr>
        <w:pStyle w:val="FootnoteText"/>
        <w:rPr>
          <w:rFonts w:ascii="Calibri" w:hAnsi="Calibri" w:cs="Calibri"/>
          <w:sz w:val="16"/>
          <w:szCs w:val="16"/>
          <w:lang w:val="en-US"/>
        </w:rPr>
      </w:pPr>
      <w:r w:rsidRPr="00FF6B43">
        <w:rPr>
          <w:rStyle w:val="FootnoteReference"/>
          <w:rFonts w:ascii="Calibri" w:hAnsi="Calibri" w:cs="Calibri"/>
          <w:sz w:val="16"/>
          <w:szCs w:val="16"/>
        </w:rPr>
        <w:footnoteRef/>
      </w:r>
      <w:r w:rsidRPr="00FF6B43">
        <w:rPr>
          <w:rFonts w:ascii="Calibri" w:hAnsi="Calibri" w:cs="Calibri"/>
          <w:sz w:val="16"/>
          <w:szCs w:val="16"/>
          <w:lang w:val="en-US"/>
        </w:rPr>
        <w:t xml:space="preserve"> Xinhua News Agency, </w:t>
      </w:r>
      <w:proofErr w:type="spellStart"/>
      <w:r w:rsidRPr="00FF6B43">
        <w:rPr>
          <w:rFonts w:ascii="SimSun" w:eastAsia="SimSun" w:hAnsi="SimSun" w:cs="Calibri"/>
          <w:i/>
          <w:iCs/>
          <w:sz w:val="15"/>
          <w:szCs w:val="15"/>
          <w:lang w:val="en-US"/>
        </w:rPr>
        <w:t>二十国集团反腐败工作组共同主席、中央纪委监察部国际合作局有关负责同志专访</w:t>
      </w:r>
      <w:proofErr w:type="spellEnd"/>
      <w:r w:rsidRPr="00FF6B43">
        <w:rPr>
          <w:rFonts w:ascii="Calibri" w:hAnsi="Calibri" w:cs="Calibri"/>
          <w:sz w:val="16"/>
          <w:szCs w:val="16"/>
          <w:lang w:val="en-US"/>
        </w:rPr>
        <w:t>, 6</w:t>
      </w:r>
      <w:r>
        <w:rPr>
          <w:rFonts w:ascii="Calibri" w:hAnsi="Calibri" w:cs="Calibri"/>
          <w:sz w:val="16"/>
          <w:szCs w:val="16"/>
          <w:lang w:val="en-US"/>
        </w:rPr>
        <w:t xml:space="preserve"> </w:t>
      </w:r>
      <w:r w:rsidRPr="00FF6B43">
        <w:rPr>
          <w:rFonts w:ascii="Calibri" w:hAnsi="Calibri" w:cs="Calibri"/>
          <w:sz w:val="16"/>
          <w:szCs w:val="16"/>
          <w:lang w:val="en-US"/>
        </w:rPr>
        <w:t xml:space="preserve">September 2016, </w:t>
      </w:r>
      <w:r>
        <w:fldChar w:fldCharType="begin"/>
      </w:r>
      <w:r w:rsidRPr="002D0832">
        <w:rPr>
          <w:lang w:val="en-US"/>
        </w:rPr>
        <w:instrText>HYPERLINK "https://web.archive.org/web/20230825040914/https://www.gov.cn/xinwen/2016-09/06/content_5105811.htm"</w:instrText>
      </w:r>
      <w:r>
        <w:fldChar w:fldCharType="separate"/>
      </w:r>
      <w:r w:rsidRPr="00FF6B43">
        <w:rPr>
          <w:rStyle w:val="Hyperlink"/>
          <w:rFonts w:ascii="Calibri" w:hAnsi="Calibri" w:cs="Calibri"/>
          <w:sz w:val="16"/>
          <w:szCs w:val="16"/>
          <w:lang w:val="en-US"/>
        </w:rPr>
        <w:t>https://web.archive.org/web/20230825040914/https://www.gov.cn/xinwen/2016-09/06/content_5105811.htm</w:t>
      </w:r>
      <w:r>
        <w:fldChar w:fldCharType="end"/>
      </w:r>
      <w:r>
        <w:rPr>
          <w:rFonts w:ascii="Calibri" w:hAnsi="Calibri" w:cs="Calibri"/>
          <w:sz w:val="16"/>
          <w:szCs w:val="16"/>
          <w:lang w:val="en-US"/>
        </w:rPr>
        <w:t xml:space="preserve">. </w:t>
      </w:r>
    </w:p>
    <w:p w14:paraId="56EEEF93" w14:textId="6909F98F" w:rsidR="00FF6B43" w:rsidRPr="00FF6B43" w:rsidRDefault="00FF6B43">
      <w:pPr>
        <w:pStyle w:val="FootnoteText"/>
        <w:rPr>
          <w:lang w:val="en-US"/>
        </w:rPr>
      </w:pPr>
    </w:p>
  </w:footnote>
  <w:footnote w:id="23">
    <w:p w14:paraId="6F8EDAF0" w14:textId="4B951CE9" w:rsidR="00A81DDB" w:rsidRPr="00A81DDB" w:rsidRDefault="00A81DDB">
      <w:pPr>
        <w:pStyle w:val="FootnoteText"/>
        <w:rPr>
          <w:rFonts w:ascii="Calibri" w:hAnsi="Calibri" w:cs="Calibri"/>
          <w:sz w:val="16"/>
          <w:szCs w:val="16"/>
          <w:lang w:val="en-US"/>
        </w:rPr>
      </w:pPr>
      <w:r w:rsidRPr="00A81DDB">
        <w:rPr>
          <w:rStyle w:val="FootnoteReference"/>
          <w:rFonts w:ascii="Calibri" w:hAnsi="Calibri" w:cs="Calibri"/>
          <w:sz w:val="16"/>
          <w:szCs w:val="16"/>
        </w:rPr>
        <w:footnoteRef/>
      </w:r>
      <w:r w:rsidRPr="00A81DDB">
        <w:rPr>
          <w:rFonts w:ascii="Calibri" w:hAnsi="Calibri" w:cs="Calibri"/>
          <w:sz w:val="16"/>
          <w:szCs w:val="16"/>
          <w:lang w:val="en-US"/>
        </w:rPr>
        <w:t xml:space="preserve"> Commission for Discipline Inspection of the CPC Central Committee</w:t>
      </w:r>
      <w:r>
        <w:rPr>
          <w:rFonts w:ascii="Calibri" w:hAnsi="Calibri" w:cs="Calibri"/>
          <w:sz w:val="16"/>
          <w:szCs w:val="16"/>
          <w:lang w:val="en-US"/>
        </w:rPr>
        <w:t xml:space="preserve">, </w:t>
      </w:r>
      <w:proofErr w:type="spellStart"/>
      <w:r w:rsidRPr="00A81DDB">
        <w:rPr>
          <w:rFonts w:ascii="SimSun" w:eastAsia="SimSun" w:hAnsi="SimSun" w:cs="MS Gothic" w:hint="eastAsia"/>
          <w:i/>
          <w:iCs/>
          <w:sz w:val="15"/>
          <w:szCs w:val="15"/>
          <w:lang w:val="en-US"/>
        </w:rPr>
        <w:t>中国共产党第二十届中央纪律检查委员会第三次全体会议公报</w:t>
      </w:r>
      <w:proofErr w:type="spellEnd"/>
      <w:r w:rsidRPr="00A81DDB">
        <w:rPr>
          <w:rFonts w:ascii="SimSun" w:eastAsia="SimSun" w:hAnsi="SimSun" w:cs="Calibri"/>
          <w:sz w:val="15"/>
          <w:szCs w:val="15"/>
          <w:lang w:val="en-US"/>
        </w:rPr>
        <w:t>,</w:t>
      </w:r>
      <w:r>
        <w:rPr>
          <w:rFonts w:ascii="Calibri" w:eastAsia="MS Gothic" w:hAnsi="Calibri" w:cs="Calibri"/>
          <w:sz w:val="16"/>
          <w:szCs w:val="16"/>
          <w:lang w:val="en-US"/>
        </w:rPr>
        <w:t xml:space="preserve"> 10 January 2024, </w:t>
      </w:r>
      <w:r w:rsidR="00D5572F">
        <w:fldChar w:fldCharType="begin"/>
      </w:r>
      <w:r w:rsidR="00D5572F" w:rsidRPr="002D0832">
        <w:rPr>
          <w:lang w:val="en-US"/>
        </w:rPr>
        <w:instrText>HYPERLINK "https://www.ccdi.gov.cn/xxgkn/hyzl/202401/t20240115_322074.html"</w:instrText>
      </w:r>
      <w:r w:rsidR="00D5572F">
        <w:fldChar w:fldCharType="separate"/>
      </w:r>
      <w:r w:rsidR="00D5572F" w:rsidRPr="00B16FD8">
        <w:rPr>
          <w:rStyle w:val="Hyperlink"/>
          <w:rFonts w:ascii="Calibri" w:eastAsia="MS Gothic" w:hAnsi="Calibri" w:cs="Calibri"/>
          <w:sz w:val="16"/>
          <w:szCs w:val="16"/>
          <w:lang w:val="en-US"/>
        </w:rPr>
        <w:t>https://www.ccdi.gov.cn/xxgkn/hyzl/202401/t20240115_322074.html</w:t>
      </w:r>
      <w:r w:rsidR="00D5572F">
        <w:fldChar w:fldCharType="end"/>
      </w:r>
      <w:r>
        <w:rPr>
          <w:rFonts w:ascii="Calibri" w:eastAsia="MS Gothic" w:hAnsi="Calibri" w:cs="Calibri"/>
          <w:sz w:val="16"/>
          <w:szCs w:val="16"/>
          <w:lang w:val="en-US"/>
        </w:rPr>
        <w:t>.</w:t>
      </w:r>
      <w:r w:rsidR="00D5572F">
        <w:rPr>
          <w:rFonts w:ascii="Calibri" w:eastAsia="MS Gothic" w:hAnsi="Calibri" w:cs="Calibri"/>
          <w:sz w:val="16"/>
          <w:szCs w:val="16"/>
          <w:lang w:val="en-US"/>
        </w:rPr>
        <w:t xml:space="preserve"> </w:t>
      </w:r>
    </w:p>
  </w:footnote>
  <w:footnote w:id="24">
    <w:p w14:paraId="44C63A45" w14:textId="634A57D4" w:rsidR="00E02991" w:rsidRPr="00A81DDB" w:rsidRDefault="00E02991">
      <w:pPr>
        <w:pStyle w:val="FootnoteText"/>
        <w:rPr>
          <w:rFonts w:ascii="Calibri" w:hAnsi="Calibri" w:cs="Calibri"/>
          <w:lang w:val="en-US"/>
        </w:rPr>
      </w:pPr>
      <w:r w:rsidRPr="00A81DDB">
        <w:rPr>
          <w:rStyle w:val="FootnoteReference"/>
          <w:rFonts w:ascii="Calibri" w:hAnsi="Calibri" w:cs="Calibri"/>
          <w:sz w:val="16"/>
          <w:szCs w:val="16"/>
        </w:rPr>
        <w:footnoteRef/>
      </w:r>
      <w:r w:rsidRPr="00A81DDB">
        <w:rPr>
          <w:rFonts w:ascii="Calibri" w:hAnsi="Calibri" w:cs="Calibri"/>
          <w:sz w:val="16"/>
          <w:szCs w:val="16"/>
          <w:lang w:val="en-US"/>
        </w:rPr>
        <w:t xml:space="preserve"> Commission for Discipline Inspection of the CPC Central Committee</w:t>
      </w:r>
      <w:r>
        <w:rPr>
          <w:rFonts w:ascii="Calibri" w:hAnsi="Calibri" w:cs="Calibri"/>
          <w:sz w:val="16"/>
          <w:szCs w:val="16"/>
          <w:lang w:val="en-US"/>
        </w:rPr>
        <w:t xml:space="preserve">, </w:t>
      </w:r>
      <w:proofErr w:type="spellStart"/>
      <w:r w:rsidR="00A81DDB" w:rsidRPr="00A81DDB">
        <w:rPr>
          <w:rFonts w:ascii="SimSun" w:eastAsia="SimSun" w:hAnsi="SimSun" w:cs="MS Gothic" w:hint="eastAsia"/>
          <w:i/>
          <w:iCs/>
          <w:sz w:val="15"/>
          <w:szCs w:val="15"/>
          <w:lang w:val="en-US"/>
        </w:rPr>
        <w:t>在中国共</w:t>
      </w:r>
      <w:r w:rsidR="00A81DDB" w:rsidRPr="00A81DDB">
        <w:rPr>
          <w:rFonts w:ascii="SimSun" w:eastAsia="SimSun" w:hAnsi="SimSun" w:cs="Microsoft JhengHei" w:hint="eastAsia"/>
          <w:i/>
          <w:iCs/>
          <w:sz w:val="15"/>
          <w:szCs w:val="15"/>
          <w:lang w:val="en-US"/>
        </w:rPr>
        <w:t>产</w:t>
      </w:r>
      <w:r w:rsidR="00A81DDB" w:rsidRPr="00A81DDB">
        <w:rPr>
          <w:rFonts w:ascii="SimSun" w:eastAsia="SimSun" w:hAnsi="SimSun" w:cs="MS Gothic" w:hint="eastAsia"/>
          <w:i/>
          <w:iCs/>
          <w:sz w:val="15"/>
          <w:szCs w:val="15"/>
          <w:lang w:val="en-US"/>
        </w:rPr>
        <w:t>党第二十届中央</w:t>
      </w:r>
      <w:r w:rsidR="00A81DDB" w:rsidRPr="00A81DDB">
        <w:rPr>
          <w:rFonts w:ascii="SimSun" w:eastAsia="SimSun" w:hAnsi="SimSun" w:cs="Microsoft JhengHei" w:hint="eastAsia"/>
          <w:i/>
          <w:iCs/>
          <w:sz w:val="15"/>
          <w:szCs w:val="15"/>
          <w:lang w:val="en-US"/>
        </w:rPr>
        <w:t>纪</w:t>
      </w:r>
      <w:r w:rsidR="00A81DDB" w:rsidRPr="00A81DDB">
        <w:rPr>
          <w:rFonts w:ascii="SimSun" w:eastAsia="SimSun" w:hAnsi="SimSun" w:cs="MS Gothic" w:hint="eastAsia"/>
          <w:i/>
          <w:iCs/>
          <w:sz w:val="15"/>
          <w:szCs w:val="15"/>
          <w:lang w:val="en-US"/>
        </w:rPr>
        <w:t>律</w:t>
      </w:r>
      <w:r w:rsidR="00A81DDB" w:rsidRPr="00A81DDB">
        <w:rPr>
          <w:rFonts w:ascii="SimSun" w:eastAsia="SimSun" w:hAnsi="SimSun" w:cs="Microsoft JhengHei" w:hint="eastAsia"/>
          <w:i/>
          <w:iCs/>
          <w:sz w:val="15"/>
          <w:szCs w:val="15"/>
          <w:lang w:val="en-US"/>
        </w:rPr>
        <w:t>检查</w:t>
      </w:r>
      <w:r w:rsidR="00A81DDB" w:rsidRPr="00A81DDB">
        <w:rPr>
          <w:rFonts w:ascii="SimSun" w:eastAsia="SimSun" w:hAnsi="SimSun" w:cs="MS Gothic" w:hint="eastAsia"/>
          <w:i/>
          <w:iCs/>
          <w:sz w:val="15"/>
          <w:szCs w:val="15"/>
          <w:lang w:val="en-US"/>
        </w:rPr>
        <w:t>委</w:t>
      </w:r>
      <w:r w:rsidR="00A81DDB" w:rsidRPr="00A81DDB">
        <w:rPr>
          <w:rFonts w:ascii="SimSun" w:eastAsia="SimSun" w:hAnsi="SimSun" w:cs="Microsoft JhengHei" w:hint="eastAsia"/>
          <w:i/>
          <w:iCs/>
          <w:sz w:val="15"/>
          <w:szCs w:val="15"/>
          <w:lang w:val="en-US"/>
        </w:rPr>
        <w:t>员</w:t>
      </w:r>
      <w:r w:rsidR="00A81DDB" w:rsidRPr="00A81DDB">
        <w:rPr>
          <w:rFonts w:ascii="SimSun" w:eastAsia="SimSun" w:hAnsi="SimSun" w:cs="MS Gothic" w:hint="eastAsia"/>
          <w:i/>
          <w:iCs/>
          <w:sz w:val="15"/>
          <w:szCs w:val="15"/>
          <w:lang w:val="en-US"/>
        </w:rPr>
        <w:t>会第二次全体会</w:t>
      </w:r>
      <w:r w:rsidR="00A81DDB" w:rsidRPr="00A81DDB">
        <w:rPr>
          <w:rFonts w:ascii="SimSun" w:eastAsia="SimSun" w:hAnsi="SimSun" w:cs="Microsoft JhengHei" w:hint="eastAsia"/>
          <w:i/>
          <w:iCs/>
          <w:sz w:val="15"/>
          <w:szCs w:val="15"/>
          <w:lang w:val="en-US"/>
        </w:rPr>
        <w:t>议</w:t>
      </w:r>
      <w:r w:rsidR="00A81DDB" w:rsidRPr="00A81DDB">
        <w:rPr>
          <w:rFonts w:ascii="SimSun" w:eastAsia="SimSun" w:hAnsi="SimSun" w:cs="MS Gothic" w:hint="eastAsia"/>
          <w:i/>
          <w:iCs/>
          <w:sz w:val="15"/>
          <w:szCs w:val="15"/>
          <w:lang w:val="en-US"/>
        </w:rPr>
        <w:t>上的工作</w:t>
      </w:r>
      <w:r w:rsidR="00A81DDB" w:rsidRPr="00A81DDB">
        <w:rPr>
          <w:rFonts w:ascii="SimSun" w:eastAsia="SimSun" w:hAnsi="SimSun" w:cs="Microsoft JhengHei" w:hint="eastAsia"/>
          <w:i/>
          <w:iCs/>
          <w:sz w:val="15"/>
          <w:szCs w:val="15"/>
          <w:lang w:val="en-US"/>
        </w:rPr>
        <w:t>报</w:t>
      </w:r>
      <w:r w:rsidR="00A81DDB" w:rsidRPr="00A81DDB">
        <w:rPr>
          <w:rFonts w:ascii="SimSun" w:eastAsia="SimSun" w:hAnsi="SimSun" w:cs="MS Gothic" w:hint="eastAsia"/>
          <w:i/>
          <w:iCs/>
          <w:sz w:val="15"/>
          <w:szCs w:val="15"/>
          <w:lang w:val="en-US"/>
        </w:rPr>
        <w:t>告</w:t>
      </w:r>
      <w:proofErr w:type="spellEnd"/>
      <w:r w:rsidR="00A81DDB">
        <w:rPr>
          <w:rFonts w:ascii="Calibri" w:eastAsia="MS Gothic" w:hAnsi="Calibri" w:cs="Calibri"/>
          <w:sz w:val="16"/>
          <w:szCs w:val="16"/>
          <w:lang w:val="en-US"/>
        </w:rPr>
        <w:t xml:space="preserve">, 9 January 2024, </w:t>
      </w:r>
      <w:r w:rsidR="00A81DDB">
        <w:fldChar w:fldCharType="begin"/>
      </w:r>
      <w:r w:rsidR="00A81DDB" w:rsidRPr="002D0832">
        <w:rPr>
          <w:lang w:val="en-US"/>
        </w:rPr>
        <w:instrText>HYPERLINK "https://www.ccdi.gov.cn/xxgkn/hyzl/202302/t20230224_248811.html"</w:instrText>
      </w:r>
      <w:r w:rsidR="00A81DDB">
        <w:fldChar w:fldCharType="separate"/>
      </w:r>
      <w:r w:rsidR="00A81DDB" w:rsidRPr="00B16FD8">
        <w:rPr>
          <w:rStyle w:val="Hyperlink"/>
          <w:rFonts w:ascii="Calibri" w:eastAsia="MS Gothic" w:hAnsi="Calibri" w:cs="Calibri"/>
          <w:sz w:val="16"/>
          <w:szCs w:val="16"/>
          <w:lang w:val="en-US"/>
        </w:rPr>
        <w:t>https://www.ccdi.gov.cn/xxgkn/hyzl/202302/t20230224_248811.html</w:t>
      </w:r>
      <w:r w:rsidR="00A81DDB">
        <w:fldChar w:fldCharType="end"/>
      </w:r>
      <w:r w:rsidR="00A81DDB">
        <w:rPr>
          <w:rFonts w:ascii="Calibri" w:eastAsia="MS Gothic" w:hAnsi="Calibri" w:cs="Calibri"/>
          <w:sz w:val="16"/>
          <w:szCs w:val="16"/>
          <w:lang w:val="en-US"/>
        </w:rPr>
        <w:t xml:space="preserve">. </w:t>
      </w:r>
    </w:p>
  </w:footnote>
  <w:footnote w:id="25">
    <w:p w14:paraId="382A44E9" w14:textId="38F9A23C" w:rsidR="00D5572F" w:rsidRPr="00D5572F" w:rsidRDefault="00D5572F" w:rsidP="00D5572F">
      <w:pPr>
        <w:pStyle w:val="FootnoteText"/>
        <w:rPr>
          <w:rFonts w:ascii="Calibri" w:hAnsi="Calibri" w:cs="Calibri"/>
          <w:sz w:val="16"/>
          <w:szCs w:val="16"/>
          <w:lang w:val="en-US"/>
        </w:rPr>
      </w:pPr>
      <w:r w:rsidRPr="00D5572F">
        <w:rPr>
          <w:rStyle w:val="FootnoteReference"/>
          <w:rFonts w:ascii="Calibri" w:hAnsi="Calibri" w:cs="Calibri"/>
          <w:sz w:val="16"/>
          <w:szCs w:val="16"/>
        </w:rPr>
        <w:footnoteRef/>
      </w:r>
      <w:r w:rsidRPr="00D5572F">
        <w:rPr>
          <w:rFonts w:ascii="Calibri" w:hAnsi="Calibri" w:cs="Calibri"/>
          <w:sz w:val="16"/>
          <w:szCs w:val="16"/>
          <w:lang w:val="en-US"/>
        </w:rPr>
        <w:t xml:space="preserve"> </w:t>
      </w:r>
      <w:r>
        <w:rPr>
          <w:rFonts w:ascii="Calibri" w:hAnsi="Calibri" w:cs="Calibri"/>
          <w:sz w:val="16"/>
          <w:szCs w:val="16"/>
          <w:lang w:val="en-US"/>
        </w:rPr>
        <w:t xml:space="preserve">See a compilation of all available Fox Hunt/Sky Net data, their official sources and data analysis at: </w:t>
      </w:r>
      <w:r w:rsidRPr="00FF6B43">
        <w:rPr>
          <w:rFonts w:ascii="Calibri" w:hAnsi="Calibri" w:cs="Calibri"/>
          <w:sz w:val="16"/>
          <w:szCs w:val="16"/>
          <w:lang w:val="en-US"/>
        </w:rPr>
        <w:t xml:space="preserve">Safeguard Defenders, </w:t>
      </w:r>
      <w:r w:rsidRPr="00FF6B43">
        <w:rPr>
          <w:rFonts w:ascii="Calibri" w:hAnsi="Calibri" w:cs="Calibri"/>
          <w:i/>
          <w:iCs/>
          <w:sz w:val="16"/>
          <w:szCs w:val="16"/>
          <w:lang w:val="en-US"/>
        </w:rPr>
        <w:t xml:space="preserve">Chasing Fox Hunt - Tracing the PRC’s Forced Return Operations around the Globe, </w:t>
      </w:r>
      <w:r w:rsidRPr="00FF6B43">
        <w:rPr>
          <w:rFonts w:ascii="Calibri" w:hAnsi="Calibri" w:cs="Calibri"/>
          <w:sz w:val="16"/>
          <w:szCs w:val="16"/>
          <w:lang w:val="en-US"/>
        </w:rPr>
        <w:t xml:space="preserve">15 April 2024, </w:t>
      </w:r>
      <w:r>
        <w:fldChar w:fldCharType="begin"/>
      </w:r>
      <w:r w:rsidRPr="002D0832">
        <w:rPr>
          <w:lang w:val="en-US"/>
        </w:rPr>
        <w:instrText>HYPERLINK "https://safeguarddefenders.com/en/blog/new-report-chasing-fox-hunt"</w:instrText>
      </w:r>
      <w:r>
        <w:fldChar w:fldCharType="separate"/>
      </w:r>
      <w:r w:rsidRPr="00FF6B43">
        <w:rPr>
          <w:rStyle w:val="Hyperlink"/>
          <w:rFonts w:ascii="Calibri" w:hAnsi="Calibri" w:cs="Calibri"/>
          <w:sz w:val="16"/>
          <w:szCs w:val="16"/>
          <w:lang w:val="en-US"/>
        </w:rPr>
        <w:t>https://safeguarddefenders.com/en/blog/new-report-chasing-fox-hunt</w:t>
      </w:r>
      <w:r>
        <w:fldChar w:fldCharType="end"/>
      </w:r>
      <w:r>
        <w:rPr>
          <w:rFonts w:ascii="Calibri" w:hAnsi="Calibri" w:cs="Calibri"/>
          <w:sz w:val="16"/>
          <w:szCs w:val="16"/>
          <w:lang w:val="en-US"/>
        </w:rPr>
        <w:t xml:space="preserve">, p. 37. </w:t>
      </w:r>
    </w:p>
  </w:footnote>
  <w:footnote w:id="26">
    <w:p w14:paraId="1CD534A2" w14:textId="1ECCB900" w:rsidR="00D5572F" w:rsidRPr="00D5572F" w:rsidRDefault="00D5572F" w:rsidP="00D5572F">
      <w:pPr>
        <w:pStyle w:val="FootnoteText"/>
        <w:rPr>
          <w:rFonts w:ascii="Calibri" w:hAnsi="Calibri" w:cs="Calibri"/>
          <w:lang w:val="en-US"/>
        </w:rPr>
      </w:pPr>
      <w:r>
        <w:rPr>
          <w:rStyle w:val="FootnoteReference"/>
        </w:rPr>
        <w:footnoteRef/>
      </w:r>
      <w:r w:rsidRPr="00D5572F">
        <w:rPr>
          <w:lang w:val="en-US"/>
        </w:rPr>
        <w:t xml:space="preserve"> </w:t>
      </w:r>
      <w:r w:rsidRPr="00A81DDB">
        <w:rPr>
          <w:rFonts w:ascii="Calibri" w:hAnsi="Calibri" w:cs="Calibri"/>
          <w:sz w:val="16"/>
          <w:szCs w:val="16"/>
          <w:lang w:val="en-US"/>
        </w:rPr>
        <w:t>Commission for Discipline Inspection of the CPC Central Committee</w:t>
      </w:r>
      <w:r>
        <w:rPr>
          <w:rFonts w:ascii="Calibri" w:hAnsi="Calibri" w:cs="Calibri"/>
          <w:sz w:val="16"/>
          <w:szCs w:val="16"/>
          <w:lang w:val="en-US"/>
        </w:rPr>
        <w:t>,</w:t>
      </w:r>
      <w:r w:rsidRPr="00D5572F">
        <w:rPr>
          <w:rFonts w:ascii="Calibri" w:hAnsi="Calibri" w:cs="Calibri"/>
          <w:sz w:val="16"/>
          <w:szCs w:val="16"/>
          <w:lang w:val="en-US"/>
        </w:rPr>
        <w:t xml:space="preserve"> </w:t>
      </w:r>
      <w:proofErr w:type="spellStart"/>
      <w:r w:rsidRPr="00D5572F">
        <w:rPr>
          <w:rFonts w:ascii="SimSun" w:eastAsia="SimSun" w:hAnsi="SimSun" w:cs="MS Gothic" w:hint="eastAsia"/>
          <w:i/>
          <w:iCs/>
          <w:sz w:val="15"/>
          <w:szCs w:val="15"/>
          <w:lang w:val="en-US"/>
        </w:rPr>
        <w:t>李希在二十届中央纪委四次全会上的工作报告</w:t>
      </w:r>
      <w:proofErr w:type="spellEnd"/>
      <w:r>
        <w:rPr>
          <w:rFonts w:ascii="Calibri" w:eastAsia="MS Gothic" w:hAnsi="Calibri" w:cs="Calibri"/>
          <w:sz w:val="16"/>
          <w:szCs w:val="16"/>
          <w:lang w:val="en-US"/>
        </w:rPr>
        <w:t xml:space="preserve">, 6 January 2025, </w:t>
      </w:r>
      <w:r>
        <w:fldChar w:fldCharType="begin"/>
      </w:r>
      <w:r w:rsidRPr="002D0832">
        <w:rPr>
          <w:lang w:val="en-US"/>
        </w:rPr>
        <w:instrText>HYPERLINK "https://www.ccdi.gov.cn/toutiaon/202502/t20250227_408088.html"</w:instrText>
      </w:r>
      <w:r>
        <w:fldChar w:fldCharType="separate"/>
      </w:r>
      <w:r w:rsidRPr="00B16FD8">
        <w:rPr>
          <w:rStyle w:val="Hyperlink"/>
          <w:rFonts w:ascii="Calibri" w:eastAsia="MS Gothic" w:hAnsi="Calibri" w:cs="Calibri"/>
          <w:sz w:val="16"/>
          <w:szCs w:val="16"/>
          <w:lang w:val="en-US"/>
        </w:rPr>
        <w:t>https://www.ccdi.gov.cn/toutiaon/202502/t20250227_408088.html</w:t>
      </w:r>
      <w:r>
        <w:fldChar w:fldCharType="end"/>
      </w:r>
      <w:r>
        <w:rPr>
          <w:rFonts w:ascii="Calibri" w:eastAsia="MS Gothic" w:hAnsi="Calibri" w:cs="Calibri"/>
          <w:sz w:val="16"/>
          <w:szCs w:val="16"/>
          <w:lang w:val="en-US"/>
        </w:rPr>
        <w:t xml:space="preserve">.  </w:t>
      </w:r>
    </w:p>
  </w:footnote>
  <w:footnote w:id="27">
    <w:p w14:paraId="77B45146" w14:textId="06AD108D" w:rsidR="00D5572F" w:rsidRPr="00D5572F" w:rsidRDefault="00D5572F">
      <w:pPr>
        <w:pStyle w:val="FootnoteText"/>
        <w:rPr>
          <w:rFonts w:ascii="Calibri" w:hAnsi="Calibri" w:cs="Calibri"/>
          <w:sz w:val="16"/>
          <w:szCs w:val="16"/>
          <w:lang w:val="en-US"/>
        </w:rPr>
      </w:pPr>
      <w:r w:rsidRPr="00D5572F">
        <w:rPr>
          <w:rStyle w:val="FootnoteReference"/>
          <w:rFonts w:ascii="Calibri" w:hAnsi="Calibri" w:cs="Calibri"/>
          <w:sz w:val="16"/>
          <w:szCs w:val="16"/>
        </w:rPr>
        <w:footnoteRef/>
      </w:r>
      <w:r w:rsidRPr="00D5572F">
        <w:rPr>
          <w:rFonts w:ascii="Calibri" w:hAnsi="Calibri" w:cs="Calibri"/>
          <w:sz w:val="16"/>
          <w:szCs w:val="16"/>
          <w:lang w:val="en-US"/>
        </w:rPr>
        <w:t xml:space="preserve"> Global Times, </w:t>
      </w:r>
      <w:r w:rsidRPr="00D5572F">
        <w:rPr>
          <w:rFonts w:ascii="Calibri" w:hAnsi="Calibri" w:cs="Calibri"/>
          <w:i/>
          <w:iCs/>
          <w:sz w:val="16"/>
          <w:szCs w:val="16"/>
          <w:lang w:val="en-US"/>
        </w:rPr>
        <w:t>Cross-border telecom fraud cases sharply reduced in China</w:t>
      </w:r>
      <w:r w:rsidRPr="00D5572F">
        <w:rPr>
          <w:rFonts w:ascii="Calibri" w:hAnsi="Calibri" w:cs="Calibri"/>
          <w:sz w:val="16"/>
          <w:szCs w:val="16"/>
          <w:lang w:val="en-US"/>
        </w:rPr>
        <w:t xml:space="preserve">, 18 August 2022, </w:t>
      </w:r>
      <w:r>
        <w:fldChar w:fldCharType="begin"/>
      </w:r>
      <w:r w:rsidRPr="002D0832">
        <w:rPr>
          <w:lang w:val="en-US"/>
        </w:rPr>
        <w:instrText>HYPERLINK "https://www.globaltimes.cn/page/202208/1273266.shtml"</w:instrText>
      </w:r>
      <w:r>
        <w:fldChar w:fldCharType="separate"/>
      </w:r>
      <w:r w:rsidRPr="00B16FD8">
        <w:rPr>
          <w:rStyle w:val="Hyperlink"/>
          <w:rFonts w:ascii="Calibri" w:hAnsi="Calibri" w:cs="Calibri"/>
          <w:sz w:val="16"/>
          <w:szCs w:val="16"/>
          <w:lang w:val="en-US"/>
        </w:rPr>
        <w:t>https://www.</w:t>
      </w:r>
      <w:r w:rsidRPr="00D5572F">
        <w:rPr>
          <w:rStyle w:val="Hyperlink"/>
          <w:rFonts w:ascii="Calibri" w:hAnsi="Calibri" w:cs="Calibri"/>
          <w:sz w:val="16"/>
          <w:szCs w:val="16"/>
          <w:lang w:val="en-US"/>
        </w:rPr>
        <w:t>globaltimes.cn/page/202208/1273266.shtml</w:t>
      </w:r>
      <w:r>
        <w:fldChar w:fldCharType="end"/>
      </w:r>
      <w:r w:rsidRPr="00D5572F">
        <w:rPr>
          <w:rFonts w:ascii="Calibri" w:hAnsi="Calibri" w:cs="Calibri"/>
          <w:sz w:val="16"/>
          <w:szCs w:val="16"/>
          <w:lang w:val="en-US"/>
        </w:rPr>
        <w:t>.</w:t>
      </w:r>
      <w:r>
        <w:rPr>
          <w:rFonts w:ascii="Calibri" w:hAnsi="Calibri" w:cs="Calibri"/>
          <w:sz w:val="16"/>
          <w:szCs w:val="16"/>
          <w:lang w:val="en-US"/>
        </w:rPr>
        <w:t xml:space="preserve"> Also see: Safeguard Defenders, </w:t>
      </w:r>
      <w:r>
        <w:rPr>
          <w:rFonts w:ascii="Calibri" w:hAnsi="Calibri" w:cs="Calibri"/>
          <w:i/>
          <w:iCs/>
          <w:sz w:val="16"/>
          <w:szCs w:val="16"/>
          <w:lang w:val="en-US"/>
        </w:rPr>
        <w:t>110 Overseas</w:t>
      </w:r>
      <w:r>
        <w:rPr>
          <w:rFonts w:ascii="Calibri" w:hAnsi="Calibri" w:cs="Calibri"/>
          <w:sz w:val="16"/>
          <w:szCs w:val="16"/>
          <w:lang w:val="en-US"/>
        </w:rPr>
        <w:t xml:space="preserve">, 12 September 2022, </w:t>
      </w:r>
      <w:hyperlink r:id="rId4" w:history="1">
        <w:r w:rsidRPr="00B16FD8">
          <w:rPr>
            <w:rStyle w:val="Hyperlink"/>
            <w:rFonts w:ascii="Calibri" w:hAnsi="Calibri" w:cs="Calibri"/>
            <w:sz w:val="16"/>
            <w:szCs w:val="16"/>
            <w:lang w:val="en-US"/>
          </w:rPr>
          <w:t>https://safeguarddefenders.com/en/publications/110-overseas</w:t>
        </w:r>
      </w:hyperlink>
      <w:r>
        <w:rPr>
          <w:rFonts w:ascii="Calibri" w:hAnsi="Calibri" w:cs="Calibri"/>
          <w:sz w:val="16"/>
          <w:szCs w:val="16"/>
          <w:lang w:val="en-US"/>
        </w:rPr>
        <w:t xml:space="preserve">. </w:t>
      </w:r>
    </w:p>
  </w:footnote>
  <w:footnote w:id="28">
    <w:p w14:paraId="69E1E8F3" w14:textId="31383AFA" w:rsidR="002B644B" w:rsidRPr="002B644B" w:rsidRDefault="002B644B">
      <w:pPr>
        <w:pStyle w:val="FootnoteText"/>
        <w:rPr>
          <w:rFonts w:ascii="Calibri" w:hAnsi="Calibri" w:cs="Calibri"/>
          <w:sz w:val="16"/>
          <w:szCs w:val="16"/>
          <w:lang w:val="en-US"/>
        </w:rPr>
      </w:pPr>
      <w:r w:rsidRPr="002B644B">
        <w:rPr>
          <w:rStyle w:val="FootnoteReference"/>
          <w:rFonts w:ascii="Calibri" w:hAnsi="Calibri" w:cs="Calibri"/>
          <w:sz w:val="16"/>
          <w:szCs w:val="16"/>
        </w:rPr>
        <w:footnoteRef/>
      </w:r>
      <w:r w:rsidRPr="002B644B">
        <w:rPr>
          <w:rFonts w:ascii="Calibri" w:hAnsi="Calibri" w:cs="Calibri"/>
          <w:sz w:val="16"/>
          <w:szCs w:val="16"/>
          <w:lang w:val="en-US"/>
        </w:rPr>
        <w:t xml:space="preserve"> </w:t>
      </w:r>
      <w:r>
        <w:fldChar w:fldCharType="begin"/>
      </w:r>
      <w:r w:rsidRPr="002D0832">
        <w:rPr>
          <w:lang w:val="en-US"/>
        </w:rPr>
        <w:instrText>HYPERLINK "https://www.ohchr.org/Documents/Issues/Disappearances/Allegations/119_China.pdf"</w:instrText>
      </w:r>
      <w:r>
        <w:fldChar w:fldCharType="separate"/>
      </w:r>
      <w:r w:rsidRPr="002B644B">
        <w:rPr>
          <w:rStyle w:val="Hyperlink"/>
          <w:rFonts w:ascii="Calibri" w:eastAsiaTheme="majorEastAsia" w:hAnsi="Calibri" w:cs="Calibri"/>
          <w:sz w:val="16"/>
          <w:szCs w:val="16"/>
          <w:lang w:val="en-US"/>
        </w:rPr>
        <w:t>https://www.ohchr.org/Documents/Issues/Disappearances/Allegations/119_China.pdf</w:t>
      </w:r>
      <w:r>
        <w:fldChar w:fldCharType="end"/>
      </w:r>
      <w:r w:rsidRPr="002B644B">
        <w:rPr>
          <w:rStyle w:val="Hyperlink"/>
          <w:rFonts w:ascii="Calibri" w:eastAsiaTheme="majorEastAsia" w:hAnsi="Calibri" w:cs="Calibri"/>
          <w:sz w:val="16"/>
          <w:szCs w:val="16"/>
          <w:lang w:val="en-US"/>
        </w:rPr>
        <w:t>.</w:t>
      </w:r>
    </w:p>
  </w:footnote>
  <w:footnote w:id="29">
    <w:p w14:paraId="4E60858C" w14:textId="67F03CD9" w:rsidR="002B644B" w:rsidRPr="002B644B" w:rsidRDefault="002B644B">
      <w:pPr>
        <w:pStyle w:val="FootnoteText"/>
        <w:rPr>
          <w:rFonts w:ascii="Calibri" w:eastAsiaTheme="majorEastAsia" w:hAnsi="Calibri" w:cs="Calibri"/>
          <w:color w:val="467886" w:themeColor="hyperlink"/>
          <w:sz w:val="16"/>
          <w:szCs w:val="16"/>
          <w:u w:val="single"/>
          <w:lang w:val="en-US"/>
        </w:rPr>
      </w:pPr>
      <w:r w:rsidRPr="002B644B">
        <w:rPr>
          <w:rStyle w:val="FootnoteReference"/>
          <w:rFonts w:ascii="Calibri" w:hAnsi="Calibri" w:cs="Calibri"/>
          <w:sz w:val="16"/>
          <w:szCs w:val="16"/>
        </w:rPr>
        <w:footnoteRef/>
      </w:r>
      <w:r w:rsidRPr="002B644B">
        <w:rPr>
          <w:rFonts w:ascii="Calibri" w:hAnsi="Calibri" w:cs="Calibri"/>
          <w:sz w:val="16"/>
          <w:szCs w:val="16"/>
          <w:lang w:val="en-US"/>
        </w:rPr>
        <w:t xml:space="preserve"> </w:t>
      </w:r>
      <w:r>
        <w:fldChar w:fldCharType="begin"/>
      </w:r>
      <w:r w:rsidRPr="002D0832">
        <w:rPr>
          <w:lang w:val="en-US"/>
        </w:rPr>
        <w:instrText>HYPERLINK "https://undocs.org/pdf?symbol=en/A/HRC/45/13"</w:instrText>
      </w:r>
      <w:r>
        <w:fldChar w:fldCharType="separate"/>
      </w:r>
      <w:r w:rsidRPr="002B644B">
        <w:rPr>
          <w:rStyle w:val="Hyperlink"/>
          <w:rFonts w:ascii="Calibri" w:eastAsiaTheme="majorEastAsia" w:hAnsi="Calibri" w:cs="Calibri"/>
          <w:sz w:val="16"/>
          <w:szCs w:val="16"/>
          <w:lang w:val="en-US"/>
        </w:rPr>
        <w:t>https://undocs.org/pdf?symbol=en/A/HRC/45/13</w:t>
      </w:r>
      <w:r>
        <w:fldChar w:fldCharType="end"/>
      </w:r>
      <w:r w:rsidRPr="002B644B">
        <w:rPr>
          <w:rStyle w:val="Hyperlink"/>
          <w:rFonts w:ascii="Calibri" w:eastAsiaTheme="majorEastAsia" w:hAnsi="Calibri" w:cs="Calibri"/>
          <w:sz w:val="16"/>
          <w:szCs w:val="16"/>
          <w:lang w:val="en-US"/>
        </w:rPr>
        <w:t>.</w:t>
      </w:r>
    </w:p>
  </w:footnote>
  <w:footnote w:id="30">
    <w:p w14:paraId="609D8596" w14:textId="310141B1" w:rsidR="002B644B" w:rsidRPr="002B644B" w:rsidRDefault="002B644B">
      <w:pPr>
        <w:pStyle w:val="FootnoteText"/>
        <w:rPr>
          <w:lang w:val="en-US"/>
        </w:rPr>
      </w:pPr>
      <w:r w:rsidRPr="002B644B">
        <w:rPr>
          <w:rStyle w:val="FootnoteReference"/>
          <w:rFonts w:ascii="Calibri" w:hAnsi="Calibri" w:cs="Calibri"/>
          <w:sz w:val="16"/>
          <w:szCs w:val="16"/>
        </w:rPr>
        <w:footnoteRef/>
      </w:r>
      <w:r w:rsidRPr="002B644B">
        <w:rPr>
          <w:rFonts w:ascii="Calibri" w:hAnsi="Calibri" w:cs="Calibri"/>
          <w:sz w:val="16"/>
          <w:szCs w:val="16"/>
          <w:lang w:val="en-US"/>
        </w:rPr>
        <w:t xml:space="preserve"> </w:t>
      </w:r>
      <w:r>
        <w:fldChar w:fldCharType="begin"/>
      </w:r>
      <w:r w:rsidRPr="002D0832">
        <w:rPr>
          <w:lang w:val="en-US"/>
        </w:rPr>
        <w:instrText>HYPERLINK "https://www.ohchr.org/sites/default/files/2021-12/A_HRC_WGEID_125_1_AdvanceEditedVersion.docx"</w:instrText>
      </w:r>
      <w:r>
        <w:fldChar w:fldCharType="separate"/>
      </w:r>
      <w:r w:rsidRPr="002B644B">
        <w:rPr>
          <w:rStyle w:val="Hyperlink"/>
          <w:rFonts w:ascii="Calibri" w:eastAsiaTheme="majorEastAsia" w:hAnsi="Calibri" w:cs="Calibri"/>
          <w:sz w:val="16"/>
          <w:szCs w:val="16"/>
          <w:lang w:val="en-US"/>
        </w:rPr>
        <w:t>https://www.ohchr.org/sites/default/files/2021-12/A_HRC_WGEID_125_1_AdvanceEditedVersion.docx</w:t>
      </w:r>
      <w:r>
        <w:fldChar w:fldCharType="end"/>
      </w:r>
      <w:r w:rsidRPr="002B644B">
        <w:rPr>
          <w:rStyle w:val="Hyperlink"/>
          <w:rFonts w:ascii="Calibri" w:eastAsiaTheme="majorEastAsia" w:hAnsi="Calibri" w:cs="Calibri"/>
          <w:sz w:val="16"/>
          <w:szCs w:val="16"/>
          <w:lang w:val="en-US"/>
        </w:rPr>
        <w:t>.</w:t>
      </w:r>
    </w:p>
  </w:footnote>
  <w:footnote w:id="31">
    <w:p w14:paraId="72A76A07" w14:textId="50BE2F90" w:rsidR="002B644B" w:rsidRPr="002B644B" w:rsidRDefault="002B644B">
      <w:pPr>
        <w:pStyle w:val="FootnoteText"/>
        <w:rPr>
          <w:rFonts w:ascii="Calibri" w:hAnsi="Calibri" w:cs="Calibri"/>
          <w:sz w:val="16"/>
          <w:szCs w:val="16"/>
          <w:lang w:val="en-US"/>
        </w:rPr>
      </w:pPr>
      <w:r w:rsidRPr="002B644B">
        <w:rPr>
          <w:rStyle w:val="FootnoteReference"/>
          <w:rFonts w:ascii="Calibri" w:hAnsi="Calibri" w:cs="Calibri"/>
          <w:sz w:val="16"/>
          <w:szCs w:val="16"/>
        </w:rPr>
        <w:footnoteRef/>
      </w:r>
      <w:r w:rsidRPr="002B644B">
        <w:rPr>
          <w:rFonts w:ascii="Calibri" w:hAnsi="Calibri" w:cs="Calibri"/>
          <w:sz w:val="16"/>
          <w:szCs w:val="16"/>
          <w:lang w:val="en-US"/>
        </w:rPr>
        <w:t xml:space="preserve"> Also see: Safeguard Defenders, </w:t>
      </w:r>
      <w:r w:rsidRPr="002B644B">
        <w:rPr>
          <w:rFonts w:ascii="Calibri" w:hAnsi="Calibri" w:cs="Calibri"/>
          <w:i/>
          <w:iCs/>
          <w:sz w:val="16"/>
          <w:szCs w:val="16"/>
          <w:lang w:val="en-US"/>
        </w:rPr>
        <w:t>Locked Up: Inside China's Secret RSDL Jails,</w:t>
      </w:r>
      <w:r w:rsidRPr="002B644B">
        <w:rPr>
          <w:rFonts w:ascii="Calibri" w:hAnsi="Calibri" w:cs="Calibri"/>
          <w:sz w:val="16"/>
          <w:szCs w:val="16"/>
          <w:lang w:val="en-US"/>
        </w:rPr>
        <w:t xml:space="preserve"> 21 June 2021, </w:t>
      </w:r>
      <w:r>
        <w:fldChar w:fldCharType="begin"/>
      </w:r>
      <w:r w:rsidRPr="002D0832">
        <w:rPr>
          <w:lang w:val="en-US"/>
        </w:rPr>
        <w:instrText>HYPERLINK "https://safeguarddefenders.com/en/publications/locked"</w:instrText>
      </w:r>
      <w:r>
        <w:fldChar w:fldCharType="separate"/>
      </w:r>
      <w:r w:rsidRPr="002B644B">
        <w:rPr>
          <w:rStyle w:val="Hyperlink"/>
          <w:rFonts w:ascii="Calibri" w:hAnsi="Calibri" w:cs="Calibri"/>
          <w:sz w:val="16"/>
          <w:szCs w:val="16"/>
          <w:lang w:val="en-US"/>
        </w:rPr>
        <w:t>https://safeguarddefenders.com/en/publications/locked</w:t>
      </w:r>
      <w:r>
        <w:fldChar w:fldCharType="end"/>
      </w:r>
      <w:r w:rsidRPr="002B644B">
        <w:rPr>
          <w:rFonts w:ascii="Calibri" w:hAnsi="Calibri" w:cs="Calibri"/>
          <w:sz w:val="16"/>
          <w:szCs w:val="16"/>
          <w:lang w:val="en-US"/>
        </w:rPr>
        <w:t xml:space="preserve">. </w:t>
      </w:r>
    </w:p>
  </w:footnote>
  <w:footnote w:id="32">
    <w:p w14:paraId="028A6FFD" w14:textId="6D55E52D" w:rsidR="002B644B" w:rsidRPr="002B644B" w:rsidRDefault="002B644B">
      <w:pPr>
        <w:pStyle w:val="FootnoteText"/>
        <w:rPr>
          <w:rFonts w:ascii="Calibri" w:hAnsi="Calibri" w:cs="Calibri"/>
          <w:sz w:val="16"/>
          <w:szCs w:val="16"/>
          <w:lang w:val="en-US"/>
        </w:rPr>
      </w:pPr>
      <w:r w:rsidRPr="002B644B">
        <w:rPr>
          <w:rStyle w:val="FootnoteReference"/>
          <w:rFonts w:ascii="Calibri" w:hAnsi="Calibri" w:cs="Calibri"/>
          <w:sz w:val="16"/>
          <w:szCs w:val="16"/>
        </w:rPr>
        <w:footnoteRef/>
      </w:r>
      <w:r w:rsidRPr="002B644B">
        <w:rPr>
          <w:rFonts w:ascii="Calibri" w:hAnsi="Calibri" w:cs="Calibri"/>
          <w:sz w:val="16"/>
          <w:szCs w:val="16"/>
          <w:lang w:val="en-US"/>
        </w:rPr>
        <w:t xml:space="preserve"> </w:t>
      </w:r>
      <w:r>
        <w:fldChar w:fldCharType="begin"/>
      </w:r>
      <w:r w:rsidRPr="002D0832">
        <w:rPr>
          <w:lang w:val="en-US"/>
        </w:rPr>
        <w:instrText>HYPERLINK "https://spcommreports.ohchr.org/TMResultsBase/DownLoadPublicCommunicationFile?gId=23997"</w:instrText>
      </w:r>
      <w:r>
        <w:fldChar w:fldCharType="separate"/>
      </w:r>
      <w:r w:rsidRPr="002B644B">
        <w:rPr>
          <w:rStyle w:val="Hyperlink"/>
          <w:rFonts w:ascii="Calibri" w:eastAsiaTheme="majorEastAsia" w:hAnsi="Calibri" w:cs="Calibri"/>
          <w:sz w:val="16"/>
          <w:szCs w:val="16"/>
          <w:lang w:val="en-US"/>
        </w:rPr>
        <w:t>https://spcommreports.ohchr.org/TMResultsBase/DownLoadPublicCommunicationFile?gId=23997</w:t>
      </w:r>
      <w:r>
        <w:fldChar w:fldCharType="end"/>
      </w:r>
      <w:r w:rsidRPr="002B644B">
        <w:rPr>
          <w:rFonts w:ascii="Calibri" w:hAnsi="Calibri" w:cs="Calibri"/>
          <w:sz w:val="16"/>
          <w:szCs w:val="16"/>
          <w:lang w:val="en-US"/>
        </w:rPr>
        <w:t>.</w:t>
      </w:r>
    </w:p>
  </w:footnote>
  <w:footnote w:id="33">
    <w:p w14:paraId="05633C83" w14:textId="62DB807B" w:rsidR="002B644B" w:rsidRPr="002B644B" w:rsidRDefault="002B644B" w:rsidP="002B644B">
      <w:pPr>
        <w:pStyle w:val="FootnoteText"/>
        <w:rPr>
          <w:sz w:val="18"/>
          <w:szCs w:val="18"/>
          <w:lang w:val="en-US"/>
        </w:rPr>
      </w:pPr>
      <w:r w:rsidRPr="002B644B">
        <w:rPr>
          <w:rStyle w:val="FootnoteReference"/>
          <w:rFonts w:ascii="Calibri" w:hAnsi="Calibri" w:cs="Calibri"/>
          <w:sz w:val="16"/>
          <w:szCs w:val="16"/>
        </w:rPr>
        <w:footnoteRef/>
      </w:r>
      <w:r w:rsidRPr="002D0832">
        <w:rPr>
          <w:rFonts w:ascii="Calibri" w:hAnsi="Calibri" w:cs="Calibri"/>
          <w:sz w:val="16"/>
          <w:szCs w:val="16"/>
          <w:lang w:val="en-US"/>
        </w:rPr>
        <w:t xml:space="preserve"> </w:t>
      </w:r>
      <w:hyperlink r:id="rId5" w:history="1">
        <w:r w:rsidRPr="002D0832">
          <w:rPr>
            <w:rStyle w:val="Hyperlink"/>
            <w:rFonts w:ascii="Calibri" w:eastAsiaTheme="majorEastAsia" w:hAnsi="Calibri" w:cs="Calibri"/>
            <w:sz w:val="16"/>
            <w:szCs w:val="16"/>
            <w:lang w:val="en-US"/>
          </w:rPr>
          <w:t>https://www.ohchr.org/EN/NewsEvents/Pages/DisplayNews.aspx?NewsID=25735&amp;LangID=E</w:t>
        </w:r>
      </w:hyperlink>
      <w:r w:rsidRPr="002B644B">
        <w:rPr>
          <w:rFonts w:ascii="Calibri" w:hAnsi="Calibri" w:cs="Calibri"/>
          <w:sz w:val="16"/>
          <w:szCs w:val="16"/>
          <w:lang w:val="en-US"/>
        </w:rPr>
        <w:t>.</w:t>
      </w:r>
      <w:r w:rsidRPr="002B644B">
        <w:rPr>
          <w:sz w:val="18"/>
          <w:szCs w:val="18"/>
          <w:lang w:val="en-US"/>
        </w:rPr>
        <w:t xml:space="preserve"> </w:t>
      </w:r>
    </w:p>
  </w:footnote>
  <w:footnote w:id="34">
    <w:p w14:paraId="1346A071" w14:textId="0211B2AB" w:rsidR="002B644B" w:rsidRPr="002B644B" w:rsidRDefault="002B644B" w:rsidP="002B644B">
      <w:pPr>
        <w:pStyle w:val="FootnoteText"/>
        <w:rPr>
          <w:rFonts w:ascii="Calibri" w:hAnsi="Calibri" w:cs="Calibri"/>
          <w:sz w:val="16"/>
          <w:szCs w:val="16"/>
          <w:lang w:val="en-US"/>
        </w:rPr>
      </w:pPr>
      <w:r w:rsidRPr="002B644B">
        <w:rPr>
          <w:rStyle w:val="FootnoteReference"/>
          <w:rFonts w:ascii="Calibri" w:hAnsi="Calibri" w:cs="Calibri"/>
          <w:sz w:val="16"/>
          <w:szCs w:val="16"/>
        </w:rPr>
        <w:footnoteRef/>
      </w:r>
      <w:r w:rsidRPr="002B644B">
        <w:rPr>
          <w:rFonts w:ascii="Calibri" w:hAnsi="Calibri" w:cs="Calibri"/>
          <w:sz w:val="16"/>
          <w:szCs w:val="16"/>
          <w:lang w:val="en-US"/>
        </w:rPr>
        <w:t xml:space="preserve"> </w:t>
      </w:r>
      <w:r>
        <w:fldChar w:fldCharType="begin"/>
      </w:r>
      <w:r w:rsidRPr="002D0832">
        <w:rPr>
          <w:lang w:val="en-US"/>
        </w:rPr>
        <w:instrText>HYPERLINK "https://wenshu.court.gov.cn/"</w:instrText>
      </w:r>
      <w:r>
        <w:fldChar w:fldCharType="separate"/>
      </w:r>
      <w:r w:rsidRPr="002B644B">
        <w:rPr>
          <w:rStyle w:val="Hyperlink"/>
          <w:rFonts w:ascii="Calibri" w:eastAsiaTheme="majorEastAsia" w:hAnsi="Calibri" w:cs="Calibri"/>
          <w:sz w:val="16"/>
          <w:szCs w:val="16"/>
          <w:lang w:val="en-US"/>
        </w:rPr>
        <w:t>https://wenshu.court.gov.cn/</w:t>
      </w:r>
      <w:r>
        <w:fldChar w:fldCharType="end"/>
      </w:r>
      <w:r w:rsidRPr="002B644B">
        <w:rPr>
          <w:rFonts w:ascii="Calibri" w:hAnsi="Calibri" w:cs="Calibri"/>
          <w:sz w:val="16"/>
          <w:szCs w:val="16"/>
          <w:lang w:val="en-US"/>
        </w:rPr>
        <w:t xml:space="preserve">. It must be highlighted that this official database has significant gaps (notably in relation to national security cases) and has increasing restrictions on access. </w:t>
      </w:r>
    </w:p>
    <w:p w14:paraId="790B4514" w14:textId="1785DB2E" w:rsidR="002B644B" w:rsidRPr="002B644B" w:rsidRDefault="002B644B" w:rsidP="002B644B">
      <w:pPr>
        <w:pStyle w:val="FootnoteText"/>
        <w:rPr>
          <w:rFonts w:ascii="Calibri" w:hAnsi="Calibri" w:cs="Calibri"/>
          <w:sz w:val="16"/>
          <w:szCs w:val="16"/>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78439" w14:textId="5A3A63A3" w:rsidR="00962F45" w:rsidRDefault="00962F45" w:rsidP="00962F45">
    <w:pPr>
      <w:pStyle w:val="Header"/>
      <w:jc w:val="center"/>
    </w:pPr>
    <w:r>
      <w:rPr>
        <w:noProof/>
        <w:lang w:val="en-GB" w:eastAsia="en-GB"/>
      </w:rPr>
      <w:drawing>
        <wp:anchor distT="0" distB="0" distL="114300" distR="114300" simplePos="0" relativeHeight="251659264" behindDoc="1" locked="0" layoutInCell="1" allowOverlap="1" wp14:anchorId="0D0D591B" wp14:editId="3E62C344">
          <wp:simplePos x="0" y="0"/>
          <wp:positionH relativeFrom="margin">
            <wp:posOffset>2366468</wp:posOffset>
          </wp:positionH>
          <wp:positionV relativeFrom="paragraph">
            <wp:posOffset>-179978</wp:posOffset>
          </wp:positionV>
          <wp:extent cx="1394460" cy="488315"/>
          <wp:effectExtent l="0" t="0" r="2540" b="0"/>
          <wp:wrapTight wrapText="bothSides">
            <wp:wrapPolygon edited="0">
              <wp:start x="5705" y="0"/>
              <wp:lineTo x="1967" y="2247"/>
              <wp:lineTo x="1180" y="5056"/>
              <wp:lineTo x="1574" y="8988"/>
              <wp:lineTo x="0" y="14044"/>
              <wp:lineTo x="0" y="20785"/>
              <wp:lineTo x="21443" y="20785"/>
              <wp:lineTo x="21443" y="14606"/>
              <wp:lineTo x="20262" y="8988"/>
              <wp:lineTo x="20262" y="0"/>
              <wp:lineTo x="5705" y="0"/>
            </wp:wrapPolygon>
          </wp:wrapTight>
          <wp:docPr id="430571131" name="Picture 1" descr="C:\Users\peter\AppData\Local\Microsoft\Windows\INetCache\Content.Wo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eter\AppData\Local\Microsoft\Windows\INetCache\Content.Word\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4460" cy="4883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5D2E6" w14:textId="30682DEE" w:rsidR="00962F45" w:rsidRDefault="00962F45" w:rsidP="00962F45">
    <w:pPr>
      <w:pStyle w:val="Header"/>
      <w:jc w:val="center"/>
    </w:pPr>
    <w:r>
      <w:rPr>
        <w:noProof/>
        <w:lang w:val="en-GB" w:eastAsia="en-GB"/>
      </w:rPr>
      <w:drawing>
        <wp:anchor distT="0" distB="0" distL="114300" distR="114300" simplePos="0" relativeHeight="251661312" behindDoc="1" locked="0" layoutInCell="1" allowOverlap="1" wp14:anchorId="27B6C181" wp14:editId="1BE6BD31">
          <wp:simplePos x="0" y="0"/>
          <wp:positionH relativeFrom="margin">
            <wp:posOffset>2095247</wp:posOffset>
          </wp:positionH>
          <wp:positionV relativeFrom="paragraph">
            <wp:posOffset>-205950</wp:posOffset>
          </wp:positionV>
          <wp:extent cx="1849120" cy="647700"/>
          <wp:effectExtent l="0" t="0" r="0" b="0"/>
          <wp:wrapTight wrapText="bothSides">
            <wp:wrapPolygon edited="0">
              <wp:start x="5563" y="0"/>
              <wp:lineTo x="1335" y="3176"/>
              <wp:lineTo x="1335" y="9529"/>
              <wp:lineTo x="8901" y="10165"/>
              <wp:lineTo x="0" y="13976"/>
              <wp:lineTo x="0" y="20965"/>
              <wp:lineTo x="21363" y="20965"/>
              <wp:lineTo x="21363" y="13976"/>
              <wp:lineTo x="11571" y="10165"/>
              <wp:lineTo x="19137" y="10165"/>
              <wp:lineTo x="20695" y="8259"/>
              <wp:lineTo x="20250" y="0"/>
              <wp:lineTo x="5563" y="0"/>
            </wp:wrapPolygon>
          </wp:wrapTight>
          <wp:docPr id="1558884283" name="Picture 1" descr="C:\Users\peter\AppData\Local\Microsoft\Windows\INetCache\Content.Wo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eter\AppData\Local\Microsoft\Windows\INetCache\Content.Word\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912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36D4"/>
    <w:multiLevelType w:val="multilevel"/>
    <w:tmpl w:val="19B24B8C"/>
    <w:lvl w:ilvl="0">
      <w:start w:val="1"/>
      <w:numFmt w:val="bullet"/>
      <w:lvlText w:val=""/>
      <w:lvlJc w:val="left"/>
      <w:pPr>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9F34C5"/>
    <w:multiLevelType w:val="hybridMultilevel"/>
    <w:tmpl w:val="36FAA7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EC2887"/>
    <w:multiLevelType w:val="hybridMultilevel"/>
    <w:tmpl w:val="999C7894"/>
    <w:lvl w:ilvl="0" w:tplc="39A268AE">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7EE0379"/>
    <w:multiLevelType w:val="hybridMultilevel"/>
    <w:tmpl w:val="D646EAD2"/>
    <w:lvl w:ilvl="0" w:tplc="39E09E76">
      <w:start w:val="1"/>
      <w:numFmt w:val="decimal"/>
      <w:lvlText w:val="%1."/>
      <w:lvlJc w:val="left"/>
      <w:pPr>
        <w:ind w:left="720" w:hanging="360"/>
      </w:pPr>
      <w:rPr>
        <w:rFonts w:asciiTheme="minorHAnsi" w:hAnsiTheme="minorHAnsi" w:cstheme="minorHAnsi" w:hint="default"/>
        <w:b w:val="0"/>
        <w:bCs w:val="0"/>
        <w:i w:val="0"/>
        <w:i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B5618F"/>
    <w:multiLevelType w:val="multilevel"/>
    <w:tmpl w:val="19B24B8C"/>
    <w:lvl w:ilvl="0">
      <w:start w:val="1"/>
      <w:numFmt w:val="bullet"/>
      <w:lvlText w:val=""/>
      <w:lvlJc w:val="left"/>
      <w:pPr>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EA66CDA"/>
    <w:multiLevelType w:val="multilevel"/>
    <w:tmpl w:val="19B24B8C"/>
    <w:lvl w:ilvl="0">
      <w:start w:val="1"/>
      <w:numFmt w:val="bullet"/>
      <w:lvlText w:val=""/>
      <w:lvlJc w:val="left"/>
      <w:pPr>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1864947"/>
    <w:multiLevelType w:val="multilevel"/>
    <w:tmpl w:val="19B24B8C"/>
    <w:lvl w:ilvl="0">
      <w:start w:val="1"/>
      <w:numFmt w:val="bullet"/>
      <w:lvlText w:val=""/>
      <w:lvlJc w:val="left"/>
      <w:pPr>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BD2395"/>
    <w:multiLevelType w:val="hybridMultilevel"/>
    <w:tmpl w:val="BCCEBE50"/>
    <w:lvl w:ilvl="0" w:tplc="22C430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3326704">
    <w:abstractNumId w:val="1"/>
  </w:num>
  <w:num w:numId="2" w16cid:durableId="1995063246">
    <w:abstractNumId w:val="0"/>
  </w:num>
  <w:num w:numId="3" w16cid:durableId="750079359">
    <w:abstractNumId w:val="5"/>
  </w:num>
  <w:num w:numId="4" w16cid:durableId="1225795497">
    <w:abstractNumId w:val="4"/>
  </w:num>
  <w:num w:numId="5" w16cid:durableId="1779257192">
    <w:abstractNumId w:val="7"/>
  </w:num>
  <w:num w:numId="6" w16cid:durableId="39130785">
    <w:abstractNumId w:val="6"/>
  </w:num>
  <w:num w:numId="7" w16cid:durableId="217206242">
    <w:abstractNumId w:val="3"/>
  </w:num>
  <w:num w:numId="8" w16cid:durableId="697120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F45"/>
    <w:rsid w:val="000618C1"/>
    <w:rsid w:val="000748D3"/>
    <w:rsid w:val="001C2A87"/>
    <w:rsid w:val="002B644B"/>
    <w:rsid w:val="002D0832"/>
    <w:rsid w:val="00374447"/>
    <w:rsid w:val="00391981"/>
    <w:rsid w:val="0055456C"/>
    <w:rsid w:val="00643EE6"/>
    <w:rsid w:val="006D672B"/>
    <w:rsid w:val="006D7AEF"/>
    <w:rsid w:val="00701B58"/>
    <w:rsid w:val="00840AC2"/>
    <w:rsid w:val="008C392B"/>
    <w:rsid w:val="008D57D5"/>
    <w:rsid w:val="00926D53"/>
    <w:rsid w:val="00962F45"/>
    <w:rsid w:val="00A81DDB"/>
    <w:rsid w:val="00AE07D9"/>
    <w:rsid w:val="00BD3AAC"/>
    <w:rsid w:val="00CC7F05"/>
    <w:rsid w:val="00D33E76"/>
    <w:rsid w:val="00D5572F"/>
    <w:rsid w:val="00E02991"/>
    <w:rsid w:val="00EA3A86"/>
    <w:rsid w:val="00FF6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4E7A95"/>
  <w15:chartTrackingRefBased/>
  <w15:docId w15:val="{5AAE0B84-5FF4-F941-9B97-ECC0AE7A9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F45"/>
  </w:style>
  <w:style w:type="paragraph" w:styleId="Heading1">
    <w:name w:val="heading 1"/>
    <w:basedOn w:val="Normal"/>
    <w:next w:val="Normal"/>
    <w:link w:val="Heading1Char"/>
    <w:uiPriority w:val="9"/>
    <w:qFormat/>
    <w:rsid w:val="00962F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62F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62F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62F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F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F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F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F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F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2F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62F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62F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62F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F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F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F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F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F45"/>
    <w:rPr>
      <w:rFonts w:eastAsiaTheme="majorEastAsia" w:cstheme="majorBidi"/>
      <w:color w:val="272727" w:themeColor="text1" w:themeTint="D8"/>
    </w:rPr>
  </w:style>
  <w:style w:type="paragraph" w:styleId="Title">
    <w:name w:val="Title"/>
    <w:basedOn w:val="Normal"/>
    <w:next w:val="Normal"/>
    <w:link w:val="TitleChar"/>
    <w:uiPriority w:val="10"/>
    <w:qFormat/>
    <w:rsid w:val="00962F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F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F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F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F45"/>
    <w:pPr>
      <w:spacing w:before="160"/>
      <w:jc w:val="center"/>
    </w:pPr>
    <w:rPr>
      <w:i/>
      <w:iCs/>
      <w:color w:val="404040" w:themeColor="text1" w:themeTint="BF"/>
    </w:rPr>
  </w:style>
  <w:style w:type="character" w:customStyle="1" w:styleId="QuoteChar">
    <w:name w:val="Quote Char"/>
    <w:basedOn w:val="DefaultParagraphFont"/>
    <w:link w:val="Quote"/>
    <w:uiPriority w:val="29"/>
    <w:rsid w:val="00962F45"/>
    <w:rPr>
      <w:i/>
      <w:iCs/>
      <w:color w:val="404040" w:themeColor="text1" w:themeTint="BF"/>
    </w:rPr>
  </w:style>
  <w:style w:type="paragraph" w:styleId="ListParagraph">
    <w:name w:val="List Paragraph"/>
    <w:basedOn w:val="Normal"/>
    <w:uiPriority w:val="34"/>
    <w:qFormat/>
    <w:rsid w:val="00962F45"/>
    <w:pPr>
      <w:ind w:left="720"/>
      <w:contextualSpacing/>
    </w:pPr>
  </w:style>
  <w:style w:type="character" w:styleId="IntenseEmphasis">
    <w:name w:val="Intense Emphasis"/>
    <w:basedOn w:val="DefaultParagraphFont"/>
    <w:uiPriority w:val="21"/>
    <w:qFormat/>
    <w:rsid w:val="00962F45"/>
    <w:rPr>
      <w:i/>
      <w:iCs/>
      <w:color w:val="0F4761" w:themeColor="accent1" w:themeShade="BF"/>
    </w:rPr>
  </w:style>
  <w:style w:type="paragraph" w:styleId="IntenseQuote">
    <w:name w:val="Intense Quote"/>
    <w:basedOn w:val="Normal"/>
    <w:next w:val="Normal"/>
    <w:link w:val="IntenseQuoteChar"/>
    <w:uiPriority w:val="30"/>
    <w:qFormat/>
    <w:rsid w:val="00962F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F45"/>
    <w:rPr>
      <w:i/>
      <w:iCs/>
      <w:color w:val="0F4761" w:themeColor="accent1" w:themeShade="BF"/>
    </w:rPr>
  </w:style>
  <w:style w:type="character" w:styleId="IntenseReference">
    <w:name w:val="Intense Reference"/>
    <w:basedOn w:val="DefaultParagraphFont"/>
    <w:uiPriority w:val="32"/>
    <w:qFormat/>
    <w:rsid w:val="00962F45"/>
    <w:rPr>
      <w:b/>
      <w:bCs/>
      <w:smallCaps/>
      <w:color w:val="0F4761" w:themeColor="accent1" w:themeShade="BF"/>
      <w:spacing w:val="5"/>
    </w:rPr>
  </w:style>
  <w:style w:type="character" w:styleId="Hyperlink">
    <w:name w:val="Hyperlink"/>
    <w:basedOn w:val="DefaultParagraphFont"/>
    <w:uiPriority w:val="99"/>
    <w:unhideWhenUsed/>
    <w:rsid w:val="00962F45"/>
    <w:rPr>
      <w:color w:val="467886" w:themeColor="hyperlink"/>
      <w:u w:val="single"/>
    </w:rPr>
  </w:style>
  <w:style w:type="paragraph" w:styleId="Header">
    <w:name w:val="header"/>
    <w:basedOn w:val="Normal"/>
    <w:link w:val="HeaderChar"/>
    <w:uiPriority w:val="99"/>
    <w:unhideWhenUsed/>
    <w:rsid w:val="00962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F45"/>
  </w:style>
  <w:style w:type="paragraph" w:styleId="Footer">
    <w:name w:val="footer"/>
    <w:basedOn w:val="Normal"/>
    <w:link w:val="FooterChar"/>
    <w:uiPriority w:val="99"/>
    <w:unhideWhenUsed/>
    <w:rsid w:val="00962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F45"/>
  </w:style>
  <w:style w:type="character" w:styleId="PageNumber">
    <w:name w:val="page number"/>
    <w:basedOn w:val="DefaultParagraphFont"/>
    <w:uiPriority w:val="99"/>
    <w:semiHidden/>
    <w:unhideWhenUsed/>
    <w:rsid w:val="00962F45"/>
  </w:style>
  <w:style w:type="paragraph" w:styleId="FootnoteText">
    <w:name w:val="footnote text"/>
    <w:aliases w:val="Char Char Char,Char Char Char Char,脚注文本1 Char,脚注文本1,Char1,Char,脚注文本 Char11,脚注文本 Char Char Char,脚注文本 Char Char Char Char Char,脚注文本 Char Char Char Char Char Char Char Char Char Char Char Char,脚注文本 Char1,脚注文本 Char Char,脚注文本 Char1 Char1 Char"/>
    <w:basedOn w:val="Normal"/>
    <w:link w:val="FootnoteTextChar"/>
    <w:uiPriority w:val="99"/>
    <w:unhideWhenUsed/>
    <w:qFormat/>
    <w:rsid w:val="00962F45"/>
    <w:pPr>
      <w:spacing w:after="0" w:line="240" w:lineRule="auto"/>
    </w:pPr>
    <w:rPr>
      <w:rFonts w:ascii="Times New Roman" w:eastAsia="Times New Roman" w:hAnsi="Times New Roman" w:cs="Times New Roman"/>
      <w:kern w:val="0"/>
      <w:sz w:val="20"/>
      <w:szCs w:val="20"/>
      <w:lang w:val="it-IT" w:eastAsia="it-IT"/>
      <w14:ligatures w14:val="none"/>
    </w:rPr>
  </w:style>
  <w:style w:type="character" w:customStyle="1" w:styleId="FootnoteTextChar">
    <w:name w:val="Footnote Text Char"/>
    <w:aliases w:val="Char Char Char Char1,Char Char Char Char Char,脚注文本1 Char Char,脚注文本1 Char1,Char1 Char,Char Char,脚注文本 Char11 Char,脚注文本 Char Char Char Char,脚注文本 Char Char Char Char Char Char,脚注文本 Char1 Char,脚注文本 Char Char Char1"/>
    <w:basedOn w:val="DefaultParagraphFont"/>
    <w:link w:val="FootnoteText"/>
    <w:uiPriority w:val="99"/>
    <w:qFormat/>
    <w:rsid w:val="00962F45"/>
    <w:rPr>
      <w:rFonts w:ascii="Times New Roman" w:eastAsia="Times New Roman" w:hAnsi="Times New Roman" w:cs="Times New Roman"/>
      <w:kern w:val="0"/>
      <w:sz w:val="20"/>
      <w:szCs w:val="20"/>
      <w:lang w:val="it-IT" w:eastAsia="it-IT"/>
      <w14:ligatures w14:val="none"/>
    </w:rPr>
  </w:style>
  <w:style w:type="character" w:styleId="FootnoteReference">
    <w:name w:val="footnote reference"/>
    <w:basedOn w:val="DefaultParagraphFont"/>
    <w:uiPriority w:val="99"/>
    <w:unhideWhenUsed/>
    <w:rsid w:val="00962F45"/>
    <w:rPr>
      <w:vertAlign w:val="superscript"/>
    </w:rPr>
  </w:style>
  <w:style w:type="character" w:styleId="UnresolvedMention">
    <w:name w:val="Unresolved Mention"/>
    <w:basedOn w:val="DefaultParagraphFont"/>
    <w:uiPriority w:val="99"/>
    <w:semiHidden/>
    <w:unhideWhenUsed/>
    <w:rsid w:val="00926D53"/>
    <w:rPr>
      <w:color w:val="605E5C"/>
      <w:shd w:val="clear" w:color="auto" w:fill="E1DFDD"/>
    </w:rPr>
  </w:style>
  <w:style w:type="paragraph" w:customStyle="1" w:styleId="p1">
    <w:name w:val="p1"/>
    <w:basedOn w:val="Normal"/>
    <w:rsid w:val="00926D53"/>
    <w:pPr>
      <w:spacing w:after="0" w:line="240" w:lineRule="auto"/>
    </w:pPr>
    <w:rPr>
      <w:rFonts w:ascii="Helvetica" w:eastAsia="Times New Roman" w:hAnsi="Helvetica" w:cs="Times New Roman"/>
      <w:color w:val="000000"/>
      <w:kern w:val="0"/>
      <w:sz w:val="13"/>
      <w:szCs w:val="13"/>
      <w14:ligatures w14:val="none"/>
    </w:rPr>
  </w:style>
  <w:style w:type="paragraph" w:styleId="NormalWeb">
    <w:name w:val="Normal (Web)"/>
    <w:basedOn w:val="Normal"/>
    <w:uiPriority w:val="99"/>
    <w:semiHidden/>
    <w:unhideWhenUsed/>
    <w:rsid w:val="00926D53"/>
    <w:rPr>
      <w:rFonts w:ascii="Times New Roman" w:hAnsi="Times New Roman" w:cs="Times New Roman"/>
    </w:rPr>
  </w:style>
  <w:style w:type="character" w:customStyle="1" w:styleId="s1">
    <w:name w:val="s1"/>
    <w:basedOn w:val="DefaultParagraphFont"/>
    <w:rsid w:val="00EA3A86"/>
    <w:rPr>
      <w:rFonts w:ascii="Helvetica" w:hAnsi="Helvetica" w:hint="default"/>
      <w:color w:val="3D82B4"/>
      <w:sz w:val="12"/>
      <w:szCs w:val="12"/>
    </w:rPr>
  </w:style>
  <w:style w:type="paragraph" w:customStyle="1" w:styleId="p2">
    <w:name w:val="p2"/>
    <w:basedOn w:val="Normal"/>
    <w:rsid w:val="00FF6B43"/>
    <w:pPr>
      <w:spacing w:after="0" w:line="240" w:lineRule="auto"/>
    </w:pPr>
    <w:rPr>
      <w:rFonts w:ascii="Helvetica" w:eastAsia="Times New Roman" w:hAnsi="Helvetica" w:cs="Times New Roman"/>
      <w:color w:val="3D82B4"/>
      <w:kern w:val="0"/>
      <w:sz w:val="15"/>
      <w:szCs w:val="15"/>
      <w14:ligatures w14:val="none"/>
    </w:rPr>
  </w:style>
  <w:style w:type="paragraph" w:styleId="EndnoteText">
    <w:name w:val="endnote text"/>
    <w:basedOn w:val="Normal"/>
    <w:link w:val="EndnoteTextChar"/>
    <w:uiPriority w:val="99"/>
    <w:unhideWhenUsed/>
    <w:rsid w:val="002B644B"/>
    <w:pPr>
      <w:spacing w:after="0" w:line="240" w:lineRule="auto"/>
    </w:pPr>
    <w:rPr>
      <w:kern w:val="0"/>
      <w:sz w:val="20"/>
      <w:szCs w:val="20"/>
      <w14:ligatures w14:val="none"/>
    </w:rPr>
  </w:style>
  <w:style w:type="character" w:customStyle="1" w:styleId="EndnoteTextChar">
    <w:name w:val="Endnote Text Char"/>
    <w:basedOn w:val="DefaultParagraphFont"/>
    <w:link w:val="EndnoteText"/>
    <w:uiPriority w:val="99"/>
    <w:rsid w:val="002B644B"/>
    <w:rPr>
      <w:kern w:val="0"/>
      <w:sz w:val="20"/>
      <w:szCs w:val="20"/>
      <w14:ligatures w14:val="none"/>
    </w:rPr>
  </w:style>
  <w:style w:type="character" w:styleId="EndnoteReference">
    <w:name w:val="endnote reference"/>
    <w:basedOn w:val="DefaultParagraphFont"/>
    <w:uiPriority w:val="99"/>
    <w:semiHidden/>
    <w:unhideWhenUsed/>
    <w:rsid w:val="002B644B"/>
    <w:rPr>
      <w:vertAlign w:val="superscript"/>
    </w:rPr>
  </w:style>
  <w:style w:type="paragraph" w:customStyle="1" w:styleId="Default">
    <w:name w:val="Default"/>
    <w:rsid w:val="002B644B"/>
    <w:pPr>
      <w:autoSpaceDE w:val="0"/>
      <w:autoSpaceDN w:val="0"/>
      <w:adjustRightInd w:val="0"/>
      <w:spacing w:after="0" w:line="240" w:lineRule="auto"/>
    </w:pPr>
    <w:rPr>
      <w:rFonts w:ascii="Calibri" w:hAnsi="Calibri" w:cs="Calibri"/>
      <w:color w:val="000000"/>
      <w:kern w:val="0"/>
    </w:rPr>
  </w:style>
  <w:style w:type="paragraph" w:styleId="TOC1">
    <w:name w:val="toc 1"/>
    <w:basedOn w:val="Normal"/>
    <w:next w:val="Normal"/>
    <w:autoRedefine/>
    <w:uiPriority w:val="39"/>
    <w:unhideWhenUsed/>
    <w:rsid w:val="000748D3"/>
    <w:pPr>
      <w:spacing w:before="360" w:after="360"/>
    </w:pPr>
    <w:rPr>
      <w:b/>
      <w:bCs/>
      <w:caps/>
      <w:sz w:val="22"/>
      <w:szCs w:val="22"/>
      <w:u w:val="single"/>
    </w:rPr>
  </w:style>
  <w:style w:type="paragraph" w:styleId="TOC2">
    <w:name w:val="toc 2"/>
    <w:basedOn w:val="Normal"/>
    <w:next w:val="Normal"/>
    <w:autoRedefine/>
    <w:uiPriority w:val="39"/>
    <w:unhideWhenUsed/>
    <w:rsid w:val="000748D3"/>
    <w:pPr>
      <w:spacing w:after="0"/>
    </w:pPr>
    <w:rPr>
      <w:b/>
      <w:bCs/>
      <w:smallCaps/>
      <w:sz w:val="22"/>
      <w:szCs w:val="22"/>
    </w:rPr>
  </w:style>
  <w:style w:type="paragraph" w:styleId="TOC3">
    <w:name w:val="toc 3"/>
    <w:basedOn w:val="Normal"/>
    <w:next w:val="Normal"/>
    <w:autoRedefine/>
    <w:uiPriority w:val="39"/>
    <w:unhideWhenUsed/>
    <w:rsid w:val="000748D3"/>
    <w:pPr>
      <w:spacing w:after="0"/>
    </w:pPr>
    <w:rPr>
      <w:smallCaps/>
      <w:sz w:val="22"/>
      <w:szCs w:val="22"/>
    </w:rPr>
  </w:style>
  <w:style w:type="paragraph" w:styleId="TOC4">
    <w:name w:val="toc 4"/>
    <w:basedOn w:val="Normal"/>
    <w:next w:val="Normal"/>
    <w:autoRedefine/>
    <w:uiPriority w:val="39"/>
    <w:unhideWhenUsed/>
    <w:rsid w:val="000748D3"/>
    <w:pPr>
      <w:spacing w:after="0"/>
    </w:pPr>
    <w:rPr>
      <w:sz w:val="22"/>
      <w:szCs w:val="22"/>
    </w:rPr>
  </w:style>
  <w:style w:type="paragraph" w:styleId="TOC5">
    <w:name w:val="toc 5"/>
    <w:basedOn w:val="Normal"/>
    <w:next w:val="Normal"/>
    <w:autoRedefine/>
    <w:uiPriority w:val="39"/>
    <w:unhideWhenUsed/>
    <w:rsid w:val="000748D3"/>
    <w:pPr>
      <w:spacing w:after="0"/>
    </w:pPr>
    <w:rPr>
      <w:sz w:val="22"/>
      <w:szCs w:val="22"/>
    </w:rPr>
  </w:style>
  <w:style w:type="paragraph" w:styleId="TOC6">
    <w:name w:val="toc 6"/>
    <w:basedOn w:val="Normal"/>
    <w:next w:val="Normal"/>
    <w:autoRedefine/>
    <w:uiPriority w:val="39"/>
    <w:unhideWhenUsed/>
    <w:rsid w:val="000748D3"/>
    <w:pPr>
      <w:spacing w:after="0"/>
    </w:pPr>
    <w:rPr>
      <w:sz w:val="22"/>
      <w:szCs w:val="22"/>
    </w:rPr>
  </w:style>
  <w:style w:type="paragraph" w:styleId="TOC7">
    <w:name w:val="toc 7"/>
    <w:basedOn w:val="Normal"/>
    <w:next w:val="Normal"/>
    <w:autoRedefine/>
    <w:uiPriority w:val="39"/>
    <w:unhideWhenUsed/>
    <w:rsid w:val="000748D3"/>
    <w:pPr>
      <w:spacing w:after="0"/>
    </w:pPr>
    <w:rPr>
      <w:sz w:val="22"/>
      <w:szCs w:val="22"/>
    </w:rPr>
  </w:style>
  <w:style w:type="paragraph" w:styleId="TOC8">
    <w:name w:val="toc 8"/>
    <w:basedOn w:val="Normal"/>
    <w:next w:val="Normal"/>
    <w:autoRedefine/>
    <w:uiPriority w:val="39"/>
    <w:unhideWhenUsed/>
    <w:rsid w:val="000748D3"/>
    <w:pPr>
      <w:spacing w:after="0"/>
    </w:pPr>
    <w:rPr>
      <w:sz w:val="22"/>
      <w:szCs w:val="22"/>
    </w:rPr>
  </w:style>
  <w:style w:type="paragraph" w:styleId="TOC9">
    <w:name w:val="toc 9"/>
    <w:basedOn w:val="Normal"/>
    <w:next w:val="Normal"/>
    <w:autoRedefine/>
    <w:uiPriority w:val="39"/>
    <w:unhideWhenUsed/>
    <w:rsid w:val="000748D3"/>
    <w:pPr>
      <w:spacing w:after="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a@safeguarddefenders.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feguarddefenders.com/en" TargetMode="Externa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archive.ph/nI8Be" TargetMode="External"/><Relationship Id="rId2" Type="http://schemas.openxmlformats.org/officeDocument/2006/relationships/hyperlink" Target="https://www.ohchr.org/en/documents/country-reports/ohchr-assessment-human-rights-concerns-xinjiang-uyghur-autonomous-region" TargetMode="External"/><Relationship Id="rId1" Type="http://schemas.openxmlformats.org/officeDocument/2006/relationships/hyperlink" Target="https://www.unhcr.org/news/press-releases/unhcr-condemns-forced-returns-thailand" TargetMode="External"/><Relationship Id="rId5" Type="http://schemas.openxmlformats.org/officeDocument/2006/relationships/hyperlink" Target="https://www.ohchr.org/EN/NewsEvents/Pages/DisplayNews.aspx?NewsID=25735&amp;LangID=E" TargetMode="External"/><Relationship Id="rId4" Type="http://schemas.openxmlformats.org/officeDocument/2006/relationships/hyperlink" Target="https://safeguarddefenders.com/en/publications/110-overse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Safeguard Defenders </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7339E439-5159-4EA3-9561-37F4BCED0321}"/>
</file>

<file path=customXml/itemProps2.xml><?xml version="1.0" encoding="utf-8"?>
<ds:datastoreItem xmlns:ds="http://schemas.openxmlformats.org/officeDocument/2006/customXml" ds:itemID="{8B6D5A83-2D17-4FE3-805E-E596BC57CA5D}"/>
</file>

<file path=customXml/itemProps3.xml><?xml version="1.0" encoding="utf-8"?>
<ds:datastoreItem xmlns:ds="http://schemas.openxmlformats.org/officeDocument/2006/customXml" ds:itemID="{87F2E813-0878-489A-9481-27DFAA2A0E6C}"/>
</file>

<file path=docProps/app.xml><?xml version="1.0" encoding="utf-8"?>
<Properties xmlns="http://schemas.openxmlformats.org/officeDocument/2006/extended-properties" xmlns:vt="http://schemas.openxmlformats.org/officeDocument/2006/docPropsVTypes">
  <Template>Normal.dotm</Template>
  <TotalTime>3</TotalTime>
  <Pages>12</Pages>
  <Words>4507</Words>
  <Characters>25421</Characters>
  <Application>Microsoft Office Word</Application>
  <DocSecurity>0</DocSecurity>
  <Lines>391</Lines>
  <Paragraphs>134</Paragraphs>
  <ScaleCrop>false</ScaleCrop>
  <Company/>
  <LinksUpToDate>false</LinksUpToDate>
  <CharactersWithSpaces>29794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dc:creator>
  <cp:keywords/>
  <dc:description/>
  <cp:lastModifiedBy>Laura H</cp:lastModifiedBy>
  <cp:revision>3</cp:revision>
  <dcterms:created xsi:type="dcterms:W3CDTF">2026-01-31T15:14:00Z</dcterms:created>
  <dcterms:modified xsi:type="dcterms:W3CDTF">2026-01-31T15:18:00Z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