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90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660"/>
      </w:tblGrid>
      <w:tr w:rsidR="001B2EF0" w14:paraId="745E00FC" w14:textId="77777777" w:rsidTr="002E619D">
        <w:trPr>
          <w:jc w:val="center"/>
        </w:trPr>
        <w:tc>
          <w:tcPr>
            <w:tcW w:w="3402" w:type="dxa"/>
          </w:tcPr>
          <w:p w14:paraId="7EA0C986" w14:textId="1684599F" w:rsidR="001B2EF0" w:rsidRDefault="002E619D" w:rsidP="00192CEA">
            <w:pPr>
              <w:jc w:val="both"/>
            </w:pPr>
            <w:r>
              <w:rPr>
                <w:noProof/>
                <w:lang w:eastAsia="fr-FR"/>
              </w:rPr>
              <w:drawing>
                <wp:anchor distT="0" distB="0" distL="114300" distR="114300" simplePos="0" relativeHeight="251658240" behindDoc="1" locked="0" layoutInCell="1" allowOverlap="1" wp14:anchorId="4C47CE95" wp14:editId="7C1F1E9E">
                  <wp:simplePos x="0" y="0"/>
                  <wp:positionH relativeFrom="column">
                    <wp:posOffset>262255</wp:posOffset>
                  </wp:positionH>
                  <wp:positionV relativeFrom="paragraph">
                    <wp:posOffset>-185420</wp:posOffset>
                  </wp:positionV>
                  <wp:extent cx="1257300" cy="1245870"/>
                  <wp:effectExtent l="0" t="0" r="0" b="0"/>
                  <wp:wrapNone/>
                  <wp:docPr id="15376430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1245870"/>
                          </a:xfrm>
                          <a:prstGeom prst="rect">
                            <a:avLst/>
                          </a:prstGeom>
                          <a:noFill/>
                        </pic:spPr>
                      </pic:pic>
                    </a:graphicData>
                  </a:graphic>
                </wp:anchor>
              </w:drawing>
            </w:r>
          </w:p>
        </w:tc>
        <w:tc>
          <w:tcPr>
            <w:tcW w:w="5660" w:type="dxa"/>
          </w:tcPr>
          <w:p w14:paraId="00FDBDB7" w14:textId="77777777" w:rsidR="001B2EF0" w:rsidRPr="00BA55E1" w:rsidRDefault="001B2EF0" w:rsidP="00192CEA">
            <w:pPr>
              <w:jc w:val="both"/>
              <w:rPr>
                <w:sz w:val="16"/>
                <w:szCs w:val="16"/>
              </w:rPr>
            </w:pPr>
          </w:p>
          <w:p w14:paraId="2163B8EC" w14:textId="77777777" w:rsidR="001B2EF0" w:rsidRPr="00BA55E1" w:rsidRDefault="001B2EF0" w:rsidP="00192CEA">
            <w:pPr>
              <w:jc w:val="both"/>
              <w:rPr>
                <w:sz w:val="16"/>
                <w:szCs w:val="16"/>
              </w:rPr>
            </w:pPr>
          </w:p>
          <w:p w14:paraId="09BA0C5B" w14:textId="77777777" w:rsidR="001B2EF0" w:rsidRPr="00642716" w:rsidRDefault="001B2EF0" w:rsidP="00192CEA">
            <w:pPr>
              <w:jc w:val="both"/>
            </w:pPr>
          </w:p>
          <w:p w14:paraId="4178BD23" w14:textId="77777777" w:rsidR="001B2EF0" w:rsidRPr="00E259AD" w:rsidRDefault="001B2EF0" w:rsidP="00192CEA">
            <w:pPr>
              <w:jc w:val="both"/>
              <w:rPr>
                <w:rFonts w:ascii="Times New Roman" w:eastAsia="Times New Roman" w:hAnsi="Times New Roman" w:cs="Times New Roman"/>
                <w:bCs/>
                <w:sz w:val="40"/>
                <w:szCs w:val="40"/>
                <w:lang w:eastAsia="fr-FR"/>
              </w:rPr>
            </w:pPr>
            <w:r w:rsidRPr="00E259AD">
              <w:rPr>
                <w:rFonts w:ascii="Times New Roman" w:eastAsia="Times New Roman" w:hAnsi="Times New Roman" w:cs="Times New Roman" w:hint="cs"/>
                <w:bCs/>
                <w:sz w:val="40"/>
                <w:szCs w:val="40"/>
                <w:rtl/>
                <w:lang w:eastAsia="fr-FR"/>
              </w:rPr>
              <w:t xml:space="preserve">مبادرة </w:t>
            </w:r>
            <w:proofErr w:type="spellStart"/>
            <w:r w:rsidRPr="00E259AD">
              <w:rPr>
                <w:rFonts w:ascii="Times New Roman" w:eastAsia="Times New Roman" w:hAnsi="Times New Roman" w:cs="Times New Roman" w:hint="cs"/>
                <w:bCs/>
                <w:sz w:val="40"/>
                <w:szCs w:val="40"/>
                <w:rtl/>
                <w:lang w:eastAsia="fr-FR"/>
              </w:rPr>
              <w:t>إنبعـــاث</w:t>
            </w:r>
            <w:proofErr w:type="spellEnd"/>
            <w:r w:rsidRPr="00E259AD">
              <w:rPr>
                <w:rFonts w:ascii="Times New Roman" w:eastAsia="Times New Roman" w:hAnsi="Times New Roman" w:cs="Times New Roman" w:hint="cs"/>
                <w:bCs/>
                <w:sz w:val="40"/>
                <w:szCs w:val="40"/>
                <w:rtl/>
                <w:lang w:eastAsia="fr-FR"/>
              </w:rPr>
              <w:t xml:space="preserve"> الحــــركة </w:t>
            </w:r>
            <w:proofErr w:type="spellStart"/>
            <w:r w:rsidRPr="00E259AD">
              <w:rPr>
                <w:rFonts w:ascii="Times New Roman" w:eastAsia="Times New Roman" w:hAnsi="Times New Roman" w:cs="Times New Roman" w:hint="cs"/>
                <w:bCs/>
                <w:sz w:val="40"/>
                <w:szCs w:val="40"/>
                <w:rtl/>
                <w:lang w:eastAsia="fr-FR"/>
              </w:rPr>
              <w:t>الانعتـــــــاقية</w:t>
            </w:r>
            <w:proofErr w:type="spellEnd"/>
          </w:p>
          <w:p w14:paraId="2E8A66EF" w14:textId="77464676" w:rsidR="001B2EF0" w:rsidRPr="00E259AD" w:rsidRDefault="001B2EF0" w:rsidP="00E259AD">
            <w:pPr>
              <w:jc w:val="both"/>
              <w:rPr>
                <w:rFonts w:ascii="Times New Roman" w:eastAsia="Times New Roman" w:hAnsi="Times New Roman" w:cs="Times New Roman"/>
                <w:b/>
                <w:sz w:val="22"/>
                <w:szCs w:val="22"/>
                <w:lang w:eastAsia="fr-FR"/>
              </w:rPr>
            </w:pPr>
            <w:bookmarkStart w:id="0" w:name="_Hlk216776634"/>
            <w:r w:rsidRPr="00E259AD">
              <w:rPr>
                <w:rFonts w:ascii="Times New Roman" w:eastAsia="Times New Roman" w:hAnsi="Times New Roman" w:cs="Times New Roman"/>
                <w:b/>
                <w:sz w:val="22"/>
                <w:szCs w:val="22"/>
                <w:lang w:eastAsia="fr-FR"/>
              </w:rPr>
              <w:t>INITIATIVE DE RESURGENCE DU MOUVEMENT ABOLITIONNISTE</w:t>
            </w:r>
            <w:bookmarkEnd w:id="0"/>
            <w:r w:rsidR="00E259AD" w:rsidRPr="00E259AD">
              <w:rPr>
                <w:rFonts w:ascii="Times New Roman" w:eastAsia="Times New Roman" w:hAnsi="Times New Roman" w:cs="Times New Roman"/>
                <w:b/>
                <w:sz w:val="22"/>
                <w:szCs w:val="22"/>
                <w:lang w:eastAsia="fr-FR"/>
              </w:rPr>
              <w:t xml:space="preserve">                </w:t>
            </w:r>
            <w:proofErr w:type="gramStart"/>
            <w:r w:rsidR="00E259AD" w:rsidRPr="00E259AD">
              <w:rPr>
                <w:rFonts w:ascii="Times New Roman" w:eastAsia="Times New Roman" w:hAnsi="Times New Roman" w:cs="Times New Roman"/>
                <w:b/>
                <w:sz w:val="22"/>
                <w:szCs w:val="22"/>
                <w:lang w:eastAsia="fr-FR"/>
              </w:rPr>
              <w:t xml:space="preserve">   (</w:t>
            </w:r>
            <w:proofErr w:type="gramEnd"/>
            <w:r w:rsidRPr="00E259AD">
              <w:rPr>
                <w:rFonts w:ascii="Times New Roman" w:eastAsia="Times New Roman" w:hAnsi="Times New Roman" w:cs="Times New Roman"/>
                <w:b/>
                <w:sz w:val="22"/>
                <w:szCs w:val="22"/>
                <w:lang w:eastAsia="fr-FR"/>
              </w:rPr>
              <w:t>IRA</w:t>
            </w:r>
            <w:r w:rsidR="00E259AD" w:rsidRPr="00E259AD">
              <w:rPr>
                <w:rFonts w:ascii="Times New Roman" w:eastAsia="Times New Roman" w:hAnsi="Times New Roman" w:cs="Times New Roman"/>
                <w:b/>
                <w:sz w:val="22"/>
                <w:szCs w:val="22"/>
                <w:lang w:eastAsia="fr-FR"/>
              </w:rPr>
              <w:t>)</w:t>
            </w:r>
          </w:p>
          <w:p w14:paraId="0E9BA509" w14:textId="77777777" w:rsidR="001B2EF0" w:rsidRPr="00E259AD" w:rsidRDefault="001B2EF0" w:rsidP="00192CEA">
            <w:pPr>
              <w:jc w:val="both"/>
              <w:rPr>
                <w:rFonts w:ascii="Times New Roman" w:eastAsia="Times New Roman" w:hAnsi="Times New Roman" w:cs="Times New Roman"/>
                <w:b/>
                <w:bCs/>
                <w:sz w:val="22"/>
                <w:szCs w:val="22"/>
                <w:lang w:eastAsia="fr-FR"/>
              </w:rPr>
            </w:pPr>
            <w:r w:rsidRPr="00E259AD">
              <w:rPr>
                <w:rFonts w:ascii="Times New Roman" w:eastAsia="Times New Roman" w:hAnsi="Times New Roman" w:cs="Times New Roman"/>
                <w:b/>
                <w:bCs/>
                <w:sz w:val="22"/>
                <w:szCs w:val="22"/>
                <w:lang w:eastAsia="fr-FR"/>
              </w:rPr>
              <w:t>RÉCÉPISSÉ N° FA 010000102912202100001</w:t>
            </w:r>
          </w:p>
          <w:p w14:paraId="4B8CC24A" w14:textId="77777777" w:rsidR="001B2EF0" w:rsidRDefault="001B2EF0" w:rsidP="00192CEA">
            <w:pPr>
              <w:jc w:val="both"/>
            </w:pPr>
          </w:p>
        </w:tc>
      </w:tr>
    </w:tbl>
    <w:p w14:paraId="58FEEDF7" w14:textId="7BB11075" w:rsidR="00642716" w:rsidRDefault="00642716" w:rsidP="00642716">
      <w:pPr>
        <w:rPr>
          <w:rFonts w:ascii="Calibri" w:eastAsia="Calibri" w:hAnsi="Calibri" w:cs="Arial"/>
          <w:noProof/>
          <w:lang w:eastAsia="fr-FR"/>
        </w:rPr>
      </w:pPr>
      <w:r>
        <w:rPr>
          <w:rFonts w:ascii="Calibri" w:eastAsia="Calibri" w:hAnsi="Calibri" w:cs="Arial"/>
          <w:noProof/>
          <w:lang w:eastAsia="fr-FR"/>
        </w:rPr>
        <w:t xml:space="preserve">                                                                                                                     </w:t>
      </w:r>
    </w:p>
    <w:p w14:paraId="1E4DAB7F" w14:textId="638E3E91" w:rsidR="00DD46E0" w:rsidRPr="00DD46E0" w:rsidRDefault="00DD46E0" w:rsidP="00DD46E0">
      <w:pPr>
        <w:spacing w:before="100" w:beforeAutospacing="1" w:after="100" w:afterAutospacing="1" w:line="240" w:lineRule="auto"/>
        <w:jc w:val="center"/>
        <w:outlineLvl w:val="0"/>
        <w:rPr>
          <w:rFonts w:asciiTheme="majorHAnsi" w:eastAsia="Times New Roman" w:hAnsiTheme="majorHAnsi" w:cs="Times New Roman"/>
          <w:b/>
          <w:bCs/>
          <w:kern w:val="36"/>
          <w:sz w:val="40"/>
          <w:szCs w:val="40"/>
          <w:lang w:eastAsia="fr-FR"/>
          <w14:ligatures w14:val="none"/>
        </w:rPr>
      </w:pPr>
      <w:r w:rsidRPr="00DD46E0">
        <w:rPr>
          <w:rFonts w:asciiTheme="majorHAnsi" w:eastAsia="Times New Roman" w:hAnsiTheme="majorHAnsi" w:cs="Times New Roman"/>
          <w:b/>
          <w:bCs/>
          <w:kern w:val="36"/>
          <w:sz w:val="40"/>
          <w:szCs w:val="40"/>
          <w:lang w:eastAsia="fr-FR"/>
          <w14:ligatures w14:val="none"/>
        </w:rPr>
        <w:t>RAPPORT</w:t>
      </w:r>
    </w:p>
    <w:p w14:paraId="7F290413" w14:textId="77777777" w:rsidR="00DD46E0" w:rsidRPr="00DD46E0" w:rsidRDefault="00DD46E0" w:rsidP="00DD46E0">
      <w:pPr>
        <w:spacing w:before="100" w:beforeAutospacing="1" w:after="100" w:afterAutospacing="1" w:line="240" w:lineRule="auto"/>
        <w:jc w:val="center"/>
        <w:outlineLvl w:val="0"/>
        <w:rPr>
          <w:rFonts w:asciiTheme="majorHAnsi" w:eastAsia="Times New Roman" w:hAnsiTheme="majorHAnsi" w:cs="Times New Roman"/>
          <w:b/>
          <w:bCs/>
          <w:kern w:val="36"/>
          <w:sz w:val="48"/>
          <w:szCs w:val="48"/>
          <w:lang w:eastAsia="fr-FR"/>
          <w14:ligatures w14:val="none"/>
        </w:rPr>
      </w:pPr>
      <w:r w:rsidRPr="00DD46E0">
        <w:rPr>
          <w:rFonts w:asciiTheme="majorHAnsi" w:eastAsia="Times New Roman" w:hAnsiTheme="majorHAnsi" w:cs="Times New Roman"/>
          <w:b/>
          <w:bCs/>
          <w:kern w:val="0"/>
          <w:sz w:val="36"/>
          <w:szCs w:val="36"/>
          <w:lang w:eastAsia="fr-FR"/>
          <w14:ligatures w14:val="none"/>
        </w:rPr>
        <w:t>De</w:t>
      </w:r>
      <w:r w:rsidRPr="00DD46E0">
        <w:rPr>
          <w:rFonts w:asciiTheme="majorHAnsi" w:eastAsia="Times New Roman" w:hAnsiTheme="majorHAnsi" w:cs="Times New Roman"/>
          <w:b/>
          <w:bCs/>
          <w:kern w:val="0"/>
          <w:sz w:val="36"/>
          <w:szCs w:val="36"/>
          <w:lang w:eastAsia="fr-FR"/>
          <w14:ligatures w14:val="none"/>
        </w:rPr>
        <w:t xml:space="preserve"> l’Initiative de Résurgence du mouvement Abolitionniste (IRA)</w:t>
      </w:r>
    </w:p>
    <w:p w14:paraId="70048814" w14:textId="591B1608" w:rsidR="00DD46E0" w:rsidRPr="00DD46E0" w:rsidRDefault="00DD46E0" w:rsidP="00DD46E0">
      <w:pPr>
        <w:spacing w:before="100" w:beforeAutospacing="1" w:after="100" w:afterAutospacing="1" w:line="240" w:lineRule="auto"/>
        <w:jc w:val="center"/>
        <w:outlineLvl w:val="0"/>
        <w:rPr>
          <w:rFonts w:asciiTheme="majorHAnsi" w:eastAsia="Times New Roman" w:hAnsiTheme="majorHAnsi" w:cs="Times New Roman"/>
          <w:b/>
          <w:bCs/>
          <w:kern w:val="36"/>
          <w:sz w:val="48"/>
          <w:szCs w:val="48"/>
          <w:lang w:eastAsia="fr-FR"/>
          <w14:ligatures w14:val="none"/>
        </w:rPr>
      </w:pPr>
      <w:r w:rsidRPr="00DD46E0">
        <w:rPr>
          <w:rFonts w:asciiTheme="majorHAnsi" w:eastAsia="Times New Roman" w:hAnsiTheme="majorHAnsi" w:cs="Times New Roman"/>
          <w:b/>
          <w:bCs/>
          <w:kern w:val="0"/>
          <w:sz w:val="27"/>
          <w:szCs w:val="27"/>
          <w:lang w:eastAsia="fr-FR"/>
          <w14:ligatures w14:val="none"/>
        </w:rPr>
        <w:t>Sur les mécanismes existants et les lacunes en matière d’enquêtes, de poursuites et d’entraide judiciaire dans les cas de disparitions forcées à dimension transnationale</w:t>
      </w:r>
    </w:p>
    <w:p w14:paraId="78E56524" w14:textId="77777777" w:rsidR="00DD46E0" w:rsidRPr="00DD46E0" w:rsidRDefault="00DD46E0" w:rsidP="00DD46E0">
      <w:pPr>
        <w:spacing w:before="100" w:beforeAutospacing="1" w:after="100" w:afterAutospacing="1" w:line="240" w:lineRule="auto"/>
        <w:jc w:val="both"/>
        <w:outlineLvl w:val="2"/>
        <w:rPr>
          <w:rFonts w:asciiTheme="majorHAnsi" w:eastAsia="Times New Roman" w:hAnsiTheme="majorHAnsi" w:cs="Times New Roman"/>
          <w:b/>
          <w:bCs/>
          <w:kern w:val="0"/>
          <w:sz w:val="27"/>
          <w:szCs w:val="27"/>
          <w:lang w:eastAsia="fr-FR"/>
          <w14:ligatures w14:val="none"/>
        </w:rPr>
      </w:pPr>
      <w:r w:rsidRPr="00DD46E0">
        <w:rPr>
          <w:rFonts w:asciiTheme="majorHAnsi" w:eastAsia="Times New Roman" w:hAnsiTheme="majorHAnsi" w:cs="Times New Roman"/>
          <w:b/>
          <w:bCs/>
          <w:kern w:val="0"/>
          <w:sz w:val="27"/>
          <w:szCs w:val="27"/>
          <w:lang w:eastAsia="fr-FR"/>
          <w14:ligatures w14:val="none"/>
        </w:rPr>
        <w:t>Cas de la Mauritanie</w:t>
      </w:r>
    </w:p>
    <w:p w14:paraId="4F578F8E" w14:textId="6A7B503B" w:rsidR="00DD46E0" w:rsidRPr="00DD46E0" w:rsidRDefault="00DD46E0" w:rsidP="00DD46E0">
      <w:pPr>
        <w:spacing w:after="0"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pict w14:anchorId="24E25C39">
          <v:rect id="_x0000_i1025" style="width:0;height:1.5pt" o:hralign="center" o:hrstd="t" o:hr="t" fillcolor="#a0a0a0" stroked="f"/>
        </w:pict>
      </w:r>
      <w:r w:rsidRPr="00DD46E0">
        <w:rPr>
          <w:rFonts w:asciiTheme="majorHAnsi" w:eastAsia="Times New Roman" w:hAnsiTheme="majorHAnsi" w:cs="Times New Roman"/>
          <w:b/>
          <w:bCs/>
          <w:kern w:val="0"/>
          <w:sz w:val="36"/>
          <w:szCs w:val="36"/>
          <w:lang w:eastAsia="fr-FR"/>
          <w14:ligatures w14:val="none"/>
        </w:rPr>
        <w:t xml:space="preserve">I. Présentation de l’organisation </w:t>
      </w:r>
      <w:proofErr w:type="spellStart"/>
      <w:r w:rsidRPr="00DD46E0">
        <w:rPr>
          <w:rFonts w:asciiTheme="majorHAnsi" w:eastAsia="Times New Roman" w:hAnsiTheme="majorHAnsi" w:cs="Times New Roman"/>
          <w:b/>
          <w:bCs/>
          <w:kern w:val="0"/>
          <w:sz w:val="36"/>
          <w:szCs w:val="36"/>
          <w:lang w:eastAsia="fr-FR"/>
          <w14:ligatures w14:val="none"/>
        </w:rPr>
        <w:t>soumettrice</w:t>
      </w:r>
      <w:proofErr w:type="spellEnd"/>
    </w:p>
    <w:p w14:paraId="6D2B2A87"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L’Initiative de Résurgence du mouvement Abolitionniste (IRA) est une organisation non gouvernementale mauritanienne engagée dans la lutte contre l’esclavage, les pratiques assimilées et toutes les formes de discrimination structurelle qui en découlent. L’IRA œuvre à la documentation des violations des droits humains, à l’assistance aux victimes et au plaidoyer national et international pour la mise en œuvre effective des engagements internationaux de la Mauritanie.</w:t>
      </w:r>
    </w:p>
    <w:p w14:paraId="2C0B651F"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Dans le cadre de ses activités, l’IRA a été confrontée à de multiples cas d’arrestations arbitraires, de détentions non reconnues, de transferts forcés et d’entraves à l’accès à la justice visant ses membres, ses militants et des victimes d’esclavage, soulevant de graves préoccupations.</w:t>
      </w:r>
    </w:p>
    <w:p w14:paraId="4C331547" w14:textId="77777777" w:rsidR="00DD46E0" w:rsidRPr="00DD46E0" w:rsidRDefault="00DD46E0" w:rsidP="00DD46E0">
      <w:pPr>
        <w:spacing w:after="0"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pict w14:anchorId="1AF8D02D">
          <v:rect id="_x0000_i1026" style="width:0;height:1.5pt" o:hralign="center" o:hrstd="t" o:hr="t" fillcolor="#a0a0a0" stroked="f"/>
        </w:pict>
      </w:r>
      <w:r w:rsidRPr="00DD46E0">
        <w:rPr>
          <w:rFonts w:asciiTheme="majorHAnsi" w:eastAsia="Times New Roman" w:hAnsiTheme="majorHAnsi" w:cs="Times New Roman"/>
          <w:b/>
          <w:bCs/>
          <w:kern w:val="0"/>
          <w:sz w:val="36"/>
          <w:szCs w:val="36"/>
          <w:lang w:eastAsia="fr-FR"/>
          <w14:ligatures w14:val="none"/>
        </w:rPr>
        <w:t>II. Objet et portée du rapport</w:t>
      </w:r>
    </w:p>
    <w:p w14:paraId="5EC4156A"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Le présent rapport vise à analyser :</w:t>
      </w:r>
    </w:p>
    <w:p w14:paraId="23766E6F" w14:textId="77777777" w:rsidR="00DD46E0" w:rsidRPr="00DD46E0" w:rsidRDefault="00DD46E0" w:rsidP="00DD46E0">
      <w:pPr>
        <w:numPr>
          <w:ilvl w:val="0"/>
          <w:numId w:val="17"/>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proofErr w:type="gramStart"/>
      <w:r w:rsidRPr="00DD46E0">
        <w:rPr>
          <w:rFonts w:asciiTheme="majorHAnsi" w:eastAsia="Times New Roman" w:hAnsiTheme="majorHAnsi" w:cs="Times New Roman"/>
          <w:kern w:val="0"/>
          <w:lang w:eastAsia="fr-FR"/>
          <w14:ligatures w14:val="none"/>
        </w:rPr>
        <w:t>les</w:t>
      </w:r>
      <w:proofErr w:type="gramEnd"/>
      <w:r w:rsidRPr="00DD46E0">
        <w:rPr>
          <w:rFonts w:asciiTheme="majorHAnsi" w:eastAsia="Times New Roman" w:hAnsiTheme="majorHAnsi" w:cs="Times New Roman"/>
          <w:kern w:val="0"/>
          <w:lang w:eastAsia="fr-FR"/>
          <w14:ligatures w14:val="none"/>
        </w:rPr>
        <w:t xml:space="preserve"> </w:t>
      </w:r>
      <w:r w:rsidRPr="00DD46E0">
        <w:rPr>
          <w:rFonts w:asciiTheme="majorHAnsi" w:eastAsia="Times New Roman" w:hAnsiTheme="majorHAnsi" w:cs="Times New Roman"/>
          <w:b/>
          <w:bCs/>
          <w:kern w:val="0"/>
          <w:lang w:eastAsia="fr-FR"/>
          <w14:ligatures w14:val="none"/>
        </w:rPr>
        <w:t>mécanismes juridiques existants</w:t>
      </w:r>
      <w:r w:rsidRPr="00DD46E0">
        <w:rPr>
          <w:rFonts w:asciiTheme="majorHAnsi" w:eastAsia="Times New Roman" w:hAnsiTheme="majorHAnsi" w:cs="Times New Roman"/>
          <w:kern w:val="0"/>
          <w:lang w:eastAsia="fr-FR"/>
          <w14:ligatures w14:val="none"/>
        </w:rPr>
        <w:t xml:space="preserve"> destinés à garantir les enquêtes, les poursuites et l’entraide judiciaire en cas de disparitions forcées, notamment lorsque celles-ci présentent une </w:t>
      </w:r>
      <w:r w:rsidRPr="00DD46E0">
        <w:rPr>
          <w:rFonts w:asciiTheme="majorHAnsi" w:eastAsia="Times New Roman" w:hAnsiTheme="majorHAnsi" w:cs="Times New Roman"/>
          <w:b/>
          <w:bCs/>
          <w:kern w:val="0"/>
          <w:lang w:eastAsia="fr-FR"/>
          <w14:ligatures w14:val="none"/>
        </w:rPr>
        <w:t>dimension transnationale</w:t>
      </w:r>
      <w:r w:rsidRPr="00DD46E0">
        <w:rPr>
          <w:rFonts w:asciiTheme="majorHAnsi" w:eastAsia="Times New Roman" w:hAnsiTheme="majorHAnsi" w:cs="Times New Roman"/>
          <w:kern w:val="0"/>
          <w:lang w:eastAsia="fr-FR"/>
          <w14:ligatures w14:val="none"/>
        </w:rPr>
        <w:t xml:space="preserve"> ;</w:t>
      </w:r>
    </w:p>
    <w:p w14:paraId="11775385" w14:textId="77777777" w:rsidR="00DD46E0" w:rsidRPr="00DD46E0" w:rsidRDefault="00DD46E0" w:rsidP="00DD46E0">
      <w:pPr>
        <w:numPr>
          <w:ilvl w:val="0"/>
          <w:numId w:val="17"/>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proofErr w:type="gramStart"/>
      <w:r w:rsidRPr="00DD46E0">
        <w:rPr>
          <w:rFonts w:asciiTheme="majorHAnsi" w:eastAsia="Times New Roman" w:hAnsiTheme="majorHAnsi" w:cs="Times New Roman"/>
          <w:kern w:val="0"/>
          <w:lang w:eastAsia="fr-FR"/>
          <w14:ligatures w14:val="none"/>
        </w:rPr>
        <w:t>les</w:t>
      </w:r>
      <w:proofErr w:type="gramEnd"/>
      <w:r w:rsidRPr="00DD46E0">
        <w:rPr>
          <w:rFonts w:asciiTheme="majorHAnsi" w:eastAsia="Times New Roman" w:hAnsiTheme="majorHAnsi" w:cs="Times New Roman"/>
          <w:kern w:val="0"/>
          <w:lang w:eastAsia="fr-FR"/>
          <w14:ligatures w14:val="none"/>
        </w:rPr>
        <w:t xml:space="preserve"> </w:t>
      </w:r>
      <w:r w:rsidRPr="00DD46E0">
        <w:rPr>
          <w:rFonts w:asciiTheme="majorHAnsi" w:eastAsia="Times New Roman" w:hAnsiTheme="majorHAnsi" w:cs="Times New Roman"/>
          <w:b/>
          <w:bCs/>
          <w:kern w:val="0"/>
          <w:lang w:eastAsia="fr-FR"/>
          <w14:ligatures w14:val="none"/>
        </w:rPr>
        <w:t>lacunes structurelles et pratiques</w:t>
      </w:r>
      <w:r w:rsidRPr="00DD46E0">
        <w:rPr>
          <w:rFonts w:asciiTheme="majorHAnsi" w:eastAsia="Times New Roman" w:hAnsiTheme="majorHAnsi" w:cs="Times New Roman"/>
          <w:kern w:val="0"/>
          <w:lang w:eastAsia="fr-FR"/>
          <w14:ligatures w14:val="none"/>
        </w:rPr>
        <w:t xml:space="preserve"> observées dans leur mise en œuvre en Mauritanie ;</w:t>
      </w:r>
    </w:p>
    <w:p w14:paraId="29CBDBD3" w14:textId="77777777" w:rsidR="00DD46E0" w:rsidRPr="00DD46E0" w:rsidRDefault="00DD46E0" w:rsidP="00DD46E0">
      <w:pPr>
        <w:numPr>
          <w:ilvl w:val="0"/>
          <w:numId w:val="17"/>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proofErr w:type="gramStart"/>
      <w:r w:rsidRPr="00DD46E0">
        <w:rPr>
          <w:rFonts w:asciiTheme="majorHAnsi" w:eastAsia="Times New Roman" w:hAnsiTheme="majorHAnsi" w:cs="Times New Roman"/>
          <w:kern w:val="0"/>
          <w:lang w:eastAsia="fr-FR"/>
          <w14:ligatures w14:val="none"/>
        </w:rPr>
        <w:t>l’impact</w:t>
      </w:r>
      <w:proofErr w:type="gramEnd"/>
      <w:r w:rsidRPr="00DD46E0">
        <w:rPr>
          <w:rFonts w:asciiTheme="majorHAnsi" w:eastAsia="Times New Roman" w:hAnsiTheme="majorHAnsi" w:cs="Times New Roman"/>
          <w:kern w:val="0"/>
          <w:lang w:eastAsia="fr-FR"/>
          <w14:ligatures w14:val="none"/>
        </w:rPr>
        <w:t xml:space="preserve"> spécifique de ces défaillances sur les </w:t>
      </w:r>
      <w:r w:rsidRPr="00DD46E0">
        <w:rPr>
          <w:rFonts w:asciiTheme="majorHAnsi" w:eastAsia="Times New Roman" w:hAnsiTheme="majorHAnsi" w:cs="Times New Roman"/>
          <w:b/>
          <w:bCs/>
          <w:kern w:val="0"/>
          <w:lang w:eastAsia="fr-FR"/>
          <w14:ligatures w14:val="none"/>
        </w:rPr>
        <w:t>victimes de l’esclavage</w:t>
      </w:r>
      <w:r w:rsidRPr="00DD46E0">
        <w:rPr>
          <w:rFonts w:asciiTheme="majorHAnsi" w:eastAsia="Times New Roman" w:hAnsiTheme="majorHAnsi" w:cs="Times New Roman"/>
          <w:kern w:val="0"/>
          <w:lang w:eastAsia="fr-FR"/>
          <w14:ligatures w14:val="none"/>
        </w:rPr>
        <w:t xml:space="preserve">, les groupes historiquement marginalisés et les </w:t>
      </w:r>
      <w:r w:rsidRPr="00DD46E0">
        <w:rPr>
          <w:rFonts w:asciiTheme="majorHAnsi" w:eastAsia="Times New Roman" w:hAnsiTheme="majorHAnsi" w:cs="Times New Roman"/>
          <w:b/>
          <w:bCs/>
          <w:kern w:val="0"/>
          <w:lang w:eastAsia="fr-FR"/>
          <w14:ligatures w14:val="none"/>
        </w:rPr>
        <w:t>défenseurs des droits humains</w:t>
      </w:r>
      <w:r w:rsidRPr="00DD46E0">
        <w:rPr>
          <w:rFonts w:asciiTheme="majorHAnsi" w:eastAsia="Times New Roman" w:hAnsiTheme="majorHAnsi" w:cs="Times New Roman"/>
          <w:kern w:val="0"/>
          <w:lang w:eastAsia="fr-FR"/>
          <w14:ligatures w14:val="none"/>
        </w:rPr>
        <w:t>, en particulier les membres de l’IRA.</w:t>
      </w:r>
    </w:p>
    <w:p w14:paraId="0CBD0493"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Ce rapport se fonde sur la documentation de l’IRA, des témoignages de victimes et militants, ainsi que sur l’analyse du cadre juridique national et international applicable.</w:t>
      </w:r>
    </w:p>
    <w:p w14:paraId="4A65237D" w14:textId="77777777" w:rsidR="00DD46E0" w:rsidRPr="00DD46E0" w:rsidRDefault="00DD46E0" w:rsidP="00DD46E0">
      <w:pPr>
        <w:spacing w:after="0" w:line="240" w:lineRule="auto"/>
        <w:jc w:val="both"/>
        <w:rPr>
          <w:rFonts w:asciiTheme="majorHAnsi" w:eastAsia="Times New Roman" w:hAnsiTheme="majorHAnsi" w:cs="Times New Roman"/>
          <w:kern w:val="0"/>
          <w:lang w:eastAsia="fr-FR"/>
          <w14:ligatures w14:val="none"/>
        </w:rPr>
      </w:pPr>
    </w:p>
    <w:p w14:paraId="250F5312" w14:textId="77777777" w:rsidR="00DD46E0" w:rsidRPr="00DD46E0" w:rsidRDefault="00DD46E0" w:rsidP="00DD46E0">
      <w:pPr>
        <w:spacing w:after="0"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b/>
          <w:bCs/>
          <w:kern w:val="0"/>
          <w:sz w:val="36"/>
          <w:szCs w:val="36"/>
          <w:lang w:eastAsia="fr-FR"/>
          <w14:ligatures w14:val="none"/>
        </w:rPr>
        <w:lastRenderedPageBreak/>
        <w:t>III. Cadre juridique international applicable</w:t>
      </w:r>
    </w:p>
    <w:p w14:paraId="57F29927" w14:textId="77777777" w:rsidR="00DD46E0" w:rsidRPr="00DD46E0" w:rsidRDefault="00DD46E0" w:rsidP="00DD46E0">
      <w:pPr>
        <w:spacing w:before="100" w:beforeAutospacing="1" w:after="100" w:afterAutospacing="1" w:line="240" w:lineRule="auto"/>
        <w:jc w:val="both"/>
        <w:outlineLvl w:val="2"/>
        <w:rPr>
          <w:rFonts w:asciiTheme="majorHAnsi" w:eastAsia="Times New Roman" w:hAnsiTheme="majorHAnsi" w:cs="Times New Roman"/>
          <w:b/>
          <w:bCs/>
          <w:kern w:val="0"/>
          <w:sz w:val="27"/>
          <w:szCs w:val="27"/>
          <w:lang w:eastAsia="fr-FR"/>
          <w14:ligatures w14:val="none"/>
        </w:rPr>
      </w:pPr>
      <w:r w:rsidRPr="00DD46E0">
        <w:rPr>
          <w:rFonts w:asciiTheme="majorHAnsi" w:eastAsia="Times New Roman" w:hAnsiTheme="majorHAnsi" w:cs="Times New Roman"/>
          <w:b/>
          <w:bCs/>
          <w:kern w:val="0"/>
          <w:sz w:val="27"/>
          <w:szCs w:val="27"/>
          <w:lang w:eastAsia="fr-FR"/>
          <w14:ligatures w14:val="none"/>
        </w:rPr>
        <w:t>1. La Convention internationale pour la protection de toutes les personnes contre les disparitions forcées</w:t>
      </w:r>
    </w:p>
    <w:p w14:paraId="10EA4F2D"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La Mauritanie est État partie à la Convention internationale pour la protection de toutes les personnes contre les disparitions forcées. À ce titre, elle est tenue de :</w:t>
      </w:r>
    </w:p>
    <w:p w14:paraId="07EC3B4E" w14:textId="77777777" w:rsidR="00DD46E0" w:rsidRPr="00DD46E0" w:rsidRDefault="00DD46E0" w:rsidP="00DD46E0">
      <w:pPr>
        <w:numPr>
          <w:ilvl w:val="0"/>
          <w:numId w:val="18"/>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Incriminer la disparition forcée en tant qu’infraction autonome ;</w:t>
      </w:r>
    </w:p>
    <w:p w14:paraId="0CABDD88" w14:textId="77777777" w:rsidR="00DD46E0" w:rsidRPr="00DD46E0" w:rsidRDefault="00DD46E0" w:rsidP="00DD46E0">
      <w:pPr>
        <w:numPr>
          <w:ilvl w:val="0"/>
          <w:numId w:val="18"/>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 xml:space="preserve">Garantir que toute allégation de disparition forcée donne lieu à une </w:t>
      </w:r>
      <w:r w:rsidRPr="00DD46E0">
        <w:rPr>
          <w:rFonts w:asciiTheme="majorHAnsi" w:eastAsia="Times New Roman" w:hAnsiTheme="majorHAnsi" w:cs="Times New Roman"/>
          <w:b/>
          <w:bCs/>
          <w:kern w:val="0"/>
          <w:lang w:eastAsia="fr-FR"/>
          <w14:ligatures w14:val="none"/>
        </w:rPr>
        <w:t>enquête rapide, approfondie et indépendante</w:t>
      </w:r>
      <w:r w:rsidRPr="00DD46E0">
        <w:rPr>
          <w:rFonts w:asciiTheme="majorHAnsi" w:eastAsia="Times New Roman" w:hAnsiTheme="majorHAnsi" w:cs="Times New Roman"/>
          <w:kern w:val="0"/>
          <w:lang w:eastAsia="fr-FR"/>
          <w14:ligatures w14:val="none"/>
        </w:rPr>
        <w:t>, même en l’absence de plainte formelle ;</w:t>
      </w:r>
    </w:p>
    <w:p w14:paraId="385E54BE" w14:textId="77777777" w:rsidR="00DD46E0" w:rsidRPr="00DD46E0" w:rsidRDefault="00DD46E0" w:rsidP="00DD46E0">
      <w:pPr>
        <w:numPr>
          <w:ilvl w:val="0"/>
          <w:numId w:val="18"/>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Poursuivre ou extrader les auteurs présumés ;</w:t>
      </w:r>
    </w:p>
    <w:p w14:paraId="15E5C88E" w14:textId="77777777" w:rsidR="00DD46E0" w:rsidRPr="00DD46E0" w:rsidRDefault="00DD46E0" w:rsidP="00DD46E0">
      <w:pPr>
        <w:numPr>
          <w:ilvl w:val="0"/>
          <w:numId w:val="18"/>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 xml:space="preserve">Assurer une </w:t>
      </w:r>
      <w:r w:rsidRPr="00DD46E0">
        <w:rPr>
          <w:rFonts w:asciiTheme="majorHAnsi" w:eastAsia="Times New Roman" w:hAnsiTheme="majorHAnsi" w:cs="Times New Roman"/>
          <w:b/>
          <w:bCs/>
          <w:kern w:val="0"/>
          <w:lang w:eastAsia="fr-FR"/>
          <w14:ligatures w14:val="none"/>
        </w:rPr>
        <w:t>coopération judiciaire internationale effective</w:t>
      </w:r>
      <w:r w:rsidRPr="00DD46E0">
        <w:rPr>
          <w:rFonts w:asciiTheme="majorHAnsi" w:eastAsia="Times New Roman" w:hAnsiTheme="majorHAnsi" w:cs="Times New Roman"/>
          <w:kern w:val="0"/>
          <w:lang w:eastAsia="fr-FR"/>
          <w14:ligatures w14:val="none"/>
        </w:rPr>
        <w:t>, y compris l’entraide pénale et l’échange d’informations ;</w:t>
      </w:r>
    </w:p>
    <w:p w14:paraId="2B4BA6A9" w14:textId="77777777" w:rsidR="00DD46E0" w:rsidRPr="00DD46E0" w:rsidRDefault="00DD46E0" w:rsidP="00DD46E0">
      <w:pPr>
        <w:numPr>
          <w:ilvl w:val="0"/>
          <w:numId w:val="18"/>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Prévenir la détention au secret et garantir l’enregistrement de toute privation de liberté.</w:t>
      </w:r>
    </w:p>
    <w:p w14:paraId="10456848"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 xml:space="preserve">La disparition forcée constitue un </w:t>
      </w:r>
      <w:r w:rsidRPr="00DD46E0">
        <w:rPr>
          <w:rFonts w:asciiTheme="majorHAnsi" w:eastAsia="Times New Roman" w:hAnsiTheme="majorHAnsi" w:cs="Times New Roman"/>
          <w:b/>
          <w:bCs/>
          <w:kern w:val="0"/>
          <w:lang w:eastAsia="fr-FR"/>
          <w14:ligatures w14:val="none"/>
        </w:rPr>
        <w:t>crime continu</w:t>
      </w:r>
      <w:r w:rsidRPr="00DD46E0">
        <w:rPr>
          <w:rFonts w:asciiTheme="majorHAnsi" w:eastAsia="Times New Roman" w:hAnsiTheme="majorHAnsi" w:cs="Times New Roman"/>
          <w:kern w:val="0"/>
          <w:lang w:eastAsia="fr-FR"/>
          <w14:ligatures w14:val="none"/>
        </w:rPr>
        <w:t>, dont les effets persistent tant que le sort ou le lieu de la personne disparue n’est pas élucidé.</w:t>
      </w:r>
    </w:p>
    <w:p w14:paraId="51BE3F30" w14:textId="77777777" w:rsidR="00DD46E0" w:rsidRPr="00DD46E0" w:rsidRDefault="00DD46E0" w:rsidP="00DD46E0">
      <w:pPr>
        <w:spacing w:before="100" w:beforeAutospacing="1" w:after="100" w:afterAutospacing="1" w:line="240" w:lineRule="auto"/>
        <w:jc w:val="both"/>
        <w:outlineLvl w:val="2"/>
        <w:rPr>
          <w:rFonts w:asciiTheme="majorHAnsi" w:eastAsia="Times New Roman" w:hAnsiTheme="majorHAnsi" w:cs="Times New Roman"/>
          <w:b/>
          <w:bCs/>
          <w:kern w:val="0"/>
          <w:sz w:val="27"/>
          <w:szCs w:val="27"/>
          <w:lang w:eastAsia="fr-FR"/>
          <w14:ligatures w14:val="none"/>
        </w:rPr>
      </w:pPr>
      <w:r w:rsidRPr="00DD46E0">
        <w:rPr>
          <w:rFonts w:asciiTheme="majorHAnsi" w:eastAsia="Times New Roman" w:hAnsiTheme="majorHAnsi" w:cs="Times New Roman"/>
          <w:b/>
          <w:bCs/>
          <w:kern w:val="0"/>
          <w:sz w:val="27"/>
          <w:szCs w:val="27"/>
          <w:lang w:eastAsia="fr-FR"/>
          <w14:ligatures w14:val="none"/>
        </w:rPr>
        <w:t>2. Autres normes et mécanismes internationaux pertinents</w:t>
      </w:r>
    </w:p>
    <w:p w14:paraId="0A8AF4A6"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Outre la Convention, la Mauritanie est liée par :</w:t>
      </w:r>
    </w:p>
    <w:p w14:paraId="0FD8407A" w14:textId="77777777" w:rsidR="00DD46E0" w:rsidRPr="00DD46E0" w:rsidRDefault="00DD46E0" w:rsidP="00DD46E0">
      <w:pPr>
        <w:numPr>
          <w:ilvl w:val="0"/>
          <w:numId w:val="19"/>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Les obligations générales découlant du Pacte international relatif aux droits civils et politiques ;</w:t>
      </w:r>
    </w:p>
    <w:p w14:paraId="762E3653" w14:textId="77777777" w:rsidR="00DD46E0" w:rsidRPr="00DD46E0" w:rsidRDefault="00DD46E0" w:rsidP="00DD46E0">
      <w:pPr>
        <w:numPr>
          <w:ilvl w:val="0"/>
          <w:numId w:val="19"/>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Les normes relatives à la protection des défenseurs des droits humains ;</w:t>
      </w:r>
    </w:p>
    <w:p w14:paraId="65E6FC38" w14:textId="77777777" w:rsidR="00DD46E0" w:rsidRPr="00DD46E0" w:rsidRDefault="00DD46E0" w:rsidP="00DD46E0">
      <w:pPr>
        <w:numPr>
          <w:ilvl w:val="0"/>
          <w:numId w:val="19"/>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Les mécanismes de coopération pénale internationale existants aux niveaux régional et bilatéral.</w:t>
      </w:r>
    </w:p>
    <w:p w14:paraId="0D9CD6B5"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Ces instruments imposent à l’État l’obligation de garantir l’accès à la justice sans discrimination et d’empêcher toute instrumentalisation des procédures pénales à des fins de répression politique ou sociale.</w:t>
      </w:r>
    </w:p>
    <w:p w14:paraId="642A39BE"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b/>
          <w:bCs/>
          <w:kern w:val="0"/>
          <w:sz w:val="36"/>
          <w:szCs w:val="36"/>
          <w:lang w:eastAsia="fr-FR"/>
          <w14:ligatures w14:val="none"/>
        </w:rPr>
        <w:t>IV. Mécanismes existants d’enquête, de poursuite et d’entraide judiciaire</w:t>
      </w:r>
    </w:p>
    <w:p w14:paraId="08DE5CE6" w14:textId="062F6B0B"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b/>
          <w:bCs/>
          <w:kern w:val="0"/>
          <w:sz w:val="27"/>
          <w:szCs w:val="27"/>
          <w:lang w:eastAsia="fr-FR"/>
          <w14:ligatures w14:val="none"/>
        </w:rPr>
        <w:t>1. Enquêtes et poursuites au niveau national</w:t>
      </w:r>
    </w:p>
    <w:p w14:paraId="559EAB43"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En théorie, le cadre juridique mauritanien prévoit :</w:t>
      </w:r>
    </w:p>
    <w:p w14:paraId="431CFCA9" w14:textId="77777777" w:rsidR="00DD46E0" w:rsidRPr="00DD46E0" w:rsidRDefault="00DD46E0" w:rsidP="00DD46E0">
      <w:pPr>
        <w:numPr>
          <w:ilvl w:val="0"/>
          <w:numId w:val="20"/>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L’ouverture d’enquêtes pénales par le parquet ;</w:t>
      </w:r>
    </w:p>
    <w:p w14:paraId="4A15B8A2" w14:textId="77777777" w:rsidR="00DD46E0" w:rsidRPr="00DD46E0" w:rsidRDefault="00DD46E0" w:rsidP="00DD46E0">
      <w:pPr>
        <w:numPr>
          <w:ilvl w:val="0"/>
          <w:numId w:val="20"/>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Le contrôle judiciaire des détentions ;</w:t>
      </w:r>
    </w:p>
    <w:p w14:paraId="3E590581" w14:textId="77777777" w:rsidR="00DD46E0" w:rsidRPr="00DD46E0" w:rsidRDefault="00DD46E0" w:rsidP="00DD46E0">
      <w:pPr>
        <w:numPr>
          <w:ilvl w:val="0"/>
          <w:numId w:val="20"/>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La possibilité de poursuites contre les auteurs d’atteintes graves aux droits humains.</w:t>
      </w:r>
    </w:p>
    <w:p w14:paraId="7834F9DB"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 xml:space="preserve">En pratique, l’IRA constate que ces mécanismes restent largement inopérants lorsqu’il s’agit de </w:t>
      </w:r>
      <w:proofErr w:type="gramStart"/>
      <w:r w:rsidRPr="00DD46E0">
        <w:rPr>
          <w:rFonts w:asciiTheme="majorHAnsi" w:eastAsia="Times New Roman" w:hAnsiTheme="majorHAnsi" w:cs="Times New Roman"/>
          <w:kern w:val="0"/>
          <w:lang w:eastAsia="fr-FR"/>
          <w14:ligatures w14:val="none"/>
        </w:rPr>
        <w:t>violations impliquant</w:t>
      </w:r>
      <w:proofErr w:type="gramEnd"/>
      <w:r w:rsidRPr="00DD46E0">
        <w:rPr>
          <w:rFonts w:asciiTheme="majorHAnsi" w:eastAsia="Times New Roman" w:hAnsiTheme="majorHAnsi" w:cs="Times New Roman"/>
          <w:kern w:val="0"/>
          <w:lang w:eastAsia="fr-FR"/>
          <w14:ligatures w14:val="none"/>
        </w:rPr>
        <w:t xml:space="preserve"> :</w:t>
      </w:r>
    </w:p>
    <w:p w14:paraId="23623827" w14:textId="77777777" w:rsidR="00DD46E0" w:rsidRPr="00DD46E0" w:rsidRDefault="00DD46E0" w:rsidP="00DD46E0">
      <w:pPr>
        <w:numPr>
          <w:ilvl w:val="0"/>
          <w:numId w:val="21"/>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Des agents de l’État ou des forces de sécurité ;</w:t>
      </w:r>
    </w:p>
    <w:p w14:paraId="0A10F1BC" w14:textId="77777777" w:rsidR="00DD46E0" w:rsidRPr="00DD46E0" w:rsidRDefault="00DD46E0" w:rsidP="00DD46E0">
      <w:pPr>
        <w:numPr>
          <w:ilvl w:val="0"/>
          <w:numId w:val="21"/>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Des victimes issues de groupes anciennement réduits en esclavage ;</w:t>
      </w:r>
    </w:p>
    <w:p w14:paraId="648B4E6D" w14:textId="63E9EAC7" w:rsidR="00DD46E0" w:rsidRPr="00DD46E0" w:rsidRDefault="00DD46E0" w:rsidP="00DD46E0">
      <w:pPr>
        <w:numPr>
          <w:ilvl w:val="0"/>
          <w:numId w:val="21"/>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Des militants abolitionnistes ou défenseurs des droits humains.</w:t>
      </w:r>
    </w:p>
    <w:p w14:paraId="41F8DDDF" w14:textId="1F8FA3CA" w:rsidR="00DD46E0" w:rsidRPr="00DD46E0" w:rsidRDefault="00DD46E0" w:rsidP="00DD46E0">
      <w:pPr>
        <w:spacing w:before="100" w:beforeAutospacing="1" w:after="100" w:afterAutospacing="1" w:line="240" w:lineRule="auto"/>
        <w:ind w:left="720"/>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b/>
          <w:bCs/>
          <w:kern w:val="0"/>
          <w:sz w:val="27"/>
          <w:szCs w:val="27"/>
          <w:lang w:eastAsia="fr-FR"/>
          <w14:ligatures w14:val="none"/>
        </w:rPr>
        <w:t>2. Entraide judiciaire internationale</w:t>
      </w:r>
    </w:p>
    <w:p w14:paraId="03647BF2"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La Mauritanie est partie à plusieurs accords bilatéraux et régionaux d’entraide judiciaire et d’extradition. Ces mécanismes devraient permettre :</w:t>
      </w:r>
    </w:p>
    <w:p w14:paraId="40F3B4C7" w14:textId="77777777" w:rsidR="00DD46E0" w:rsidRPr="00DD46E0" w:rsidRDefault="00DD46E0" w:rsidP="00DD46E0">
      <w:pPr>
        <w:numPr>
          <w:ilvl w:val="0"/>
          <w:numId w:val="22"/>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L’échange d’informations et de preuves ;</w:t>
      </w:r>
    </w:p>
    <w:p w14:paraId="606B032B" w14:textId="77777777" w:rsidR="00DD46E0" w:rsidRPr="00DD46E0" w:rsidRDefault="00DD46E0" w:rsidP="00DD46E0">
      <w:pPr>
        <w:numPr>
          <w:ilvl w:val="0"/>
          <w:numId w:val="22"/>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L’audition de témoins à l’étranger ;</w:t>
      </w:r>
    </w:p>
    <w:p w14:paraId="04657067" w14:textId="77777777" w:rsidR="00DD46E0" w:rsidRPr="00DD46E0" w:rsidRDefault="00DD46E0" w:rsidP="00DD46E0">
      <w:pPr>
        <w:numPr>
          <w:ilvl w:val="0"/>
          <w:numId w:val="22"/>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La coopération dans les enquêtes transfrontalières.</w:t>
      </w:r>
    </w:p>
    <w:p w14:paraId="694016A9"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Cependant, l’IRA n’a connaissance d’aucune utilisation effective de ces mécanismes dans des affaires de disparitions forcées ou de violations graves liées à l’esclavage.</w:t>
      </w:r>
    </w:p>
    <w:p w14:paraId="05953065"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p>
    <w:p w14:paraId="51FDB5C6" w14:textId="5AB24F33"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b/>
          <w:bCs/>
          <w:kern w:val="0"/>
          <w:sz w:val="36"/>
          <w:szCs w:val="36"/>
          <w:lang w:eastAsia="fr-FR"/>
          <w14:ligatures w14:val="none"/>
        </w:rPr>
        <w:t>V. Lacunes et défaillances observées</w:t>
      </w:r>
    </w:p>
    <w:p w14:paraId="6C53A5AA" w14:textId="3718EB0A" w:rsidR="00DD46E0" w:rsidRPr="00DD46E0" w:rsidRDefault="00DD46E0" w:rsidP="00DD46E0">
      <w:pPr>
        <w:spacing w:before="100" w:beforeAutospacing="1" w:after="100" w:afterAutospacing="1" w:line="240" w:lineRule="auto"/>
        <w:jc w:val="both"/>
        <w:outlineLvl w:val="1"/>
        <w:rPr>
          <w:rFonts w:asciiTheme="majorHAnsi" w:eastAsia="Times New Roman" w:hAnsiTheme="majorHAnsi" w:cs="Times New Roman"/>
          <w:b/>
          <w:bCs/>
          <w:kern w:val="0"/>
          <w:sz w:val="36"/>
          <w:szCs w:val="36"/>
          <w:lang w:eastAsia="fr-FR"/>
          <w14:ligatures w14:val="none"/>
        </w:rPr>
      </w:pPr>
      <w:r w:rsidRPr="00DD46E0">
        <w:rPr>
          <w:rFonts w:asciiTheme="majorHAnsi" w:eastAsia="Times New Roman" w:hAnsiTheme="majorHAnsi" w:cs="Times New Roman"/>
          <w:b/>
          <w:bCs/>
          <w:kern w:val="0"/>
          <w:sz w:val="27"/>
          <w:szCs w:val="27"/>
          <w:lang w:eastAsia="fr-FR"/>
          <w14:ligatures w14:val="none"/>
        </w:rPr>
        <w:t>1. Absence d’enquêtes indépendantes et effectives</w:t>
      </w:r>
    </w:p>
    <w:p w14:paraId="600760D8"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L’IRA observe :</w:t>
      </w:r>
    </w:p>
    <w:p w14:paraId="161B2280" w14:textId="77777777" w:rsidR="00DD46E0" w:rsidRPr="00DD46E0" w:rsidRDefault="00DD46E0" w:rsidP="00DD46E0">
      <w:pPr>
        <w:numPr>
          <w:ilvl w:val="0"/>
          <w:numId w:val="23"/>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 xml:space="preserve">Des </w:t>
      </w:r>
      <w:r w:rsidRPr="00DD46E0">
        <w:rPr>
          <w:rFonts w:asciiTheme="majorHAnsi" w:eastAsia="Times New Roman" w:hAnsiTheme="majorHAnsi" w:cs="Times New Roman"/>
          <w:b/>
          <w:bCs/>
          <w:kern w:val="0"/>
          <w:lang w:eastAsia="fr-FR"/>
          <w14:ligatures w14:val="none"/>
        </w:rPr>
        <w:t>retards injustifiés</w:t>
      </w:r>
      <w:r w:rsidRPr="00DD46E0">
        <w:rPr>
          <w:rFonts w:asciiTheme="majorHAnsi" w:eastAsia="Times New Roman" w:hAnsiTheme="majorHAnsi" w:cs="Times New Roman"/>
          <w:kern w:val="0"/>
          <w:lang w:eastAsia="fr-FR"/>
          <w14:ligatures w14:val="none"/>
        </w:rPr>
        <w:t xml:space="preserve"> dans l’ouverture des enquêtes ;</w:t>
      </w:r>
    </w:p>
    <w:p w14:paraId="2A074EC9" w14:textId="77777777" w:rsidR="00DD46E0" w:rsidRPr="00DD46E0" w:rsidRDefault="00DD46E0" w:rsidP="00DD46E0">
      <w:pPr>
        <w:numPr>
          <w:ilvl w:val="0"/>
          <w:numId w:val="23"/>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 xml:space="preserve">L’absence de séparation entre les autorités chargées d’enquêter et celles mises en cause </w:t>
      </w:r>
    </w:p>
    <w:p w14:paraId="75663707" w14:textId="77777777" w:rsidR="00DD46E0" w:rsidRPr="00DD46E0" w:rsidRDefault="00DD46E0" w:rsidP="00DD46E0">
      <w:pPr>
        <w:numPr>
          <w:ilvl w:val="0"/>
          <w:numId w:val="23"/>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Un manque de transparence sur le sort des personnes arrêtées, en particulier lors d’opérations sécuritaires.</w:t>
      </w:r>
    </w:p>
    <w:p w14:paraId="6D5A08B8"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Ces pratiques favorisent la détention non reconnue et créent un risque élevé de disparitions forcées.</w:t>
      </w:r>
    </w:p>
    <w:p w14:paraId="320D5A61" w14:textId="77777777" w:rsidR="00DD46E0" w:rsidRPr="00DD46E0" w:rsidRDefault="00DD46E0" w:rsidP="00DD46E0">
      <w:pPr>
        <w:spacing w:before="100" w:beforeAutospacing="1" w:after="100" w:afterAutospacing="1" w:line="240" w:lineRule="auto"/>
        <w:jc w:val="both"/>
        <w:outlineLvl w:val="2"/>
        <w:rPr>
          <w:rFonts w:asciiTheme="majorHAnsi" w:eastAsia="Times New Roman" w:hAnsiTheme="majorHAnsi" w:cs="Times New Roman"/>
          <w:b/>
          <w:bCs/>
          <w:kern w:val="0"/>
          <w:sz w:val="27"/>
          <w:szCs w:val="27"/>
          <w:lang w:eastAsia="fr-FR"/>
          <w14:ligatures w14:val="none"/>
        </w:rPr>
      </w:pPr>
      <w:r w:rsidRPr="00DD46E0">
        <w:rPr>
          <w:rFonts w:asciiTheme="majorHAnsi" w:eastAsia="Times New Roman" w:hAnsiTheme="majorHAnsi" w:cs="Times New Roman"/>
          <w:b/>
          <w:bCs/>
          <w:kern w:val="0"/>
          <w:sz w:val="27"/>
          <w:szCs w:val="27"/>
          <w:lang w:eastAsia="fr-FR"/>
          <w14:ligatures w14:val="none"/>
        </w:rPr>
        <w:t>2. Criminalisation de l’activisme abolitionniste</w:t>
      </w:r>
    </w:p>
    <w:p w14:paraId="4551057E"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Des membres et responsables de l’IRA ont été :</w:t>
      </w:r>
    </w:p>
    <w:p w14:paraId="504C8CD6" w14:textId="77777777" w:rsidR="00DD46E0" w:rsidRPr="00DD46E0" w:rsidRDefault="00DD46E0" w:rsidP="00DD46E0">
      <w:pPr>
        <w:numPr>
          <w:ilvl w:val="0"/>
          <w:numId w:val="24"/>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Arrêtés et emprisonnés sans mandat clair ;</w:t>
      </w:r>
    </w:p>
    <w:p w14:paraId="23C3D452" w14:textId="77777777" w:rsidR="00DD46E0" w:rsidRPr="00DD46E0" w:rsidRDefault="00DD46E0" w:rsidP="00DD46E0">
      <w:pPr>
        <w:numPr>
          <w:ilvl w:val="0"/>
          <w:numId w:val="24"/>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Torturés et restés sans soins plusieurs jours</w:t>
      </w:r>
    </w:p>
    <w:p w14:paraId="2AB51AD1" w14:textId="77777777" w:rsidR="00DD46E0" w:rsidRPr="00DD46E0" w:rsidRDefault="00DD46E0" w:rsidP="00DD46E0">
      <w:pPr>
        <w:numPr>
          <w:ilvl w:val="0"/>
          <w:numId w:val="24"/>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Privés de contact avec leurs avocats, des médecins et de leurs familles pendant des périodes prolongées.</w:t>
      </w:r>
    </w:p>
    <w:p w14:paraId="00D29347"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Ces situations, même lorsqu’elles sont temporaires, remplissent plusieurs éléments constitutifs de la disparition forcée tels que définis par le droit international.</w:t>
      </w:r>
    </w:p>
    <w:p w14:paraId="2968CBFB" w14:textId="77777777" w:rsidR="00DD46E0" w:rsidRPr="00DD46E0" w:rsidRDefault="00DD46E0" w:rsidP="00DD46E0">
      <w:pPr>
        <w:spacing w:before="100" w:beforeAutospacing="1" w:after="100" w:afterAutospacing="1" w:line="240" w:lineRule="auto"/>
        <w:jc w:val="both"/>
        <w:outlineLvl w:val="2"/>
        <w:rPr>
          <w:rFonts w:asciiTheme="majorHAnsi" w:eastAsia="Times New Roman" w:hAnsiTheme="majorHAnsi" w:cs="Times New Roman"/>
          <w:b/>
          <w:bCs/>
          <w:kern w:val="0"/>
          <w:sz w:val="27"/>
          <w:szCs w:val="27"/>
          <w:lang w:eastAsia="fr-FR"/>
          <w14:ligatures w14:val="none"/>
        </w:rPr>
      </w:pPr>
      <w:r w:rsidRPr="00DD46E0">
        <w:rPr>
          <w:rFonts w:asciiTheme="majorHAnsi" w:eastAsia="Times New Roman" w:hAnsiTheme="majorHAnsi" w:cs="Times New Roman"/>
          <w:b/>
          <w:bCs/>
          <w:kern w:val="0"/>
          <w:sz w:val="27"/>
          <w:szCs w:val="27"/>
          <w:lang w:eastAsia="fr-FR"/>
          <w14:ligatures w14:val="none"/>
        </w:rPr>
        <w:t>3. Invisibilisation des victimes de l’esclavage</w:t>
      </w:r>
    </w:p>
    <w:p w14:paraId="34663713"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Les victimes issues de l’esclavage et des pratiques assimilées sont confrontées à :</w:t>
      </w:r>
    </w:p>
    <w:p w14:paraId="505B9F8B" w14:textId="77777777" w:rsidR="00DD46E0" w:rsidRPr="00DD46E0" w:rsidRDefault="00DD46E0" w:rsidP="00DD46E0">
      <w:pPr>
        <w:numPr>
          <w:ilvl w:val="0"/>
          <w:numId w:val="25"/>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La peur de représailles ;</w:t>
      </w:r>
    </w:p>
    <w:p w14:paraId="66046C33" w14:textId="77777777" w:rsidR="00DD46E0" w:rsidRPr="00DD46E0" w:rsidRDefault="00DD46E0" w:rsidP="00DD46E0">
      <w:pPr>
        <w:numPr>
          <w:ilvl w:val="0"/>
          <w:numId w:val="25"/>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L’absence de mécanismes de protection des témoins ;</w:t>
      </w:r>
    </w:p>
    <w:p w14:paraId="52B7DACF" w14:textId="77777777" w:rsidR="00DD46E0" w:rsidRPr="00DD46E0" w:rsidRDefault="00DD46E0" w:rsidP="00DD46E0">
      <w:pPr>
        <w:numPr>
          <w:ilvl w:val="0"/>
          <w:numId w:val="25"/>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Des obstacles socio-économiques majeurs à l’accès à la justice.</w:t>
      </w:r>
    </w:p>
    <w:p w14:paraId="725221D2" w14:textId="77777777" w:rsidR="00DD46E0" w:rsidRPr="00DD46E0" w:rsidRDefault="00DD46E0" w:rsidP="00DD46E0">
      <w:pPr>
        <w:numPr>
          <w:ilvl w:val="0"/>
          <w:numId w:val="25"/>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 xml:space="preserve">Des obstacles socio-économiques </w:t>
      </w:r>
      <w:proofErr w:type="gramStart"/>
      <w:r w:rsidRPr="00DD46E0">
        <w:rPr>
          <w:rFonts w:asciiTheme="majorHAnsi" w:eastAsia="Times New Roman" w:hAnsiTheme="majorHAnsi" w:cs="Times New Roman"/>
          <w:kern w:val="0"/>
          <w:lang w:eastAsia="fr-FR"/>
          <w14:ligatures w14:val="none"/>
        </w:rPr>
        <w:t>majeurs  l’insertion</w:t>
      </w:r>
      <w:proofErr w:type="gramEnd"/>
      <w:r w:rsidRPr="00DD46E0">
        <w:rPr>
          <w:rFonts w:asciiTheme="majorHAnsi" w:eastAsia="Times New Roman" w:hAnsiTheme="majorHAnsi" w:cs="Times New Roman"/>
          <w:kern w:val="0"/>
          <w:lang w:eastAsia="fr-FR"/>
          <w14:ligatures w14:val="none"/>
        </w:rPr>
        <w:t xml:space="preserve"> dans la vie active</w:t>
      </w:r>
    </w:p>
    <w:p w14:paraId="53E86156"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Lorsqu’elles disparaissent ou sont détenues arbitrairement, leurs cas sont rarement enregistrés ou investigués de manière adéquate.</w:t>
      </w:r>
    </w:p>
    <w:p w14:paraId="14EAF763" w14:textId="77777777" w:rsidR="00DD46E0" w:rsidRPr="00DD46E0" w:rsidRDefault="00DD46E0" w:rsidP="00DD46E0">
      <w:pPr>
        <w:spacing w:before="100" w:beforeAutospacing="1" w:after="100" w:afterAutospacing="1" w:line="240" w:lineRule="auto"/>
        <w:jc w:val="both"/>
        <w:outlineLvl w:val="2"/>
        <w:rPr>
          <w:rFonts w:asciiTheme="majorHAnsi" w:eastAsia="Times New Roman" w:hAnsiTheme="majorHAnsi" w:cs="Times New Roman"/>
          <w:b/>
          <w:bCs/>
          <w:kern w:val="0"/>
          <w:sz w:val="27"/>
          <w:szCs w:val="27"/>
          <w:lang w:eastAsia="fr-FR"/>
          <w14:ligatures w14:val="none"/>
        </w:rPr>
      </w:pPr>
      <w:r w:rsidRPr="00DD46E0">
        <w:rPr>
          <w:rFonts w:asciiTheme="majorHAnsi" w:eastAsia="Times New Roman" w:hAnsiTheme="majorHAnsi" w:cs="Times New Roman"/>
          <w:b/>
          <w:bCs/>
          <w:kern w:val="0"/>
          <w:sz w:val="27"/>
          <w:szCs w:val="27"/>
          <w:lang w:eastAsia="fr-FR"/>
          <w14:ligatures w14:val="none"/>
        </w:rPr>
        <w:t>4. Défaillances de la coopération judiciaire transnationale</w:t>
      </w:r>
    </w:p>
    <w:p w14:paraId="15214DF6"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L’IRA constate :</w:t>
      </w:r>
    </w:p>
    <w:p w14:paraId="39B8844D" w14:textId="77777777" w:rsidR="00DD46E0" w:rsidRPr="00DD46E0" w:rsidRDefault="00DD46E0" w:rsidP="00DD46E0">
      <w:pPr>
        <w:numPr>
          <w:ilvl w:val="0"/>
          <w:numId w:val="26"/>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L’absence de mécanismes spécifiques pour traiter les disparitions à dimension transnationale (exil forcé, déplacements contraints, arrestations suivies de transferts) ;</w:t>
      </w:r>
    </w:p>
    <w:p w14:paraId="013DCA75" w14:textId="77777777" w:rsidR="00DD46E0" w:rsidRPr="00DD46E0" w:rsidRDefault="00DD46E0" w:rsidP="00DD46E0">
      <w:pPr>
        <w:numPr>
          <w:ilvl w:val="0"/>
          <w:numId w:val="26"/>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Une coopération judiciaire sélective, influencée par des considérations politiques ;</w:t>
      </w:r>
    </w:p>
    <w:p w14:paraId="3C651C96" w14:textId="77777777" w:rsidR="00DD46E0" w:rsidRPr="00DD46E0" w:rsidRDefault="00DD46E0" w:rsidP="00DD46E0">
      <w:pPr>
        <w:spacing w:before="100" w:beforeAutospacing="1" w:after="100" w:afterAutospacing="1" w:line="240" w:lineRule="auto"/>
        <w:ind w:left="720"/>
        <w:jc w:val="both"/>
        <w:rPr>
          <w:rFonts w:asciiTheme="majorHAnsi" w:eastAsia="Times New Roman" w:hAnsiTheme="majorHAnsi" w:cs="Times New Roman"/>
          <w:kern w:val="0"/>
          <w:lang w:eastAsia="fr-FR"/>
          <w14:ligatures w14:val="none"/>
        </w:rPr>
      </w:pPr>
    </w:p>
    <w:p w14:paraId="154AA390" w14:textId="3A8C88B3" w:rsidR="00DD46E0" w:rsidRPr="00DD46E0" w:rsidRDefault="00DD46E0" w:rsidP="00DD46E0">
      <w:pPr>
        <w:spacing w:before="100" w:beforeAutospacing="1" w:after="100" w:afterAutospacing="1" w:line="240" w:lineRule="auto"/>
        <w:ind w:left="720"/>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b/>
          <w:bCs/>
          <w:kern w:val="0"/>
          <w:sz w:val="36"/>
          <w:szCs w:val="36"/>
          <w:lang w:eastAsia="fr-FR"/>
          <w14:ligatures w14:val="none"/>
        </w:rPr>
        <w:t>VI. Impact spécifique sur les défenseurs des droits humains</w:t>
      </w:r>
    </w:p>
    <w:p w14:paraId="6B717DE3"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 xml:space="preserve">Les disparitions forcées, y compris temporaires, ont un </w:t>
      </w:r>
      <w:r w:rsidRPr="00DD46E0">
        <w:rPr>
          <w:rFonts w:asciiTheme="majorHAnsi" w:eastAsia="Times New Roman" w:hAnsiTheme="majorHAnsi" w:cs="Times New Roman"/>
          <w:b/>
          <w:bCs/>
          <w:kern w:val="0"/>
          <w:lang w:eastAsia="fr-FR"/>
          <w14:ligatures w14:val="none"/>
        </w:rPr>
        <w:t>effet dissuasif majeur</w:t>
      </w:r>
      <w:r w:rsidRPr="00DD46E0">
        <w:rPr>
          <w:rFonts w:asciiTheme="majorHAnsi" w:eastAsia="Times New Roman" w:hAnsiTheme="majorHAnsi" w:cs="Times New Roman"/>
          <w:kern w:val="0"/>
          <w:lang w:eastAsia="fr-FR"/>
          <w14:ligatures w14:val="none"/>
        </w:rPr>
        <w:t xml:space="preserve"> sur l’action des défenseurs des droits humains. Elles contribuent à :</w:t>
      </w:r>
    </w:p>
    <w:p w14:paraId="7BF75E9A" w14:textId="77777777" w:rsidR="00DD46E0" w:rsidRPr="00DD46E0" w:rsidRDefault="00DD46E0" w:rsidP="00DD46E0">
      <w:pPr>
        <w:numPr>
          <w:ilvl w:val="0"/>
          <w:numId w:val="27"/>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Restreindre l’espace civique ;</w:t>
      </w:r>
    </w:p>
    <w:p w14:paraId="5BF544F0" w14:textId="77777777" w:rsidR="00DD46E0" w:rsidRPr="00DD46E0" w:rsidRDefault="00DD46E0" w:rsidP="00DD46E0">
      <w:pPr>
        <w:numPr>
          <w:ilvl w:val="0"/>
          <w:numId w:val="27"/>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Entraver la documentation indépendante des violations ;</w:t>
      </w:r>
    </w:p>
    <w:p w14:paraId="6B6282ED" w14:textId="77777777" w:rsidR="00DD46E0" w:rsidRPr="00DD46E0" w:rsidRDefault="00DD46E0" w:rsidP="00DD46E0">
      <w:pPr>
        <w:numPr>
          <w:ilvl w:val="0"/>
          <w:numId w:val="27"/>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Renforcer l’impunité pour les crimes liés à l’esclavage.</w:t>
      </w:r>
    </w:p>
    <w:p w14:paraId="5337A217"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L’IRA estime que ces pratiques constituent une violation directe des obligations internationales de la Mauritanie.</w:t>
      </w:r>
    </w:p>
    <w:p w14:paraId="266CF15A"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p>
    <w:p w14:paraId="037946CE" w14:textId="18523FF9"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b/>
          <w:bCs/>
          <w:kern w:val="0"/>
          <w:sz w:val="36"/>
          <w:szCs w:val="36"/>
          <w:lang w:eastAsia="fr-FR"/>
          <w14:ligatures w14:val="none"/>
        </w:rPr>
        <w:t>VII. Recommandations</w:t>
      </w:r>
    </w:p>
    <w:p w14:paraId="5E9DFFDC" w14:textId="77777777" w:rsidR="00DD46E0" w:rsidRPr="00DD46E0" w:rsidRDefault="00DD46E0" w:rsidP="00DD46E0">
      <w:pPr>
        <w:pStyle w:val="Paragraphedeliste"/>
        <w:numPr>
          <w:ilvl w:val="1"/>
          <w:numId w:val="20"/>
        </w:numPr>
        <w:spacing w:before="100" w:beforeAutospacing="1" w:after="100" w:afterAutospacing="1" w:line="240" w:lineRule="auto"/>
        <w:jc w:val="both"/>
        <w:outlineLvl w:val="1"/>
        <w:rPr>
          <w:rFonts w:asciiTheme="majorHAnsi" w:eastAsia="Times New Roman" w:hAnsiTheme="majorHAnsi" w:cs="Times New Roman"/>
          <w:b/>
          <w:bCs/>
          <w:kern w:val="0"/>
          <w:sz w:val="36"/>
          <w:szCs w:val="36"/>
          <w:lang w:eastAsia="fr-FR"/>
          <w14:ligatures w14:val="none"/>
        </w:rPr>
      </w:pPr>
      <w:r w:rsidRPr="00DD46E0">
        <w:rPr>
          <w:rFonts w:asciiTheme="majorHAnsi" w:eastAsia="Times New Roman" w:hAnsiTheme="majorHAnsi" w:cs="Times New Roman"/>
          <w:b/>
          <w:bCs/>
          <w:kern w:val="0"/>
          <w:sz w:val="27"/>
          <w:szCs w:val="27"/>
          <w:lang w:eastAsia="fr-FR"/>
          <w14:ligatures w14:val="none"/>
        </w:rPr>
        <w:t>À l’État mauritanien</w:t>
      </w:r>
    </w:p>
    <w:p w14:paraId="6E6D8F82" w14:textId="77777777" w:rsidR="00DD46E0" w:rsidRPr="00DD46E0" w:rsidRDefault="00DD46E0" w:rsidP="00DD46E0">
      <w:pPr>
        <w:numPr>
          <w:ilvl w:val="0"/>
          <w:numId w:val="28"/>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Garantir la mise en œuvre effective de la Convention internationale contre les disparitions forcées, notamment par :</w:t>
      </w:r>
    </w:p>
    <w:p w14:paraId="7C276057" w14:textId="77777777" w:rsidR="00DD46E0" w:rsidRPr="00DD46E0" w:rsidRDefault="00DD46E0" w:rsidP="00DD46E0">
      <w:pPr>
        <w:numPr>
          <w:ilvl w:val="1"/>
          <w:numId w:val="28"/>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Des enquêtes indépendantes et impartiales ;</w:t>
      </w:r>
    </w:p>
    <w:p w14:paraId="0DA7DC06" w14:textId="77777777" w:rsidR="00DD46E0" w:rsidRPr="00DD46E0" w:rsidRDefault="00DD46E0" w:rsidP="00DD46E0">
      <w:pPr>
        <w:numPr>
          <w:ilvl w:val="1"/>
          <w:numId w:val="28"/>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La prévention stricte de toute détention non reconnue.</w:t>
      </w:r>
    </w:p>
    <w:p w14:paraId="7BB093BD" w14:textId="77777777" w:rsidR="00DD46E0" w:rsidRPr="00DD46E0" w:rsidRDefault="00DD46E0" w:rsidP="00DD46E0">
      <w:pPr>
        <w:numPr>
          <w:ilvl w:val="0"/>
          <w:numId w:val="28"/>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Mettre fin à la criminalisation de l’activisme abolitionniste et garantir la protection des défenseurs des droits humains et lanceurs d’alerte.</w:t>
      </w:r>
    </w:p>
    <w:p w14:paraId="4020B764" w14:textId="77777777" w:rsidR="00DD46E0" w:rsidRPr="00DD46E0" w:rsidRDefault="00DD46E0" w:rsidP="00DD46E0">
      <w:pPr>
        <w:numPr>
          <w:ilvl w:val="0"/>
          <w:numId w:val="28"/>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Activer les mécanismes d’entraide judiciaire internationale dans les affaires de violations graves des droits humains.</w:t>
      </w:r>
    </w:p>
    <w:p w14:paraId="42284960" w14:textId="77777777" w:rsidR="00DD46E0" w:rsidRPr="00DD46E0" w:rsidRDefault="00DD46E0" w:rsidP="00DD46E0">
      <w:pPr>
        <w:pStyle w:val="Paragraphedeliste"/>
        <w:numPr>
          <w:ilvl w:val="1"/>
          <w:numId w:val="20"/>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b/>
          <w:bCs/>
          <w:kern w:val="0"/>
          <w:sz w:val="27"/>
          <w:szCs w:val="27"/>
          <w:lang w:eastAsia="fr-FR"/>
          <w14:ligatures w14:val="none"/>
        </w:rPr>
        <w:t>Aux mécanismes internationaux</w:t>
      </w:r>
    </w:p>
    <w:p w14:paraId="1E93BDBF" w14:textId="77777777" w:rsidR="00DD46E0" w:rsidRPr="00DD46E0" w:rsidRDefault="00DD46E0" w:rsidP="00DD46E0">
      <w:pPr>
        <w:numPr>
          <w:ilvl w:val="0"/>
          <w:numId w:val="29"/>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Renforcer le suivi de la situation en Mauritanie concernant les disparitions forcées liées à l’esclavage et à la répression des militants.</w:t>
      </w:r>
    </w:p>
    <w:p w14:paraId="24E30202" w14:textId="77777777" w:rsidR="00DD46E0" w:rsidRPr="00DD46E0" w:rsidRDefault="00DD46E0" w:rsidP="00DD46E0">
      <w:pPr>
        <w:numPr>
          <w:ilvl w:val="0"/>
          <w:numId w:val="29"/>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Accorder une attention particulière aux cas documentés par l’IRA et autres organisations indépendantes.</w:t>
      </w:r>
    </w:p>
    <w:p w14:paraId="33D0D45A" w14:textId="77777777" w:rsidR="00DD46E0" w:rsidRPr="00DD46E0" w:rsidRDefault="00DD46E0" w:rsidP="00DD46E0">
      <w:pPr>
        <w:spacing w:before="100" w:beforeAutospacing="1" w:after="100" w:afterAutospacing="1" w:line="240" w:lineRule="auto"/>
        <w:jc w:val="both"/>
        <w:outlineLvl w:val="2"/>
        <w:rPr>
          <w:rFonts w:asciiTheme="majorHAnsi" w:eastAsia="Times New Roman" w:hAnsiTheme="majorHAnsi" w:cs="Times New Roman"/>
          <w:b/>
          <w:bCs/>
          <w:kern w:val="0"/>
          <w:sz w:val="27"/>
          <w:szCs w:val="27"/>
          <w:lang w:eastAsia="fr-FR"/>
          <w14:ligatures w14:val="none"/>
        </w:rPr>
      </w:pPr>
      <w:r w:rsidRPr="00DD46E0">
        <w:rPr>
          <w:rFonts w:asciiTheme="majorHAnsi" w:eastAsia="Times New Roman" w:hAnsiTheme="majorHAnsi" w:cs="Times New Roman"/>
          <w:b/>
          <w:bCs/>
          <w:kern w:val="0"/>
          <w:sz w:val="27"/>
          <w:szCs w:val="27"/>
          <w:lang w:eastAsia="fr-FR"/>
          <w14:ligatures w14:val="none"/>
        </w:rPr>
        <w:t>À la communauté internationale</w:t>
      </w:r>
    </w:p>
    <w:p w14:paraId="6D6F616D" w14:textId="77777777" w:rsidR="00DD46E0" w:rsidRPr="00DD46E0" w:rsidRDefault="00DD46E0" w:rsidP="00DD46E0">
      <w:pPr>
        <w:numPr>
          <w:ilvl w:val="0"/>
          <w:numId w:val="30"/>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Conditionner la coopération sécuritaire et judiciaire au respect effectif des obligations internationales.</w:t>
      </w:r>
    </w:p>
    <w:p w14:paraId="64F97F8B" w14:textId="77777777" w:rsidR="00DD46E0" w:rsidRPr="00DD46E0" w:rsidRDefault="00DD46E0" w:rsidP="00DD46E0">
      <w:pPr>
        <w:numPr>
          <w:ilvl w:val="0"/>
          <w:numId w:val="30"/>
        </w:num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Soutenir la protection et le renforcement des capacités des organisations abolitionnistes.</w:t>
      </w:r>
    </w:p>
    <w:p w14:paraId="32729AAC" w14:textId="3F60D054" w:rsidR="00DD46E0" w:rsidRPr="00DD46E0" w:rsidRDefault="00DD46E0" w:rsidP="00DD46E0">
      <w:pPr>
        <w:spacing w:after="0"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b/>
          <w:bCs/>
          <w:kern w:val="0"/>
          <w:sz w:val="36"/>
          <w:szCs w:val="36"/>
          <w:lang w:eastAsia="fr-FR"/>
          <w14:ligatures w14:val="none"/>
        </w:rPr>
        <w:t>VIII. Conclusion</w:t>
      </w:r>
    </w:p>
    <w:p w14:paraId="71A49146" w14:textId="77777777" w:rsidR="00DD46E0" w:rsidRPr="00DD46E0" w:rsidRDefault="00DD46E0" w:rsidP="00DD46E0">
      <w:pPr>
        <w:spacing w:before="100" w:beforeAutospacing="1" w:after="100" w:afterAutospacing="1" w:line="240" w:lineRule="auto"/>
        <w:jc w:val="both"/>
        <w:rPr>
          <w:rFonts w:asciiTheme="majorHAnsi" w:eastAsia="Times New Roman" w:hAnsiTheme="majorHAnsi" w:cs="Times New Roman"/>
          <w:kern w:val="0"/>
          <w:lang w:eastAsia="fr-FR"/>
          <w14:ligatures w14:val="none"/>
        </w:rPr>
      </w:pPr>
      <w:r w:rsidRPr="00DD46E0">
        <w:rPr>
          <w:rFonts w:asciiTheme="majorHAnsi" w:eastAsia="Times New Roman" w:hAnsiTheme="majorHAnsi" w:cs="Times New Roman"/>
          <w:kern w:val="0"/>
          <w:lang w:eastAsia="fr-FR"/>
          <w14:ligatures w14:val="none"/>
        </w:rPr>
        <w:t>Malgré l’existence de mécanismes juridiques internationaux et nationaux, les disparitions forcées, y compris à dimension transnationale, continuent de se produire dans un contexte d’impunité structurelle en Mauritanie. Ces violations affectent de manière disproportionnée les victimes de l’esclavage et les défenseurs des droits humains, notamment les membres de l’IRA. Tant que les mécanismes d’enquête, de poursuite et d’entraide judiciaire ne seront pas appliqués de manière indépendante, inclusive et non discriminatoire, les engagements internationaux de la Mauritanie resteront largement formels.</w:t>
      </w:r>
    </w:p>
    <w:p w14:paraId="51660DA2" w14:textId="77777777" w:rsidR="00DD46E0" w:rsidRPr="00DD46E0" w:rsidRDefault="00DD46E0" w:rsidP="00DD46E0">
      <w:pPr>
        <w:spacing w:after="0" w:line="240" w:lineRule="auto"/>
        <w:jc w:val="both"/>
        <w:rPr>
          <w:rFonts w:asciiTheme="majorHAnsi" w:eastAsia="Times New Roman" w:hAnsiTheme="majorHAnsi" w:cs="Times New Roman"/>
          <w:kern w:val="0"/>
          <w:lang w:eastAsia="fr-FR"/>
          <w14:ligatures w14:val="none"/>
        </w:rPr>
      </w:pPr>
    </w:p>
    <w:p w14:paraId="5325EC92" w14:textId="77777777" w:rsidR="00DD46E0" w:rsidRPr="00DD46E0" w:rsidRDefault="00DD46E0" w:rsidP="00DD46E0">
      <w:pPr>
        <w:spacing w:after="120" w:line="240" w:lineRule="auto"/>
        <w:jc w:val="both"/>
        <w:outlineLvl w:val="1"/>
        <w:rPr>
          <w:rFonts w:asciiTheme="majorHAnsi" w:hAnsiTheme="majorHAnsi"/>
        </w:rPr>
      </w:pPr>
    </w:p>
    <w:p w14:paraId="26DAD452" w14:textId="4F09B78E" w:rsidR="009D66AA" w:rsidRPr="00642716" w:rsidRDefault="009D66AA" w:rsidP="00642716">
      <w:pPr>
        <w:jc w:val="right"/>
        <w:rPr>
          <w:rFonts w:asciiTheme="majorHAnsi" w:hAnsiTheme="majorHAnsi" w:cs="Calibri"/>
          <w:sz w:val="32"/>
          <w:szCs w:val="32"/>
        </w:rPr>
      </w:pPr>
    </w:p>
    <w:sectPr w:rsidR="009D66AA" w:rsidRPr="00642716" w:rsidSect="002E619D">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37BDF" w14:textId="77777777" w:rsidR="00067B49" w:rsidRDefault="00067B49" w:rsidP="001E111B">
      <w:pPr>
        <w:spacing w:after="0" w:line="240" w:lineRule="auto"/>
      </w:pPr>
      <w:r>
        <w:separator/>
      </w:r>
    </w:p>
  </w:endnote>
  <w:endnote w:type="continuationSeparator" w:id="0">
    <w:p w14:paraId="589E6EBF" w14:textId="77777777" w:rsidR="00067B49" w:rsidRDefault="00067B49" w:rsidP="001E1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841307"/>
      <w:docPartObj>
        <w:docPartGallery w:val="Page Numbers (Bottom of Page)"/>
        <w:docPartUnique/>
      </w:docPartObj>
    </w:sdtPr>
    <w:sdtContent>
      <w:p w14:paraId="544F5FE7" w14:textId="5988985B" w:rsidR="001E111B" w:rsidRDefault="001E111B" w:rsidP="002E619D">
        <w:pPr>
          <w:pStyle w:val="Pieddepage"/>
          <w:jc w:val="right"/>
        </w:pPr>
        <w:r>
          <w:fldChar w:fldCharType="begin"/>
        </w:r>
        <w:r>
          <w:instrText>PAGE   \* MERGEFORMAT</w:instrText>
        </w:r>
        <w:r>
          <w:fldChar w:fldCharType="separate"/>
        </w:r>
        <w:r>
          <w:t>2</w:t>
        </w:r>
        <w:r>
          <w:fldChar w:fldCharType="end"/>
        </w:r>
        <w:r w:rsidR="002E619D">
          <w:t xml:space="preserve"> </w:t>
        </w:r>
      </w:p>
    </w:sdtContent>
  </w:sdt>
  <w:p w14:paraId="57FD6571" w14:textId="77777777" w:rsidR="002E619D" w:rsidRDefault="002E619D" w:rsidP="002E619D">
    <w:pPr>
      <w:pStyle w:val="Pieddepage"/>
      <w:jc w:val="center"/>
      <w:rPr>
        <w:sz w:val="20"/>
        <w:szCs w:val="20"/>
      </w:rPr>
    </w:pPr>
    <w:r w:rsidRPr="009C56EE">
      <w:rPr>
        <w:sz w:val="20"/>
        <w:szCs w:val="20"/>
      </w:rPr>
      <w:t xml:space="preserve">IRA (Initiative de Résurgence du mouvement Abolitionniste) mail : </w:t>
    </w:r>
    <w:r>
      <w:rPr>
        <w:sz w:val="20"/>
        <w:szCs w:val="20"/>
      </w:rPr>
      <w:t xml:space="preserve">ira.mauritanie2021@gmail.com   </w:t>
    </w:r>
  </w:p>
  <w:p w14:paraId="45686A67" w14:textId="53073EB4" w:rsidR="001E111B" w:rsidRPr="002E619D" w:rsidRDefault="002E619D" w:rsidP="002E619D">
    <w:pPr>
      <w:pStyle w:val="Pieddepage"/>
      <w:jc w:val="center"/>
      <w:rPr>
        <w:sz w:val="20"/>
        <w:szCs w:val="20"/>
      </w:rPr>
    </w:pPr>
    <w:r>
      <w:rPr>
        <w:sz w:val="20"/>
        <w:szCs w:val="20"/>
      </w:rPr>
      <w:t>Tel : 00222 31012887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51301" w14:textId="77777777" w:rsidR="00067B49" w:rsidRDefault="00067B49" w:rsidP="001E111B">
      <w:pPr>
        <w:spacing w:after="0" w:line="240" w:lineRule="auto"/>
      </w:pPr>
      <w:r>
        <w:separator/>
      </w:r>
    </w:p>
  </w:footnote>
  <w:footnote w:type="continuationSeparator" w:id="0">
    <w:p w14:paraId="5305BEB2" w14:textId="77777777" w:rsidR="00067B49" w:rsidRDefault="00067B49" w:rsidP="001E11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52CF"/>
    <w:multiLevelType w:val="multilevel"/>
    <w:tmpl w:val="37B2EF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2F577D"/>
    <w:multiLevelType w:val="multilevel"/>
    <w:tmpl w:val="487C0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A846C8"/>
    <w:multiLevelType w:val="multilevel"/>
    <w:tmpl w:val="3754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E4253C"/>
    <w:multiLevelType w:val="multilevel"/>
    <w:tmpl w:val="72803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E80BF0"/>
    <w:multiLevelType w:val="multilevel"/>
    <w:tmpl w:val="50BA5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C4F4F"/>
    <w:multiLevelType w:val="multilevel"/>
    <w:tmpl w:val="BBBA5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C84780"/>
    <w:multiLevelType w:val="multilevel"/>
    <w:tmpl w:val="8DC41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C4031C"/>
    <w:multiLevelType w:val="multilevel"/>
    <w:tmpl w:val="D1983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1BE3355"/>
    <w:multiLevelType w:val="multilevel"/>
    <w:tmpl w:val="27DEC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A86CA5"/>
    <w:multiLevelType w:val="multilevel"/>
    <w:tmpl w:val="7624E2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DE4322C"/>
    <w:multiLevelType w:val="multilevel"/>
    <w:tmpl w:val="DEB216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38233FC"/>
    <w:multiLevelType w:val="multilevel"/>
    <w:tmpl w:val="BB309A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6D13AF8"/>
    <w:multiLevelType w:val="multilevel"/>
    <w:tmpl w:val="E9A63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C810BD"/>
    <w:multiLevelType w:val="multilevel"/>
    <w:tmpl w:val="924E4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E4626F"/>
    <w:multiLevelType w:val="multilevel"/>
    <w:tmpl w:val="082E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253CEC"/>
    <w:multiLevelType w:val="multilevel"/>
    <w:tmpl w:val="CC2C6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207896"/>
    <w:multiLevelType w:val="multilevel"/>
    <w:tmpl w:val="AA0AE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D27CA0"/>
    <w:multiLevelType w:val="multilevel"/>
    <w:tmpl w:val="99A6F7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8021DD4"/>
    <w:multiLevelType w:val="multilevel"/>
    <w:tmpl w:val="1DB89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321EA3"/>
    <w:multiLevelType w:val="multilevel"/>
    <w:tmpl w:val="1C6A56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2AE6F19"/>
    <w:multiLevelType w:val="multilevel"/>
    <w:tmpl w:val="A07639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5233867"/>
    <w:multiLevelType w:val="multilevel"/>
    <w:tmpl w:val="BED0E9C0"/>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A0213"/>
    <w:multiLevelType w:val="multilevel"/>
    <w:tmpl w:val="8A266B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8C7566F"/>
    <w:multiLevelType w:val="multilevel"/>
    <w:tmpl w:val="75BE5E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5844CB"/>
    <w:multiLevelType w:val="multilevel"/>
    <w:tmpl w:val="C0B218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115DF8"/>
    <w:multiLevelType w:val="multilevel"/>
    <w:tmpl w:val="97982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C5226E"/>
    <w:multiLevelType w:val="multilevel"/>
    <w:tmpl w:val="032E6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87B5A34"/>
    <w:multiLevelType w:val="multilevel"/>
    <w:tmpl w:val="686C8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B1001C"/>
    <w:multiLevelType w:val="multilevel"/>
    <w:tmpl w:val="CA165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314B73"/>
    <w:multiLevelType w:val="multilevel"/>
    <w:tmpl w:val="A224AA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6681031">
    <w:abstractNumId w:val="26"/>
  </w:num>
  <w:num w:numId="2" w16cid:durableId="1104811964">
    <w:abstractNumId w:val="20"/>
  </w:num>
  <w:num w:numId="3" w16cid:durableId="2034308873">
    <w:abstractNumId w:val="13"/>
  </w:num>
  <w:num w:numId="4" w16cid:durableId="413475698">
    <w:abstractNumId w:val="24"/>
  </w:num>
  <w:num w:numId="5" w16cid:durableId="1247694185">
    <w:abstractNumId w:val="29"/>
  </w:num>
  <w:num w:numId="6" w16cid:durableId="540240919">
    <w:abstractNumId w:val="11"/>
  </w:num>
  <w:num w:numId="7" w16cid:durableId="188839785">
    <w:abstractNumId w:val="17"/>
  </w:num>
  <w:num w:numId="8" w16cid:durableId="1514421256">
    <w:abstractNumId w:val="0"/>
  </w:num>
  <w:num w:numId="9" w16cid:durableId="1392389243">
    <w:abstractNumId w:val="10"/>
  </w:num>
  <w:num w:numId="10" w16cid:durableId="768425764">
    <w:abstractNumId w:val="9"/>
  </w:num>
  <w:num w:numId="11" w16cid:durableId="1986546199">
    <w:abstractNumId w:val="22"/>
  </w:num>
  <w:num w:numId="12" w16cid:durableId="808936890">
    <w:abstractNumId w:val="19"/>
  </w:num>
  <w:num w:numId="13" w16cid:durableId="1694378830">
    <w:abstractNumId w:val="7"/>
  </w:num>
  <w:num w:numId="14" w16cid:durableId="1040327594">
    <w:abstractNumId w:val="3"/>
  </w:num>
  <w:num w:numId="15" w16cid:durableId="2110588711">
    <w:abstractNumId w:val="25"/>
  </w:num>
  <w:num w:numId="16" w16cid:durableId="1398361116">
    <w:abstractNumId w:val="4"/>
  </w:num>
  <w:num w:numId="17" w16cid:durableId="74792284">
    <w:abstractNumId w:val="6"/>
  </w:num>
  <w:num w:numId="18" w16cid:durableId="916672955">
    <w:abstractNumId w:val="8"/>
  </w:num>
  <w:num w:numId="19" w16cid:durableId="133766935">
    <w:abstractNumId w:val="15"/>
  </w:num>
  <w:num w:numId="20" w16cid:durableId="1014650598">
    <w:abstractNumId w:val="21"/>
  </w:num>
  <w:num w:numId="21" w16cid:durableId="1329289553">
    <w:abstractNumId w:val="27"/>
  </w:num>
  <w:num w:numId="22" w16cid:durableId="1084566334">
    <w:abstractNumId w:val="14"/>
  </w:num>
  <w:num w:numId="23" w16cid:durableId="184177704">
    <w:abstractNumId w:val="5"/>
  </w:num>
  <w:num w:numId="24" w16cid:durableId="711228407">
    <w:abstractNumId w:val="12"/>
  </w:num>
  <w:num w:numId="25" w16cid:durableId="1466007223">
    <w:abstractNumId w:val="28"/>
  </w:num>
  <w:num w:numId="26" w16cid:durableId="1362053773">
    <w:abstractNumId w:val="2"/>
  </w:num>
  <w:num w:numId="27" w16cid:durableId="138883754">
    <w:abstractNumId w:val="18"/>
  </w:num>
  <w:num w:numId="28" w16cid:durableId="1555387360">
    <w:abstractNumId w:val="23"/>
  </w:num>
  <w:num w:numId="29" w16cid:durableId="168452304">
    <w:abstractNumId w:val="1"/>
  </w:num>
  <w:num w:numId="30" w16cid:durableId="20858356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EF0"/>
    <w:rsid w:val="00013329"/>
    <w:rsid w:val="00067B49"/>
    <w:rsid w:val="000F61C4"/>
    <w:rsid w:val="001717D1"/>
    <w:rsid w:val="00192CEA"/>
    <w:rsid w:val="001B2EF0"/>
    <w:rsid w:val="001E111B"/>
    <w:rsid w:val="00287C01"/>
    <w:rsid w:val="002E619D"/>
    <w:rsid w:val="00346476"/>
    <w:rsid w:val="00362C6D"/>
    <w:rsid w:val="003C3AEC"/>
    <w:rsid w:val="00437629"/>
    <w:rsid w:val="00443E69"/>
    <w:rsid w:val="004C5039"/>
    <w:rsid w:val="004D3458"/>
    <w:rsid w:val="0050496B"/>
    <w:rsid w:val="00525C5B"/>
    <w:rsid w:val="00533027"/>
    <w:rsid w:val="005523A4"/>
    <w:rsid w:val="005E1AC9"/>
    <w:rsid w:val="00616211"/>
    <w:rsid w:val="00616CCD"/>
    <w:rsid w:val="00623112"/>
    <w:rsid w:val="00642716"/>
    <w:rsid w:val="006771F9"/>
    <w:rsid w:val="006837F5"/>
    <w:rsid w:val="006B4E08"/>
    <w:rsid w:val="006E4C63"/>
    <w:rsid w:val="007413C7"/>
    <w:rsid w:val="007A7D22"/>
    <w:rsid w:val="00813FEA"/>
    <w:rsid w:val="008833BD"/>
    <w:rsid w:val="008A10E8"/>
    <w:rsid w:val="00915136"/>
    <w:rsid w:val="00964F6C"/>
    <w:rsid w:val="00973539"/>
    <w:rsid w:val="009D66AA"/>
    <w:rsid w:val="00A13441"/>
    <w:rsid w:val="00A20AAF"/>
    <w:rsid w:val="00A742B3"/>
    <w:rsid w:val="00AA6849"/>
    <w:rsid w:val="00B54A9E"/>
    <w:rsid w:val="00B75C72"/>
    <w:rsid w:val="00B86522"/>
    <w:rsid w:val="00C4194D"/>
    <w:rsid w:val="00C46C5C"/>
    <w:rsid w:val="00C94E0A"/>
    <w:rsid w:val="00C9584F"/>
    <w:rsid w:val="00CB6584"/>
    <w:rsid w:val="00D13269"/>
    <w:rsid w:val="00D82ACC"/>
    <w:rsid w:val="00DD46E0"/>
    <w:rsid w:val="00E259AD"/>
    <w:rsid w:val="00E51D0C"/>
    <w:rsid w:val="00E561BF"/>
    <w:rsid w:val="00E81331"/>
    <w:rsid w:val="00EC4322"/>
    <w:rsid w:val="00F53055"/>
    <w:rsid w:val="00F80D8D"/>
    <w:rsid w:val="00FE3513"/>
    <w:rsid w:val="00FF198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71ACF"/>
  <w15:chartTrackingRefBased/>
  <w15:docId w15:val="{240EEAB5-13A9-4503-8AC6-7813F0AF3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B2E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1B2E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B2EF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B2EF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B2EF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B2EF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B2EF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B2EF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B2EF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B2EF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B2EF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B2EF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B2EF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B2EF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B2EF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B2EF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B2EF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B2EF0"/>
    <w:rPr>
      <w:rFonts w:eastAsiaTheme="majorEastAsia" w:cstheme="majorBidi"/>
      <w:color w:val="272727" w:themeColor="text1" w:themeTint="D8"/>
    </w:rPr>
  </w:style>
  <w:style w:type="paragraph" w:styleId="Titre">
    <w:name w:val="Title"/>
    <w:basedOn w:val="Normal"/>
    <w:next w:val="Normal"/>
    <w:link w:val="TitreCar"/>
    <w:uiPriority w:val="10"/>
    <w:qFormat/>
    <w:rsid w:val="001B2E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B2EF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B2EF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B2EF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B2EF0"/>
    <w:pPr>
      <w:spacing w:before="160"/>
      <w:jc w:val="center"/>
    </w:pPr>
    <w:rPr>
      <w:i/>
      <w:iCs/>
      <w:color w:val="404040" w:themeColor="text1" w:themeTint="BF"/>
    </w:rPr>
  </w:style>
  <w:style w:type="character" w:customStyle="1" w:styleId="CitationCar">
    <w:name w:val="Citation Car"/>
    <w:basedOn w:val="Policepardfaut"/>
    <w:link w:val="Citation"/>
    <w:uiPriority w:val="29"/>
    <w:rsid w:val="001B2EF0"/>
    <w:rPr>
      <w:i/>
      <w:iCs/>
      <w:color w:val="404040" w:themeColor="text1" w:themeTint="BF"/>
    </w:rPr>
  </w:style>
  <w:style w:type="paragraph" w:styleId="Paragraphedeliste">
    <w:name w:val="List Paragraph"/>
    <w:basedOn w:val="Normal"/>
    <w:uiPriority w:val="34"/>
    <w:qFormat/>
    <w:rsid w:val="001B2EF0"/>
    <w:pPr>
      <w:ind w:left="720"/>
      <w:contextualSpacing/>
    </w:pPr>
  </w:style>
  <w:style w:type="character" w:styleId="Accentuationintense">
    <w:name w:val="Intense Emphasis"/>
    <w:basedOn w:val="Policepardfaut"/>
    <w:uiPriority w:val="21"/>
    <w:qFormat/>
    <w:rsid w:val="001B2EF0"/>
    <w:rPr>
      <w:i/>
      <w:iCs/>
      <w:color w:val="0F4761" w:themeColor="accent1" w:themeShade="BF"/>
    </w:rPr>
  </w:style>
  <w:style w:type="paragraph" w:styleId="Citationintense">
    <w:name w:val="Intense Quote"/>
    <w:basedOn w:val="Normal"/>
    <w:next w:val="Normal"/>
    <w:link w:val="CitationintenseCar"/>
    <w:uiPriority w:val="30"/>
    <w:qFormat/>
    <w:rsid w:val="001B2E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B2EF0"/>
    <w:rPr>
      <w:i/>
      <w:iCs/>
      <w:color w:val="0F4761" w:themeColor="accent1" w:themeShade="BF"/>
    </w:rPr>
  </w:style>
  <w:style w:type="character" w:styleId="Rfrenceintense">
    <w:name w:val="Intense Reference"/>
    <w:basedOn w:val="Policepardfaut"/>
    <w:uiPriority w:val="32"/>
    <w:qFormat/>
    <w:rsid w:val="001B2EF0"/>
    <w:rPr>
      <w:b/>
      <w:bCs/>
      <w:smallCaps/>
      <w:color w:val="0F4761" w:themeColor="accent1" w:themeShade="BF"/>
      <w:spacing w:val="5"/>
    </w:rPr>
  </w:style>
  <w:style w:type="table" w:styleId="Grilledutableau">
    <w:name w:val="Table Grid"/>
    <w:basedOn w:val="TableauNormal"/>
    <w:uiPriority w:val="39"/>
    <w:rsid w:val="001B2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D66AA"/>
    <w:rPr>
      <w:color w:val="467886" w:themeColor="hyperlink"/>
      <w:u w:val="single"/>
    </w:rPr>
  </w:style>
  <w:style w:type="paragraph" w:styleId="En-tte">
    <w:name w:val="header"/>
    <w:basedOn w:val="Normal"/>
    <w:link w:val="En-tteCar"/>
    <w:uiPriority w:val="99"/>
    <w:unhideWhenUsed/>
    <w:rsid w:val="001E111B"/>
    <w:pPr>
      <w:tabs>
        <w:tab w:val="center" w:pos="4536"/>
        <w:tab w:val="right" w:pos="9072"/>
      </w:tabs>
      <w:spacing w:after="0" w:line="240" w:lineRule="auto"/>
    </w:pPr>
  </w:style>
  <w:style w:type="character" w:customStyle="1" w:styleId="En-tteCar">
    <w:name w:val="En-tête Car"/>
    <w:basedOn w:val="Policepardfaut"/>
    <w:link w:val="En-tte"/>
    <w:uiPriority w:val="99"/>
    <w:rsid w:val="001E111B"/>
  </w:style>
  <w:style w:type="paragraph" w:styleId="Pieddepage">
    <w:name w:val="footer"/>
    <w:basedOn w:val="Normal"/>
    <w:link w:val="PieddepageCar"/>
    <w:uiPriority w:val="99"/>
    <w:unhideWhenUsed/>
    <w:rsid w:val="001E111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E111B"/>
  </w:style>
  <w:style w:type="paragraph" w:styleId="NormalWeb">
    <w:name w:val="Normal (Web)"/>
    <w:basedOn w:val="Normal"/>
    <w:uiPriority w:val="99"/>
    <w:unhideWhenUsed/>
    <w:rsid w:val="005E1AC9"/>
    <w:pPr>
      <w:spacing w:before="100" w:beforeAutospacing="1" w:after="100" w:afterAutospacing="1" w:line="240" w:lineRule="auto"/>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Initiative de Résurgence du mouvement Abolitionniste</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2C3E581A-7300-4A10-AB0B-FB5F0751879A}">
  <ds:schemaRefs>
    <ds:schemaRef ds:uri="http://schemas.openxmlformats.org/officeDocument/2006/bibliography"/>
  </ds:schemaRefs>
</ds:datastoreItem>
</file>

<file path=customXml/itemProps2.xml><?xml version="1.0" encoding="utf-8"?>
<ds:datastoreItem xmlns:ds="http://schemas.openxmlformats.org/officeDocument/2006/customXml" ds:itemID="{3BB5F468-3EF8-4EBD-A882-F752AD2824D5}"/>
</file>

<file path=customXml/itemProps3.xml><?xml version="1.0" encoding="utf-8"?>
<ds:datastoreItem xmlns:ds="http://schemas.openxmlformats.org/officeDocument/2006/customXml" ds:itemID="{20B79F3F-E1B3-49C9-8B6E-3C26F2C536F3}"/>
</file>

<file path=customXml/itemProps4.xml><?xml version="1.0" encoding="utf-8"?>
<ds:datastoreItem xmlns:ds="http://schemas.openxmlformats.org/officeDocument/2006/customXml" ds:itemID="{0127598E-D7A7-4E48-A199-323FFA250BEB}"/>
</file>

<file path=docProps/app.xml><?xml version="1.0" encoding="utf-8"?>
<Properties xmlns="http://schemas.openxmlformats.org/officeDocument/2006/extended-properties" xmlns:vt="http://schemas.openxmlformats.org/officeDocument/2006/docPropsVTypes">
  <Template>Normal.dotm</Template>
  <TotalTime>6</TotalTime>
  <Pages>5</Pages>
  <Words>1322</Words>
  <Characters>7273</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Hamady Lehbouss</dc:creator>
  <cp:keywords/>
  <dc:description/>
  <cp:lastModifiedBy>Hamady Lehbouss</cp:lastModifiedBy>
  <cp:revision>2</cp:revision>
  <cp:lastPrinted>2025-12-16T11:37:00Z</cp:lastPrinted>
  <dcterms:created xsi:type="dcterms:W3CDTF">2026-01-18T12:16:00Z</dcterms:created>
  <dcterms:modified xsi:type="dcterms:W3CDTF">2026-01-18T12:16:00Z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