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8C5E3" w14:textId="6889EE87" w:rsidR="009378CD" w:rsidRPr="000C7E31" w:rsidRDefault="008770AD" w:rsidP="00920425">
      <w:pPr>
        <w:pStyle w:val="Heading1"/>
      </w:pPr>
      <w:r>
        <w:t>Canadian Human Rights Commission</w:t>
      </w:r>
    </w:p>
    <w:p w14:paraId="7DDB5AFF" w14:textId="5DB8095A" w:rsidR="00DD5EA8" w:rsidRDefault="003B4617" w:rsidP="00A0023A">
      <w:pPr>
        <w:spacing w:after="0"/>
        <w:rPr>
          <w:sz w:val="36"/>
          <w:szCs w:val="36"/>
        </w:rPr>
      </w:pPr>
      <w:r>
        <w:rPr>
          <w:sz w:val="36"/>
          <w:szCs w:val="36"/>
        </w:rPr>
        <w:t>Submission to the Office of the United Nations High Commissioner for Human Rights in response to a</w:t>
      </w:r>
      <w:r w:rsidR="008770AD">
        <w:rPr>
          <w:sz w:val="36"/>
          <w:szCs w:val="36"/>
        </w:rPr>
        <w:t xml:space="preserve"> request for </w:t>
      </w:r>
      <w:proofErr w:type="gramStart"/>
      <w:r w:rsidR="008770AD">
        <w:rPr>
          <w:sz w:val="36"/>
          <w:szCs w:val="36"/>
        </w:rPr>
        <w:t>NHRI good</w:t>
      </w:r>
      <w:proofErr w:type="gramEnd"/>
      <w:r w:rsidR="008770AD">
        <w:rPr>
          <w:sz w:val="36"/>
          <w:szCs w:val="36"/>
        </w:rPr>
        <w:t xml:space="preserve"> practices </w:t>
      </w:r>
      <w:r>
        <w:rPr>
          <w:sz w:val="36"/>
          <w:szCs w:val="36"/>
        </w:rPr>
        <w:t xml:space="preserve">in </w:t>
      </w:r>
      <w:r w:rsidR="008770AD">
        <w:rPr>
          <w:sz w:val="36"/>
          <w:szCs w:val="36"/>
        </w:rPr>
        <w:t xml:space="preserve">the UPR </w:t>
      </w:r>
      <w:r>
        <w:rPr>
          <w:sz w:val="36"/>
          <w:szCs w:val="36"/>
        </w:rPr>
        <w:t>c</w:t>
      </w:r>
      <w:r w:rsidR="008770AD">
        <w:rPr>
          <w:sz w:val="36"/>
          <w:szCs w:val="36"/>
        </w:rPr>
        <w:t xml:space="preserve">ycles </w:t>
      </w:r>
    </w:p>
    <w:p w14:paraId="341F84CC" w14:textId="77777777" w:rsidR="008770AD" w:rsidRDefault="008770AD" w:rsidP="00A0023A">
      <w:pPr>
        <w:spacing w:after="0"/>
        <w:rPr>
          <w:sz w:val="36"/>
          <w:szCs w:val="36"/>
        </w:rPr>
      </w:pPr>
    </w:p>
    <w:p w14:paraId="1950BBD9" w14:textId="77777777" w:rsidR="008770AD" w:rsidRDefault="008770AD" w:rsidP="00A0023A">
      <w:pPr>
        <w:spacing w:after="0"/>
        <w:rPr>
          <w:sz w:val="36"/>
          <w:szCs w:val="36"/>
        </w:rPr>
      </w:pPr>
    </w:p>
    <w:p w14:paraId="32A37837" w14:textId="77777777" w:rsidR="008770AD" w:rsidRDefault="008770AD" w:rsidP="00A0023A">
      <w:pPr>
        <w:spacing w:after="0"/>
        <w:rPr>
          <w:sz w:val="36"/>
          <w:szCs w:val="36"/>
        </w:rPr>
      </w:pPr>
    </w:p>
    <w:p w14:paraId="10F85AAD" w14:textId="51F8BDCA" w:rsidR="008770AD" w:rsidRDefault="008770AD" w:rsidP="00A0023A">
      <w:pPr>
        <w:spacing w:after="0"/>
        <w:rPr>
          <w:sz w:val="36"/>
          <w:szCs w:val="36"/>
        </w:rPr>
        <w:sectPr w:rsidR="008770AD" w:rsidSect="00C22124">
          <w:footerReference w:type="default" r:id="rId7"/>
          <w:headerReference w:type="first" r:id="rId8"/>
          <w:footerReference w:type="first" r:id="rId9"/>
          <w:pgSz w:w="12240" w:h="15840"/>
          <w:pgMar w:top="2040" w:right="1440" w:bottom="1440" w:left="1440" w:header="993" w:footer="720" w:gutter="0"/>
          <w:cols w:space="720"/>
          <w:titlePg/>
          <w:docGrid w:linePitch="360"/>
        </w:sectPr>
      </w:pPr>
      <w:r>
        <w:rPr>
          <w:sz w:val="36"/>
          <w:szCs w:val="36"/>
        </w:rPr>
        <w:t xml:space="preserve">April 2026 </w:t>
      </w:r>
    </w:p>
    <w:p w14:paraId="3519FF1F" w14:textId="77777777" w:rsidR="00EE57EE" w:rsidRDefault="00EE57EE" w:rsidP="00EE57EE">
      <w:pPr>
        <w:pStyle w:val="Heading2"/>
      </w:pPr>
      <w:r>
        <w:lastRenderedPageBreak/>
        <w:t xml:space="preserve">The Canadian Human Rights Commission </w:t>
      </w:r>
    </w:p>
    <w:p w14:paraId="415D26BF" w14:textId="77777777" w:rsidR="00EE57EE" w:rsidRPr="00F037B5" w:rsidRDefault="00EE57EE" w:rsidP="00EE57EE">
      <w:pPr>
        <w:spacing w:line="240" w:lineRule="auto"/>
        <w:contextualSpacing/>
        <w:rPr>
          <w:rFonts w:cs="Arial"/>
          <w:szCs w:val="24"/>
        </w:rPr>
      </w:pPr>
      <w:r w:rsidRPr="00F037B5">
        <w:rPr>
          <w:rFonts w:cs="Arial"/>
          <w:szCs w:val="24"/>
        </w:rPr>
        <w:t xml:space="preserve">The Canadian Human Rights Commission (CHRC) is Canada’s national human rights institution. It has been accredited “A-status” by the Global Alliance of National Human Rights Institutions since 1999 and, most recently, in 2023. </w:t>
      </w:r>
    </w:p>
    <w:p w14:paraId="2DA4491A" w14:textId="77777777" w:rsidR="00EE57EE" w:rsidRPr="00F037B5" w:rsidRDefault="00EE57EE" w:rsidP="00EE57EE">
      <w:pPr>
        <w:spacing w:line="240" w:lineRule="auto"/>
        <w:contextualSpacing/>
        <w:rPr>
          <w:rFonts w:cs="Arial"/>
          <w:szCs w:val="24"/>
        </w:rPr>
      </w:pPr>
    </w:p>
    <w:p w14:paraId="12952A83" w14:textId="77777777" w:rsidR="00EE57EE" w:rsidRPr="00F037B5" w:rsidRDefault="00EE57EE" w:rsidP="00EE57EE">
      <w:pPr>
        <w:spacing w:line="240" w:lineRule="auto"/>
        <w:contextualSpacing/>
        <w:rPr>
          <w:rFonts w:cs="Arial"/>
          <w:szCs w:val="24"/>
        </w:rPr>
      </w:pPr>
      <w:r w:rsidRPr="00F037B5">
        <w:rPr>
          <w:rFonts w:cs="Arial"/>
          <w:szCs w:val="24"/>
        </w:rPr>
        <w:t>Established by Parliament through the Canadian Human Rights Act (CHRA) in 1977</w:t>
      </w:r>
      <w:r w:rsidRPr="00F037B5">
        <w:rPr>
          <w:rStyle w:val="FootnoteReference"/>
          <w:rFonts w:cs="Arial"/>
          <w:szCs w:val="24"/>
        </w:rPr>
        <w:footnoteReference w:id="1"/>
      </w:r>
      <w:r w:rsidRPr="00F037B5">
        <w:rPr>
          <w:rFonts w:cs="Arial"/>
          <w:szCs w:val="24"/>
        </w:rPr>
        <w:t xml:space="preserve"> the Commission has a broad mandate to promote and protect human rights and freedoms in Canada. Operating at arm’s length from the federal government, our mission is to promote an inclusive Canada where every person is free to claim their human rights and create the life that they wish for themselves. Together, we work towards a Canada where everyone can be included, and live a life of dignity, justice and respect </w:t>
      </w:r>
      <w:r>
        <w:rPr>
          <w:rFonts w:cs="Arial"/>
          <w:szCs w:val="24"/>
        </w:rPr>
        <w:t xml:space="preserve">– </w:t>
      </w:r>
      <w:r w:rsidRPr="00F037B5">
        <w:rPr>
          <w:rFonts w:cs="Arial"/>
          <w:szCs w:val="24"/>
        </w:rPr>
        <w:t xml:space="preserve">free from discrimination. </w:t>
      </w:r>
    </w:p>
    <w:p w14:paraId="7F8CA2AD" w14:textId="77777777" w:rsidR="00EE57EE" w:rsidRPr="00F037B5" w:rsidRDefault="00EE57EE" w:rsidP="00EE57EE">
      <w:pPr>
        <w:spacing w:line="240" w:lineRule="auto"/>
        <w:contextualSpacing/>
        <w:rPr>
          <w:rFonts w:cs="Arial"/>
          <w:szCs w:val="24"/>
        </w:rPr>
      </w:pPr>
    </w:p>
    <w:p w14:paraId="5149C4CD" w14:textId="77777777" w:rsidR="00EE57EE" w:rsidRPr="00F037B5" w:rsidRDefault="00EE57EE" w:rsidP="00EE57EE">
      <w:pPr>
        <w:spacing w:line="240" w:lineRule="auto"/>
        <w:contextualSpacing/>
        <w:rPr>
          <w:rFonts w:cs="Arial"/>
          <w:szCs w:val="24"/>
        </w:rPr>
      </w:pPr>
      <w:r w:rsidRPr="00F037B5">
        <w:rPr>
          <w:rFonts w:cs="Arial"/>
          <w:szCs w:val="24"/>
        </w:rPr>
        <w:t xml:space="preserve">We do this in </w:t>
      </w:r>
      <w:r>
        <w:rPr>
          <w:rFonts w:cs="Arial"/>
          <w:szCs w:val="24"/>
        </w:rPr>
        <w:t>many</w:t>
      </w:r>
      <w:r w:rsidRPr="00F037B5">
        <w:rPr>
          <w:rFonts w:cs="Arial"/>
          <w:szCs w:val="24"/>
        </w:rPr>
        <w:t xml:space="preserve"> ways: We advocate for human rights in Canada; </w:t>
      </w:r>
      <w:r>
        <w:rPr>
          <w:rFonts w:cs="Arial"/>
          <w:szCs w:val="24"/>
        </w:rPr>
        <w:t xml:space="preserve">we </w:t>
      </w:r>
      <w:r w:rsidRPr="00817E51">
        <w:rPr>
          <w:rFonts w:cs="Arial"/>
          <w:szCs w:val="24"/>
        </w:rPr>
        <w:t>support the Pay Equity Commissioner, the Accessibility Commissioner, and the Federal Housing Advocate in carrying out their responsibilities under the P</w:t>
      </w:r>
      <w:r>
        <w:rPr>
          <w:rFonts w:cs="Arial"/>
          <w:szCs w:val="24"/>
        </w:rPr>
        <w:t>ay Equity Act</w:t>
      </w:r>
      <w:r w:rsidRPr="00817E51">
        <w:rPr>
          <w:rFonts w:cs="Arial"/>
          <w:szCs w:val="24"/>
        </w:rPr>
        <w:t>, the A</w:t>
      </w:r>
      <w:r>
        <w:rPr>
          <w:rFonts w:cs="Arial"/>
          <w:szCs w:val="24"/>
        </w:rPr>
        <w:t>ccessible Canada Act</w:t>
      </w:r>
      <w:r w:rsidRPr="00817E51">
        <w:rPr>
          <w:rFonts w:cs="Arial"/>
          <w:szCs w:val="24"/>
        </w:rPr>
        <w:t>, and the N</w:t>
      </w:r>
      <w:r>
        <w:rPr>
          <w:rFonts w:cs="Arial"/>
          <w:szCs w:val="24"/>
        </w:rPr>
        <w:t xml:space="preserve">ational </w:t>
      </w:r>
      <w:r w:rsidRPr="00817E51">
        <w:rPr>
          <w:rFonts w:cs="Arial"/>
          <w:szCs w:val="24"/>
        </w:rPr>
        <w:t>H</w:t>
      </w:r>
      <w:r>
        <w:rPr>
          <w:rFonts w:cs="Arial"/>
          <w:szCs w:val="24"/>
        </w:rPr>
        <w:t xml:space="preserve">ousing </w:t>
      </w:r>
      <w:r w:rsidRPr="00817E51">
        <w:rPr>
          <w:rFonts w:cs="Arial"/>
          <w:szCs w:val="24"/>
        </w:rPr>
        <w:t>S</w:t>
      </w:r>
      <w:r>
        <w:rPr>
          <w:rFonts w:cs="Arial"/>
          <w:szCs w:val="24"/>
        </w:rPr>
        <w:t xml:space="preserve">trategy </w:t>
      </w:r>
      <w:r w:rsidRPr="00817E51">
        <w:rPr>
          <w:rFonts w:cs="Arial"/>
          <w:szCs w:val="24"/>
        </w:rPr>
        <w:t>A</w:t>
      </w:r>
      <w:r>
        <w:rPr>
          <w:rFonts w:cs="Arial"/>
          <w:szCs w:val="24"/>
        </w:rPr>
        <w:t>ct</w:t>
      </w:r>
      <w:r w:rsidRPr="00817E51">
        <w:rPr>
          <w:rFonts w:cs="Arial"/>
          <w:szCs w:val="24"/>
        </w:rPr>
        <w:t>, respectively</w:t>
      </w:r>
      <w:r>
        <w:rPr>
          <w:rFonts w:cs="Arial"/>
          <w:szCs w:val="24"/>
        </w:rPr>
        <w:t xml:space="preserve">; </w:t>
      </w:r>
      <w:r w:rsidRPr="00F037B5">
        <w:rPr>
          <w:rFonts w:cs="Arial"/>
          <w:szCs w:val="24"/>
        </w:rPr>
        <w:t>we monitor and enforce regulated entities’ compliance with the requirements under the Employment Equity Act; and we screen and, where possible, help resolve human rights complaints from people in Canada who believe they have experienced discrimination.</w:t>
      </w:r>
    </w:p>
    <w:p w14:paraId="160FD35A" w14:textId="77777777" w:rsidR="00EE57EE" w:rsidRPr="00F037B5" w:rsidRDefault="00EE57EE" w:rsidP="00EE57EE">
      <w:pPr>
        <w:spacing w:after="0" w:line="240" w:lineRule="auto"/>
        <w:contextualSpacing/>
        <w:rPr>
          <w:rFonts w:cs="Arial"/>
          <w:szCs w:val="24"/>
        </w:rPr>
      </w:pPr>
    </w:p>
    <w:p w14:paraId="782BE63B" w14:textId="77777777" w:rsidR="00EE57EE" w:rsidRDefault="00EE57EE" w:rsidP="00EE57EE">
      <w:pPr>
        <w:spacing w:after="0" w:line="240" w:lineRule="auto"/>
        <w:contextualSpacing/>
        <w:rPr>
          <w:rFonts w:cs="Arial"/>
          <w:szCs w:val="24"/>
        </w:rPr>
      </w:pPr>
      <w:r w:rsidRPr="00F037B5">
        <w:rPr>
          <w:rFonts w:cs="Arial"/>
          <w:szCs w:val="24"/>
        </w:rPr>
        <w:t xml:space="preserve">In 2019, the CHRC was </w:t>
      </w:r>
      <w:r>
        <w:rPr>
          <w:rFonts w:cs="Arial"/>
          <w:szCs w:val="24"/>
        </w:rPr>
        <w:t xml:space="preserve">also </w:t>
      </w:r>
      <w:r w:rsidRPr="00F037B5">
        <w:rPr>
          <w:rFonts w:cs="Arial"/>
          <w:szCs w:val="24"/>
        </w:rPr>
        <w:t xml:space="preserve">designated as a body responsible for monitoring the Government of Canada’s implementation of the United Nations Convention on the Rights of Persons with Disabilities, in accordance with article 33.2 of the Convention. </w:t>
      </w:r>
    </w:p>
    <w:p w14:paraId="472C4AA9" w14:textId="77777777" w:rsidR="00EE57EE" w:rsidRPr="00F037B5" w:rsidRDefault="00EE57EE" w:rsidP="00EE57EE">
      <w:pPr>
        <w:spacing w:after="0" w:line="240" w:lineRule="auto"/>
        <w:contextualSpacing/>
        <w:rPr>
          <w:rFonts w:cs="Arial"/>
          <w:szCs w:val="24"/>
        </w:rPr>
      </w:pPr>
    </w:p>
    <w:p w14:paraId="09391E86" w14:textId="77777777" w:rsidR="00EE57EE" w:rsidRDefault="00EE57EE" w:rsidP="00EE57EE">
      <w:pPr>
        <w:spacing w:after="0" w:line="240" w:lineRule="auto"/>
        <w:contextualSpacing/>
      </w:pPr>
      <w:r w:rsidRPr="00F037B5">
        <w:rPr>
          <w:rFonts w:cs="Arial"/>
          <w:szCs w:val="24"/>
        </w:rPr>
        <w:t xml:space="preserve">The CHRC is committed to working with domestic and international partners and stakeholders to ensure continued progress in the protection of human rights, </w:t>
      </w:r>
      <w:r w:rsidRPr="008770AD">
        <w:rPr>
          <w:rFonts w:cs="Arial"/>
          <w:szCs w:val="24"/>
        </w:rPr>
        <w:t>including Canada's implementation of the rights and obligations enshrined in the various human rights treaties to which Canada is a party.</w:t>
      </w:r>
      <w:r w:rsidRPr="00F037B5">
        <w:rPr>
          <w:rFonts w:cs="Arial"/>
          <w:szCs w:val="24"/>
        </w:rPr>
        <w:t xml:space="preserve"> </w:t>
      </w:r>
      <w:r w:rsidRPr="00F037B5">
        <w:t xml:space="preserve">In the spirit of constructive engagement, the CHRC submits this report to the </w:t>
      </w:r>
      <w:r w:rsidRPr="008770AD">
        <w:t>Office of the United Nations High Commissioner for Human Rights</w:t>
      </w:r>
      <w:r>
        <w:t xml:space="preserve"> in response to a request for good practices in the Universal Periodic Review (UPR) cycles. </w:t>
      </w:r>
    </w:p>
    <w:p w14:paraId="6F54A815" w14:textId="77777777" w:rsidR="00EE57EE" w:rsidRPr="008770AD" w:rsidRDefault="00EE57EE" w:rsidP="00EE57EE">
      <w:pPr>
        <w:spacing w:after="0" w:line="240" w:lineRule="auto"/>
        <w:contextualSpacing/>
      </w:pPr>
    </w:p>
    <w:p w14:paraId="1DC130AE" w14:textId="77777777" w:rsidR="00EE57EE" w:rsidRDefault="00EE57EE" w:rsidP="00EE57EE">
      <w:pPr>
        <w:pStyle w:val="Heading2"/>
      </w:pPr>
      <w:r>
        <w:t xml:space="preserve">Good Practices </w:t>
      </w:r>
    </w:p>
    <w:p w14:paraId="17755137" w14:textId="77777777" w:rsidR="00EE57EE" w:rsidRPr="002B3434" w:rsidRDefault="00EE57EE" w:rsidP="00EE57EE">
      <w:pPr>
        <w:rPr>
          <w:lang w:val="en-CA"/>
        </w:rPr>
      </w:pPr>
      <w:r>
        <w:t xml:space="preserve">As Canada’s National Human Rights Institution (NHRI), the CHRC has participated in and contributed to all of Canada’s reviews under the UPR process. </w:t>
      </w:r>
      <w:r>
        <w:rPr>
          <w:lang w:val="en-CA"/>
        </w:rPr>
        <w:t>W</w:t>
      </w:r>
      <w:r w:rsidRPr="002B3434">
        <w:rPr>
          <w:lang w:val="en-CA"/>
        </w:rPr>
        <w:t>e have a particular and important place in the UPR process</w:t>
      </w:r>
      <w:r>
        <w:rPr>
          <w:lang w:val="en-CA"/>
        </w:rPr>
        <w:t xml:space="preserve"> and </w:t>
      </w:r>
      <w:r>
        <w:t xml:space="preserve">have established several practices that have been effective during various stages of the review. These practices include advocacy and awareness </w:t>
      </w:r>
      <w:r>
        <w:lastRenderedPageBreak/>
        <w:t xml:space="preserve">raising, the preparation of a written submission, and active participation in all stages throughout the process. </w:t>
      </w:r>
    </w:p>
    <w:p w14:paraId="0AB961D5" w14:textId="593B1B17" w:rsidR="00EE57EE" w:rsidRDefault="00EE57EE" w:rsidP="00013799">
      <w:pPr>
        <w:pStyle w:val="Heading3"/>
        <w:numPr>
          <w:ilvl w:val="0"/>
          <w:numId w:val="4"/>
        </w:numPr>
      </w:pPr>
      <w:r>
        <w:t xml:space="preserve">Advocacy and </w:t>
      </w:r>
      <w:proofErr w:type="gramStart"/>
      <w:r>
        <w:t>awareness raising</w:t>
      </w:r>
      <w:proofErr w:type="gramEnd"/>
    </w:p>
    <w:p w14:paraId="04EADA5C" w14:textId="011FB8A6" w:rsidR="00EE57EE" w:rsidRDefault="00EE57EE" w:rsidP="00EE57EE">
      <w:r>
        <w:t>Advocacy and awareness raising are central to ensuring that the UPR process is inclusive, informative and leads to meaningful change. To help strengthen the review process and ensure diverse participation, the CHRC</w:t>
      </w:r>
      <w:r w:rsidRPr="00FE1FCB">
        <w:rPr>
          <w:lang w:val="en-CA"/>
        </w:rPr>
        <w:t xml:space="preserve"> raise</w:t>
      </w:r>
      <w:r>
        <w:rPr>
          <w:lang w:val="en-CA"/>
        </w:rPr>
        <w:t>s</w:t>
      </w:r>
      <w:r w:rsidRPr="00FE1FCB">
        <w:rPr>
          <w:lang w:val="en-CA"/>
        </w:rPr>
        <w:t xml:space="preserve"> awareness about the UPR </w:t>
      </w:r>
      <w:r>
        <w:rPr>
          <w:lang w:val="en-CA"/>
        </w:rPr>
        <w:t xml:space="preserve">– at its various stages – </w:t>
      </w:r>
      <w:r w:rsidRPr="00FE1FCB">
        <w:rPr>
          <w:lang w:val="en-CA"/>
        </w:rPr>
        <w:t>with civil society organizations and with provincial and territorial human rights commissions</w:t>
      </w:r>
      <w:r>
        <w:rPr>
          <w:lang w:val="en-CA"/>
        </w:rPr>
        <w:t xml:space="preserve"> in Canada</w:t>
      </w:r>
      <w:r w:rsidRPr="00FE1FCB">
        <w:rPr>
          <w:lang w:val="en-CA"/>
        </w:rPr>
        <w:t xml:space="preserve">. We do this through a variety of means, including through regular engagements and through social media. We also urge the Government to enhance its engagement with both </w:t>
      </w:r>
      <w:proofErr w:type="gramStart"/>
      <w:r w:rsidRPr="00FE1FCB">
        <w:rPr>
          <w:lang w:val="en-CA"/>
        </w:rPr>
        <w:t>groups, and</w:t>
      </w:r>
      <w:proofErr w:type="gramEnd"/>
      <w:r w:rsidRPr="00FE1FCB">
        <w:rPr>
          <w:lang w:val="en-CA"/>
        </w:rPr>
        <w:t xml:space="preserve"> ensure that the recommendations made during the UPR are given due consideration </w:t>
      </w:r>
      <w:r w:rsidRPr="00FE1FCB">
        <w:t>and acted upon in a timely, transparent, participatory and progressive manner.</w:t>
      </w:r>
    </w:p>
    <w:p w14:paraId="40C7B4D1" w14:textId="77777777" w:rsidR="00EE57EE" w:rsidRDefault="00EE57EE" w:rsidP="00EE57EE">
      <w:pPr>
        <w:rPr>
          <w:lang w:val="en-CA"/>
        </w:rPr>
      </w:pPr>
      <w:r>
        <w:rPr>
          <w:lang w:val="en-CA"/>
        </w:rPr>
        <w:t>In addition, recognizing that r</w:t>
      </w:r>
      <w:r w:rsidRPr="00787815">
        <w:rPr>
          <w:lang w:val="en-CA"/>
        </w:rPr>
        <w:t>ecommendations from the UPR can result in meaningful changes and often generate public attention</w:t>
      </w:r>
      <w:r>
        <w:rPr>
          <w:lang w:val="en-CA"/>
        </w:rPr>
        <w:t>,</w:t>
      </w:r>
      <w:r w:rsidRPr="00787815">
        <w:rPr>
          <w:lang w:val="en-CA"/>
        </w:rPr>
        <w:t xml:space="preserve"> the CHRC </w:t>
      </w:r>
      <w:r>
        <w:rPr>
          <w:lang w:val="en-CA"/>
        </w:rPr>
        <w:t>uses</w:t>
      </w:r>
      <w:r w:rsidRPr="00787815">
        <w:rPr>
          <w:lang w:val="en-CA"/>
        </w:rPr>
        <w:t xml:space="preserve"> these recommendations in its advocacy and often refers to these recommendations in both domestic and international reports. </w:t>
      </w:r>
    </w:p>
    <w:p w14:paraId="48709502" w14:textId="67E4D630" w:rsidR="00EE57EE" w:rsidRPr="00F30FB7" w:rsidRDefault="00EE57EE" w:rsidP="00EE57EE">
      <w:pPr>
        <w:rPr>
          <w:lang w:val="en-CA"/>
        </w:rPr>
      </w:pPr>
      <w:r>
        <w:rPr>
          <w:lang w:val="en-CA"/>
        </w:rPr>
        <w:t>The CHRC has also appeared before a Parliamentary Committee in relation to their study o</w:t>
      </w:r>
      <w:r w:rsidR="001A7603">
        <w:rPr>
          <w:lang w:val="en-CA"/>
        </w:rPr>
        <w:t>n</w:t>
      </w:r>
      <w:r>
        <w:rPr>
          <w:lang w:val="en-CA"/>
        </w:rPr>
        <w:t xml:space="preserve"> the implementation of Canada’s UPR, where we spoke to the advocacy issues and recommendations that we raised during Canada’s most recent UPR, and highlighted our support for improvements to the </w:t>
      </w:r>
      <w:r w:rsidR="00170811">
        <w:rPr>
          <w:lang w:val="en-CA"/>
        </w:rPr>
        <w:t xml:space="preserve">process for </w:t>
      </w:r>
      <w:r>
        <w:rPr>
          <w:lang w:val="en-CA"/>
        </w:rPr>
        <w:t xml:space="preserve">implementation of Canada’s international human rights obligations. </w:t>
      </w:r>
    </w:p>
    <w:p w14:paraId="22115AD3" w14:textId="54F2AAEE" w:rsidR="00EE57EE" w:rsidRPr="00F30FB7" w:rsidRDefault="00EE57EE" w:rsidP="00013799">
      <w:pPr>
        <w:pStyle w:val="Heading3"/>
        <w:numPr>
          <w:ilvl w:val="0"/>
          <w:numId w:val="4"/>
        </w:numPr>
      </w:pPr>
      <w:r>
        <w:t xml:space="preserve">Preparation of written submission </w:t>
      </w:r>
    </w:p>
    <w:p w14:paraId="0ED6161D" w14:textId="77777777" w:rsidR="00EE57EE" w:rsidRPr="002B3434" w:rsidRDefault="00EE57EE" w:rsidP="00EE57EE">
      <w:pPr>
        <w:rPr>
          <w:b/>
          <w:bCs/>
          <w:lang w:val="en-CA"/>
        </w:rPr>
      </w:pPr>
      <w:r w:rsidRPr="002B3434">
        <w:rPr>
          <w:lang w:val="en-CA"/>
        </w:rPr>
        <w:t>The CHRC</w:t>
      </w:r>
      <w:r>
        <w:rPr>
          <w:lang w:val="en-CA"/>
        </w:rPr>
        <w:t xml:space="preserve"> </w:t>
      </w:r>
      <w:r w:rsidRPr="002B3434">
        <w:rPr>
          <w:lang w:val="en-CA"/>
        </w:rPr>
        <w:t xml:space="preserve">regularly prepares a report to the United Nations Human Rights Council </w:t>
      </w:r>
      <w:proofErr w:type="gramStart"/>
      <w:r w:rsidRPr="002B3434">
        <w:rPr>
          <w:lang w:val="en-CA"/>
        </w:rPr>
        <w:t>on the occasion of</w:t>
      </w:r>
      <w:proofErr w:type="gramEnd"/>
      <w:r w:rsidRPr="002B3434">
        <w:rPr>
          <w:lang w:val="en-CA"/>
        </w:rPr>
        <w:t xml:space="preserve"> Canada’s </w:t>
      </w:r>
      <w:r>
        <w:rPr>
          <w:lang w:val="en-CA"/>
        </w:rPr>
        <w:t>UPR</w:t>
      </w:r>
      <w:r w:rsidRPr="002B3434">
        <w:rPr>
          <w:lang w:val="en-CA"/>
        </w:rPr>
        <w:t xml:space="preserve">. We take a focused approach when preparing these reports by choosing a topic that is of concern to various stakeholder constituencies, is connected to various thematic priorities, and allows us to put in a clear ask/recommendation to the government so that we may measure whether it has or hasn’t been achieved. </w:t>
      </w:r>
    </w:p>
    <w:p w14:paraId="461B189F" w14:textId="77777777" w:rsidR="00EE57EE" w:rsidRPr="002B3434" w:rsidRDefault="00EE57EE" w:rsidP="00EE57EE">
      <w:pPr>
        <w:rPr>
          <w:lang w:val="en-CA"/>
        </w:rPr>
      </w:pPr>
      <w:r w:rsidRPr="002B3434">
        <w:rPr>
          <w:lang w:val="en-CA"/>
        </w:rPr>
        <w:t xml:space="preserve">For example, during Canada’s last UPR, the CHRC focused on a singular cross-cutting issue of long-standing concern: people deprived of their liberty. In addition, the CHRC provided a specific and clear recommendation in relation to this issue that could be easily measured: that Canada ratify the Optional Protocol to the Convention against Torture. </w:t>
      </w:r>
    </w:p>
    <w:p w14:paraId="188C6D8C" w14:textId="77777777" w:rsidR="00EE57EE" w:rsidRDefault="00EE57EE" w:rsidP="00EE57EE">
      <w:pPr>
        <w:rPr>
          <w:lang w:val="en-CA"/>
        </w:rPr>
      </w:pPr>
      <w:r w:rsidRPr="002B3434">
        <w:rPr>
          <w:lang w:val="en-CA"/>
        </w:rPr>
        <w:t xml:space="preserve">The CHRC raises awareness of its UPR submission, and the issues and recommendations contained within its submission, in a variety of ways, including through events and engagements, on social media and in other reports. For instance, our most recent UPR submission was referenced in a national news article and was also referenced in the CHRC’s Annual Report. </w:t>
      </w:r>
    </w:p>
    <w:p w14:paraId="5E5348E8" w14:textId="77777777" w:rsidR="00EE57EE" w:rsidRDefault="00EE57EE" w:rsidP="00EE57EE">
      <w:pPr>
        <w:rPr>
          <w:lang w:val="en-CA"/>
        </w:rPr>
      </w:pPr>
      <w:r>
        <w:rPr>
          <w:lang w:val="en-CA"/>
        </w:rPr>
        <w:lastRenderedPageBreak/>
        <w:t>In addition, d</w:t>
      </w:r>
      <w:r w:rsidRPr="002B3434">
        <w:rPr>
          <w:lang w:val="en-CA"/>
        </w:rPr>
        <w:t>uring Canada’s most recent UPR, the CHRC provided a subsequent submission to the Department of Canadian Heritage relating to Canada’s response to the recommendations made during the 4</w:t>
      </w:r>
      <w:r w:rsidRPr="002B3434">
        <w:rPr>
          <w:vertAlign w:val="superscript"/>
          <w:lang w:val="en-CA"/>
        </w:rPr>
        <w:t>th</w:t>
      </w:r>
      <w:r w:rsidRPr="002B3434">
        <w:rPr>
          <w:lang w:val="en-CA"/>
        </w:rPr>
        <w:t xml:space="preserve"> cycle of the UPR. Through this submission, we were able to provide our views on which recommendations should be prioritized and accepted, and what Canada can do to advance their implementation. </w:t>
      </w:r>
    </w:p>
    <w:p w14:paraId="3C20DD33" w14:textId="1F6879B5" w:rsidR="00EE57EE" w:rsidRPr="002B3434" w:rsidRDefault="00EE57EE" w:rsidP="00013799">
      <w:pPr>
        <w:pStyle w:val="Heading3"/>
        <w:numPr>
          <w:ilvl w:val="0"/>
          <w:numId w:val="4"/>
        </w:numPr>
      </w:pPr>
      <w:r>
        <w:t xml:space="preserve">Participation in all stages </w:t>
      </w:r>
    </w:p>
    <w:p w14:paraId="53D2BD1A" w14:textId="77777777" w:rsidR="00EE57EE" w:rsidRPr="002B3434" w:rsidRDefault="00EE57EE" w:rsidP="00EE57EE">
      <w:pPr>
        <w:rPr>
          <w:lang w:val="en-CA"/>
        </w:rPr>
      </w:pPr>
      <w:r w:rsidRPr="002B3434">
        <w:rPr>
          <w:lang w:val="en-CA"/>
        </w:rPr>
        <w:t>The CHRC participated extensively in the 4</w:t>
      </w:r>
      <w:r w:rsidRPr="002B3434">
        <w:rPr>
          <w:vertAlign w:val="superscript"/>
          <w:lang w:val="en-CA"/>
        </w:rPr>
        <w:t>th</w:t>
      </w:r>
      <w:r w:rsidRPr="002B3434">
        <w:rPr>
          <w:lang w:val="en-CA"/>
        </w:rPr>
        <w:t xml:space="preserve"> UPR of Canada</w:t>
      </w:r>
      <w:r>
        <w:rPr>
          <w:lang w:val="en-CA"/>
        </w:rPr>
        <w:t xml:space="preserve">. In addition to providing </w:t>
      </w:r>
      <w:r w:rsidRPr="002B3434">
        <w:rPr>
          <w:lang w:val="en-CA"/>
        </w:rPr>
        <w:t>a written submission to the process</w:t>
      </w:r>
      <w:r>
        <w:rPr>
          <w:lang w:val="en-CA"/>
        </w:rPr>
        <w:t xml:space="preserve">, the CHRC also participated </w:t>
      </w:r>
      <w:r w:rsidRPr="002B3434">
        <w:rPr>
          <w:lang w:val="en-CA"/>
        </w:rPr>
        <w:t>in the UPR Pre-session, which provides a forum for collaboration and information sharing among States and CSOs</w:t>
      </w:r>
      <w:r>
        <w:rPr>
          <w:lang w:val="en-CA"/>
        </w:rPr>
        <w:t>. This</w:t>
      </w:r>
      <w:r w:rsidRPr="002B3434">
        <w:rPr>
          <w:lang w:val="en-CA"/>
        </w:rPr>
        <w:t xml:space="preserve"> allow</w:t>
      </w:r>
      <w:r>
        <w:rPr>
          <w:lang w:val="en-CA"/>
        </w:rPr>
        <w:t>ed</w:t>
      </w:r>
      <w:r w:rsidRPr="002B3434">
        <w:rPr>
          <w:lang w:val="en-CA"/>
        </w:rPr>
        <w:t xml:space="preserve"> the CHRC to share key issues and recommendations contained in its report in advance of the UPR session</w:t>
      </w:r>
      <w:r>
        <w:rPr>
          <w:lang w:val="en-CA"/>
        </w:rPr>
        <w:t>, including by</w:t>
      </w:r>
      <w:r w:rsidRPr="002B3434">
        <w:rPr>
          <w:lang w:val="en-CA"/>
        </w:rPr>
        <w:t xml:space="preserve"> participating in </w:t>
      </w:r>
      <w:r>
        <w:rPr>
          <w:lang w:val="en-CA"/>
        </w:rPr>
        <w:t>a</w:t>
      </w:r>
      <w:r w:rsidRPr="002B3434">
        <w:rPr>
          <w:lang w:val="en-CA"/>
        </w:rPr>
        <w:t xml:space="preserve"> pre-sessional briefing for Member States organized by UPR-Info in Geneva</w:t>
      </w:r>
      <w:r>
        <w:rPr>
          <w:lang w:val="en-CA"/>
        </w:rPr>
        <w:t xml:space="preserve">. This participation </w:t>
      </w:r>
      <w:r w:rsidRPr="002B3434">
        <w:rPr>
          <w:lang w:val="en-CA"/>
        </w:rPr>
        <w:t xml:space="preserve">included developing a “fact sheet” or handout with </w:t>
      </w:r>
      <w:r>
        <w:rPr>
          <w:lang w:val="en-CA"/>
        </w:rPr>
        <w:t>the CHRC’s</w:t>
      </w:r>
      <w:r w:rsidRPr="002B3434">
        <w:rPr>
          <w:lang w:val="en-CA"/>
        </w:rPr>
        <w:t xml:space="preserve"> key issues and recommendations for delegations to use as a practical tool</w:t>
      </w:r>
      <w:r>
        <w:rPr>
          <w:lang w:val="en-CA"/>
        </w:rPr>
        <w:t xml:space="preserve">. </w:t>
      </w:r>
    </w:p>
    <w:p w14:paraId="56AD6489" w14:textId="77777777" w:rsidR="00EE57EE" w:rsidRDefault="00EE57EE" w:rsidP="00EE57EE">
      <w:pPr>
        <w:rPr>
          <w:lang w:val="en-CA"/>
        </w:rPr>
      </w:pPr>
      <w:r>
        <w:rPr>
          <w:lang w:val="en-CA"/>
        </w:rPr>
        <w:t xml:space="preserve">In addition to </w:t>
      </w:r>
      <w:r w:rsidRPr="002B3434">
        <w:rPr>
          <w:lang w:val="en-CA"/>
        </w:rPr>
        <w:t>observing the review itself</w:t>
      </w:r>
      <w:r>
        <w:rPr>
          <w:lang w:val="en-CA"/>
        </w:rPr>
        <w:t>, t</w:t>
      </w:r>
      <w:r w:rsidRPr="002B3434">
        <w:rPr>
          <w:lang w:val="en-CA"/>
        </w:rPr>
        <w:t>he CHRC also provided a statement to the Human Rights Council during the adoption of the outcomes of Canada’s 4</w:t>
      </w:r>
      <w:r w:rsidRPr="002B3434">
        <w:rPr>
          <w:vertAlign w:val="superscript"/>
          <w:lang w:val="en-CA"/>
        </w:rPr>
        <w:t>th</w:t>
      </w:r>
      <w:r w:rsidRPr="002B3434">
        <w:rPr>
          <w:lang w:val="en-CA"/>
        </w:rPr>
        <w:t xml:space="preserve"> UPR, where we thanked Member States for taking up our recommendations during the review, and offered our support and collaboration on these important issues going forward. </w:t>
      </w:r>
    </w:p>
    <w:p w14:paraId="54F6D0A8" w14:textId="54F992A2" w:rsidR="00EE57EE" w:rsidRPr="003B4617" w:rsidRDefault="00EE57EE" w:rsidP="00EE57EE">
      <w:pPr>
        <w:rPr>
          <w:lang w:val="en-CA"/>
        </w:rPr>
      </w:pPr>
      <w:r w:rsidRPr="003B4617">
        <w:rPr>
          <w:lang w:val="en-CA"/>
        </w:rPr>
        <w:t xml:space="preserve">Overall, </w:t>
      </w:r>
      <w:r w:rsidRPr="002B3434">
        <w:rPr>
          <w:lang w:val="en-CA"/>
        </w:rPr>
        <w:t xml:space="preserve">practices </w:t>
      </w:r>
      <w:r w:rsidR="00A72147">
        <w:rPr>
          <w:lang w:val="en-CA"/>
        </w:rPr>
        <w:t xml:space="preserve">that </w:t>
      </w:r>
      <w:r>
        <w:rPr>
          <w:lang w:val="en-CA"/>
        </w:rPr>
        <w:t xml:space="preserve">we have found effective </w:t>
      </w:r>
      <w:r w:rsidR="00A72147">
        <w:rPr>
          <w:lang w:val="en-CA"/>
        </w:rPr>
        <w:t xml:space="preserve">during various stages of the UPR process </w:t>
      </w:r>
      <w:r w:rsidRPr="002B3434">
        <w:rPr>
          <w:lang w:val="en-CA"/>
        </w:rPr>
        <w:t xml:space="preserve">include: </w:t>
      </w:r>
    </w:p>
    <w:p w14:paraId="1BAFA4A9" w14:textId="77777777" w:rsidR="00EE57EE" w:rsidRPr="003B4617" w:rsidRDefault="00EE57EE" w:rsidP="00EE57EE">
      <w:pPr>
        <w:pStyle w:val="ListParagraph"/>
        <w:numPr>
          <w:ilvl w:val="0"/>
          <w:numId w:val="1"/>
        </w:numPr>
        <w:rPr>
          <w:lang w:val="en-CA"/>
        </w:rPr>
      </w:pPr>
      <w:r w:rsidRPr="003B4617">
        <w:rPr>
          <w:lang w:val="en-CA"/>
        </w:rPr>
        <w:t xml:space="preserve">Using the database created by UPR-Info to review a State’s previous recommendations and responses during its last/most recent UPR, as this helps to determine possible developments since the previous review as well as long-standing issues that may require </w:t>
      </w:r>
      <w:proofErr w:type="gramStart"/>
      <w:r w:rsidRPr="003B4617">
        <w:rPr>
          <w:lang w:val="en-CA"/>
        </w:rPr>
        <w:t>attention;</w:t>
      </w:r>
      <w:proofErr w:type="gramEnd"/>
      <w:r w:rsidRPr="003B4617">
        <w:rPr>
          <w:lang w:val="en-CA"/>
        </w:rPr>
        <w:t xml:space="preserve"> </w:t>
      </w:r>
    </w:p>
    <w:p w14:paraId="3C4CA2E3" w14:textId="552456F9" w:rsidR="00EE57EE" w:rsidRPr="003B4617" w:rsidRDefault="00EE57EE" w:rsidP="00EE57EE">
      <w:pPr>
        <w:pStyle w:val="ListParagraph"/>
        <w:numPr>
          <w:ilvl w:val="0"/>
          <w:numId w:val="1"/>
        </w:numPr>
        <w:rPr>
          <w:lang w:val="en-CA"/>
        </w:rPr>
      </w:pPr>
      <w:r w:rsidRPr="003B4617">
        <w:rPr>
          <w:lang w:val="en-CA"/>
        </w:rPr>
        <w:t>Being strategic in written submissions</w:t>
      </w:r>
      <w:r w:rsidR="00A72147">
        <w:rPr>
          <w:lang w:val="en-CA"/>
        </w:rPr>
        <w:t xml:space="preserve"> and advocacy efforts</w:t>
      </w:r>
      <w:r w:rsidRPr="003B4617">
        <w:rPr>
          <w:lang w:val="en-CA"/>
        </w:rPr>
        <w:t xml:space="preserve"> to ensure focused attention on important human right issues of concern</w:t>
      </w:r>
      <w:r w:rsidR="00A72147">
        <w:rPr>
          <w:lang w:val="en-CA"/>
        </w:rPr>
        <w:t>,</w:t>
      </w:r>
      <w:r w:rsidRPr="003B4617">
        <w:rPr>
          <w:lang w:val="en-CA"/>
        </w:rPr>
        <w:t xml:space="preserve"> and providing concrete recommendations that can be easily measured; and </w:t>
      </w:r>
    </w:p>
    <w:p w14:paraId="6311C0D8" w14:textId="6EDE999B" w:rsidR="00EE57EE" w:rsidRDefault="00EE57EE" w:rsidP="00A22780">
      <w:pPr>
        <w:pStyle w:val="ListParagraph"/>
        <w:numPr>
          <w:ilvl w:val="0"/>
          <w:numId w:val="1"/>
        </w:numPr>
        <w:spacing w:after="0"/>
        <w:rPr>
          <w:lang w:val="en-CA"/>
        </w:rPr>
      </w:pPr>
      <w:r w:rsidRPr="003B4617">
        <w:rPr>
          <w:lang w:val="en-CA"/>
        </w:rPr>
        <w:t>Engaging with civil society at various stages</w:t>
      </w:r>
      <w:r w:rsidR="00A72147">
        <w:rPr>
          <w:lang w:val="en-CA"/>
        </w:rPr>
        <w:t xml:space="preserve"> </w:t>
      </w:r>
      <w:r w:rsidRPr="003B4617">
        <w:rPr>
          <w:lang w:val="en-CA"/>
        </w:rPr>
        <w:t xml:space="preserve">– including during the UPR Pre-session – to coordinate areas of focus and ensure that all key areas are covered. </w:t>
      </w:r>
    </w:p>
    <w:p w14:paraId="3B200B44" w14:textId="77777777" w:rsidR="00EE57EE" w:rsidRPr="003B4617" w:rsidRDefault="00EE57EE" w:rsidP="00A22780">
      <w:pPr>
        <w:pStyle w:val="ListParagraph"/>
        <w:spacing w:after="0"/>
        <w:rPr>
          <w:lang w:val="en-CA"/>
        </w:rPr>
      </w:pPr>
    </w:p>
    <w:p w14:paraId="575CFFA7" w14:textId="77777777" w:rsidR="00EE57EE" w:rsidRPr="008770AD" w:rsidRDefault="00EE57EE" w:rsidP="00EE57EE">
      <w:pPr>
        <w:pStyle w:val="Heading2"/>
      </w:pPr>
      <w:r w:rsidRPr="00A22780">
        <w:t>Suggested Innovations</w:t>
      </w:r>
      <w:r>
        <w:t xml:space="preserve"> </w:t>
      </w:r>
    </w:p>
    <w:p w14:paraId="7D69BA87" w14:textId="28DDFA2C" w:rsidR="00EC3C69" w:rsidRDefault="001A7603" w:rsidP="00EE57EE">
      <w:pPr>
        <w:pStyle w:val="Heading2"/>
        <w:rPr>
          <w:b w:val="0"/>
          <w:bCs w:val="0"/>
          <w:sz w:val="24"/>
          <w:szCs w:val="22"/>
          <w:lang w:val="en-CA"/>
        </w:rPr>
      </w:pPr>
      <w:r w:rsidRPr="001A7603">
        <w:rPr>
          <w:b w:val="0"/>
          <w:bCs w:val="0"/>
          <w:sz w:val="24"/>
          <w:szCs w:val="22"/>
          <w:lang w:val="en-CA"/>
        </w:rPr>
        <w:t xml:space="preserve">The CHRC remains concerned about Canada’s lack of progress in implementing the recommendations that have come from the international human rights system, including those made </w:t>
      </w:r>
      <w:r>
        <w:rPr>
          <w:b w:val="0"/>
          <w:bCs w:val="0"/>
          <w:sz w:val="24"/>
          <w:szCs w:val="22"/>
          <w:lang w:val="en-CA"/>
        </w:rPr>
        <w:t>through the UPR process</w:t>
      </w:r>
      <w:r w:rsidRPr="001A7603">
        <w:rPr>
          <w:b w:val="0"/>
          <w:bCs w:val="0"/>
          <w:sz w:val="24"/>
          <w:szCs w:val="22"/>
          <w:lang w:val="en-CA"/>
        </w:rPr>
        <w:t>. The CHRC believes that tackling the structural inadequacies and practical ineffectiveness of the current system for implementation of Canada’s international human rights obligations would play a significant role in addressing this issue.</w:t>
      </w:r>
    </w:p>
    <w:p w14:paraId="4EC46B04" w14:textId="050547F8" w:rsidR="001A7603" w:rsidRDefault="001A7603" w:rsidP="001A7603">
      <w:r>
        <w:t>The</w:t>
      </w:r>
      <w:r w:rsidRPr="001A7603">
        <w:t xml:space="preserve"> current system continues to perpetuate a patchwork approach to progress without a foundational structure of monitoring and implementation of interdependent, interrelated, and </w:t>
      </w:r>
      <w:r w:rsidRPr="001A7603">
        <w:lastRenderedPageBreak/>
        <w:t>indivisible human rights. The CHRC believes strongly that, to effectively implement the recommendations made to Canada during th</w:t>
      </w:r>
      <w:r>
        <w:t>e UPR</w:t>
      </w:r>
      <w:r w:rsidRPr="001A7603">
        <w:t xml:space="preserve"> and other reviews, it is imperative that substantial, meaningful and coordinated progress be made in ensuring a robust implementation and monitoring framework.</w:t>
      </w:r>
      <w:r w:rsidR="00170811">
        <w:t xml:space="preserve"> To this end, we feel that the UPR process could be strengthened through an enhanced focus during reviews on mechanisms for implementation and follow-up.</w:t>
      </w:r>
    </w:p>
    <w:p w14:paraId="3F147EA9" w14:textId="77777777" w:rsidR="001A7603" w:rsidRDefault="001A7603" w:rsidP="001A7603">
      <w:r>
        <w:t xml:space="preserve">The CHRC has expressed support for the development and adoption of a new </w:t>
      </w:r>
      <w:r w:rsidRPr="001A7603">
        <w:t xml:space="preserve">national framework for international human rights implementation. The CHRC supports the position taken by civil society partners that such a framework should include: </w:t>
      </w:r>
    </w:p>
    <w:p w14:paraId="578A7752" w14:textId="77777777" w:rsidR="001A7603" w:rsidRPr="001A7603" w:rsidRDefault="001A7603" w:rsidP="001A7603">
      <w:pPr>
        <w:pStyle w:val="ListParagraph"/>
        <w:numPr>
          <w:ilvl w:val="0"/>
          <w:numId w:val="3"/>
        </w:numPr>
        <w:rPr>
          <w:lang w:val="en-CA"/>
        </w:rPr>
      </w:pPr>
      <w:r w:rsidRPr="001A7603">
        <w:t xml:space="preserve">clear public commitments to international human rights implementation from all federal, provincial and territorial </w:t>
      </w:r>
      <w:proofErr w:type="gramStart"/>
      <w:r w:rsidRPr="001A7603">
        <w:t>governments;</w:t>
      </w:r>
      <w:proofErr w:type="gramEnd"/>
      <w:r w:rsidRPr="001A7603">
        <w:t xml:space="preserve"> </w:t>
      </w:r>
    </w:p>
    <w:p w14:paraId="660EB6C6" w14:textId="77777777" w:rsidR="001A7603" w:rsidRPr="001A7603" w:rsidRDefault="001A7603" w:rsidP="001A7603">
      <w:pPr>
        <w:pStyle w:val="ListParagraph"/>
        <w:numPr>
          <w:ilvl w:val="0"/>
          <w:numId w:val="3"/>
        </w:numPr>
        <w:rPr>
          <w:lang w:val="en-CA"/>
        </w:rPr>
      </w:pPr>
      <w:r w:rsidRPr="001A7603">
        <w:t xml:space="preserve">adoption of federal, provincial and territorial laws enshrining the obligations, mechanisms, and public reporting requirements related to </w:t>
      </w:r>
      <w:proofErr w:type="gramStart"/>
      <w:r w:rsidRPr="001A7603">
        <w:t>implementation;</w:t>
      </w:r>
      <w:proofErr w:type="gramEnd"/>
    </w:p>
    <w:p w14:paraId="10A79B08" w14:textId="77777777" w:rsidR="001A7603" w:rsidRPr="001A7603" w:rsidRDefault="001A7603" w:rsidP="001A7603">
      <w:pPr>
        <w:pStyle w:val="ListParagraph"/>
        <w:numPr>
          <w:ilvl w:val="0"/>
          <w:numId w:val="3"/>
        </w:numPr>
        <w:rPr>
          <w:lang w:val="en-CA"/>
        </w:rPr>
      </w:pPr>
      <w:r w:rsidRPr="001A7603">
        <w:t xml:space="preserve">improved consultation and engagement processes with Indigenous Peoples’ organizations, civil society, and human rights </w:t>
      </w:r>
      <w:proofErr w:type="gramStart"/>
      <w:r w:rsidRPr="001A7603">
        <w:t>commissions;</w:t>
      </w:r>
      <w:proofErr w:type="gramEnd"/>
    </w:p>
    <w:p w14:paraId="66658F93" w14:textId="77777777" w:rsidR="001A7603" w:rsidRPr="001A7603" w:rsidRDefault="001A7603" w:rsidP="001A7603">
      <w:pPr>
        <w:pStyle w:val="ListParagraph"/>
        <w:numPr>
          <w:ilvl w:val="0"/>
          <w:numId w:val="3"/>
        </w:numPr>
        <w:rPr>
          <w:lang w:val="en-CA"/>
        </w:rPr>
      </w:pPr>
      <w:r w:rsidRPr="001A7603">
        <w:t xml:space="preserve">an enhanced role for Parliament and </w:t>
      </w:r>
      <w:proofErr w:type="gramStart"/>
      <w:r w:rsidRPr="001A7603">
        <w:t>legislatures</w:t>
      </w:r>
      <w:proofErr w:type="gramEnd"/>
      <w:r w:rsidRPr="001A7603">
        <w:t>; and</w:t>
      </w:r>
    </w:p>
    <w:p w14:paraId="619C1D06" w14:textId="23A0AEFB" w:rsidR="001A7603" w:rsidRPr="00F14FA9" w:rsidRDefault="001A7603" w:rsidP="001A7603">
      <w:pPr>
        <w:pStyle w:val="ListParagraph"/>
        <w:numPr>
          <w:ilvl w:val="0"/>
          <w:numId w:val="3"/>
        </w:numPr>
        <w:rPr>
          <w:lang w:val="en-CA"/>
        </w:rPr>
      </w:pPr>
      <w:r w:rsidRPr="001A7603">
        <w:t xml:space="preserve">increased resourcing, including </w:t>
      </w:r>
      <w:proofErr w:type="gramStart"/>
      <w:r w:rsidRPr="001A7603">
        <w:t>to support</w:t>
      </w:r>
      <w:proofErr w:type="gramEnd"/>
      <w:r w:rsidRPr="001A7603">
        <w:t xml:space="preserve"> civil society.</w:t>
      </w:r>
    </w:p>
    <w:p w14:paraId="75FB3317" w14:textId="6B0D99E4" w:rsidR="00F14FA9" w:rsidRPr="00F14FA9" w:rsidRDefault="00F14FA9" w:rsidP="00F14FA9">
      <w:pPr>
        <w:rPr>
          <w:lang w:val="en-CA"/>
        </w:rPr>
      </w:pPr>
      <w:r>
        <w:rPr>
          <w:lang w:val="en-CA"/>
        </w:rPr>
        <w:t xml:space="preserve">This </w:t>
      </w:r>
      <w:r w:rsidR="00A22780">
        <w:rPr>
          <w:lang w:val="en-CA"/>
        </w:rPr>
        <w:t xml:space="preserve">national </w:t>
      </w:r>
      <w:r>
        <w:rPr>
          <w:lang w:val="en-CA"/>
        </w:rPr>
        <w:t xml:space="preserve">framework would create an integrated approach that would ultimately better assist the CHRC, as Canada’s NHRI, </w:t>
      </w:r>
      <w:r w:rsidR="00A22780">
        <w:rPr>
          <w:lang w:val="en-CA"/>
        </w:rPr>
        <w:t>in the reporting, follow-up and monitoring of recommendations that emanate from the UPR process, while also ensuring the involvement and engagement of various diverse actors, including civil society</w:t>
      </w:r>
      <w:r w:rsidR="00150E34">
        <w:rPr>
          <w:lang w:val="en-CA"/>
        </w:rPr>
        <w:t xml:space="preserve"> and other human rights commissions</w:t>
      </w:r>
      <w:r w:rsidR="00A22780">
        <w:rPr>
          <w:lang w:val="en-CA"/>
        </w:rPr>
        <w:t xml:space="preserve">. </w:t>
      </w:r>
    </w:p>
    <w:sectPr w:rsidR="00F14FA9" w:rsidRPr="00F14FA9" w:rsidSect="00EE57EE">
      <w:headerReference w:type="first" r:id="rId10"/>
      <w:footerReference w:type="first" r:id="rId11"/>
      <w:pgSz w:w="12240" w:h="15840"/>
      <w:pgMar w:top="1440" w:right="1440" w:bottom="1440" w:left="1440" w:header="993"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67AC5" w14:textId="77777777" w:rsidR="00C660BC" w:rsidRDefault="00C660BC" w:rsidP="000C3ACE">
      <w:pPr>
        <w:spacing w:after="0" w:line="240" w:lineRule="auto"/>
      </w:pPr>
      <w:r>
        <w:separator/>
      </w:r>
    </w:p>
  </w:endnote>
  <w:endnote w:type="continuationSeparator" w:id="0">
    <w:p w14:paraId="39E086E0" w14:textId="77777777" w:rsidR="00C660BC" w:rsidRDefault="00C660BC" w:rsidP="000C3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967352"/>
      <w:docPartObj>
        <w:docPartGallery w:val="Page Numbers (Bottom of Page)"/>
        <w:docPartUnique/>
      </w:docPartObj>
    </w:sdtPr>
    <w:sdtEndPr>
      <w:rPr>
        <w:noProof/>
      </w:rPr>
    </w:sdtEndPr>
    <w:sdtContent>
      <w:p w14:paraId="6A1CA2DA" w14:textId="77203E76" w:rsidR="0089564F" w:rsidRDefault="0089564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CA36D4" w14:textId="77777777" w:rsidR="00544721" w:rsidRDefault="005447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40835" w14:textId="75C25076" w:rsidR="00C22124" w:rsidRDefault="00C22124">
    <w:pPr>
      <w:pStyle w:val="Footer"/>
    </w:pPr>
    <w:r w:rsidRPr="00A0023A">
      <w:rPr>
        <w:b/>
        <w:bCs/>
        <w:noProof/>
        <w:sz w:val="48"/>
        <w:szCs w:val="48"/>
      </w:rPr>
      <mc:AlternateContent>
        <mc:Choice Requires="wps">
          <w:drawing>
            <wp:anchor distT="0" distB="0" distL="114300" distR="114300" simplePos="0" relativeHeight="251658240" behindDoc="0" locked="0" layoutInCell="1" allowOverlap="1" wp14:anchorId="6C57F663" wp14:editId="23486B47">
              <wp:simplePos x="0" y="0"/>
              <wp:positionH relativeFrom="page">
                <wp:align>left</wp:align>
              </wp:positionH>
              <wp:positionV relativeFrom="paragraph">
                <wp:posOffset>-127454</wp:posOffset>
              </wp:positionV>
              <wp:extent cx="7772037" cy="790575"/>
              <wp:effectExtent l="0" t="0" r="635" b="9525"/>
              <wp:wrapNone/>
              <wp:docPr id="1722423163"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037" cy="790575"/>
                      </a:xfrm>
                      <a:prstGeom prst="rect">
                        <a:avLst/>
                      </a:prstGeom>
                      <a:solidFill>
                        <a:srgbClr val="7CCEB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21B792" id="Rectangle 2" o:spid="_x0000_s1026" alt="&quot;&quot;" style="position:absolute;margin-left:0;margin-top:-10.05pt;width:611.95pt;height:62.25pt;z-index:2516643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" fillcolor="#7ccebd" stroked="f" strokeweight="1pt">
              <w10:wrap anchorx="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8482339"/>
      <w:docPartObj>
        <w:docPartGallery w:val="Page Numbers (Bottom of Page)"/>
        <w:docPartUnique/>
      </w:docPartObj>
    </w:sdtPr>
    <w:sdtEndPr>
      <w:rPr>
        <w:noProof/>
      </w:rPr>
    </w:sdtEndPr>
    <w:sdtContent>
      <w:p w14:paraId="0E2DD296" w14:textId="77777777" w:rsidR="00EE57EE" w:rsidRDefault="00EE57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F470B4" w14:textId="77777777" w:rsidR="00EE57EE" w:rsidRDefault="00EE57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5026E" w14:textId="77777777" w:rsidR="00C660BC" w:rsidRDefault="00C660BC" w:rsidP="000C3ACE">
      <w:pPr>
        <w:spacing w:after="0" w:line="240" w:lineRule="auto"/>
      </w:pPr>
      <w:r>
        <w:separator/>
      </w:r>
    </w:p>
  </w:footnote>
  <w:footnote w:type="continuationSeparator" w:id="0">
    <w:p w14:paraId="59363952" w14:textId="77777777" w:rsidR="00C660BC" w:rsidRDefault="00C660BC" w:rsidP="000C3ACE">
      <w:pPr>
        <w:spacing w:after="0" w:line="240" w:lineRule="auto"/>
      </w:pPr>
      <w:r>
        <w:continuationSeparator/>
      </w:r>
    </w:p>
  </w:footnote>
  <w:footnote w:id="1">
    <w:p w14:paraId="68AAA88C" w14:textId="77777777" w:rsidR="00EE57EE" w:rsidRPr="00787815" w:rsidRDefault="00EE57EE" w:rsidP="00EE57EE">
      <w:pPr>
        <w:pStyle w:val="NoSpacing"/>
        <w:rPr>
          <w:rFonts w:ascii="Calibri" w:hAnsi="Calibri" w:cs="Calibri"/>
          <w:sz w:val="20"/>
          <w:szCs w:val="20"/>
        </w:rPr>
      </w:pPr>
      <w:r w:rsidRPr="00787815">
        <w:rPr>
          <w:rStyle w:val="FootnoteReference"/>
          <w:rFonts w:ascii="Calibri" w:hAnsi="Calibri" w:cs="Calibri"/>
          <w:sz w:val="20"/>
          <w:szCs w:val="20"/>
        </w:rPr>
        <w:footnoteRef/>
      </w:r>
      <w:r w:rsidRPr="00787815">
        <w:rPr>
          <w:rFonts w:ascii="Calibri" w:hAnsi="Calibri" w:cs="Calibri"/>
          <w:sz w:val="20"/>
          <w:szCs w:val="20"/>
        </w:rPr>
        <w:t xml:space="preserve"> Available on the </w:t>
      </w:r>
      <w:hyperlink r:id="rId1" w:history="1">
        <w:r w:rsidRPr="00787815">
          <w:rPr>
            <w:rStyle w:val="Hyperlink"/>
            <w:rFonts w:ascii="Calibri" w:hAnsi="Calibri" w:cs="Calibri"/>
            <w:sz w:val="20"/>
            <w:szCs w:val="20"/>
          </w:rPr>
          <w:t>Justice Canada website</w:t>
        </w:r>
      </w:hyperlink>
      <w:r w:rsidRPr="00787815">
        <w:rPr>
          <w:rFonts w:ascii="Calibri" w:hAnsi="Calibri" w:cs="Calibri"/>
          <w:sz w:val="20"/>
          <w:szCs w:val="20"/>
        </w:rPr>
        <w:t xml:space="preserve">. Although Canada’s human rights laws are not part of the Constitution, they are considered “quasi-constitutional” in nature, meaning that all other laws must be interpreted in a manner consistent with human rights law.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E20BE" w14:textId="186F0292" w:rsidR="000C3ACE" w:rsidRDefault="000C3ACE">
    <w:pPr>
      <w:pStyle w:val="Header"/>
    </w:pPr>
    <w:r w:rsidRPr="00A0023A">
      <w:rPr>
        <w:b/>
        <w:bCs/>
        <w:noProof/>
        <w:sz w:val="48"/>
        <w:szCs w:val="48"/>
      </w:rPr>
      <w:drawing>
        <wp:anchor distT="0" distB="0" distL="114300" distR="114300" simplePos="0" relativeHeight="251658241" behindDoc="0" locked="0" layoutInCell="1" allowOverlap="1" wp14:anchorId="21406BC4" wp14:editId="7622C9CD">
          <wp:simplePos x="0" y="0"/>
          <wp:positionH relativeFrom="column">
            <wp:posOffset>-523875</wp:posOffset>
          </wp:positionH>
          <wp:positionV relativeFrom="paragraph">
            <wp:posOffset>-377825</wp:posOffset>
          </wp:positionV>
          <wp:extent cx="2423160" cy="781050"/>
          <wp:effectExtent l="0" t="0" r="0" b="0"/>
          <wp:wrapNone/>
          <wp:docPr id="846382795" name="Picture 3" descr="Canadian human rights commss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951240" name="Picture 3" descr="Canadian human rights commssion's logo"/>
                  <pic:cNvPicPr/>
                </pic:nvPicPr>
                <pic:blipFill>
                  <a:blip r:embed="rId1">
                    <a:extLst>
                      <a:ext uri="{28A0092B-C50C-407E-A947-70E740481C1C}">
                        <a14:useLocalDpi xmlns:a14="http://schemas.microsoft.com/office/drawing/2010/main" val="0"/>
                      </a:ext>
                    </a:extLst>
                  </a:blip>
                  <a:stretch>
                    <a:fillRect/>
                  </a:stretch>
                </pic:blipFill>
                <pic:spPr>
                  <a:xfrm>
                    <a:off x="0" y="0"/>
                    <a:ext cx="2423160" cy="7810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F978" w14:textId="77777777" w:rsidR="00EE57EE" w:rsidRDefault="00EE57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A458E"/>
    <w:multiLevelType w:val="hybridMultilevel"/>
    <w:tmpl w:val="63B6B3D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D6D4AB3"/>
    <w:multiLevelType w:val="hybridMultilevel"/>
    <w:tmpl w:val="E6D882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E7F146F"/>
    <w:multiLevelType w:val="hybridMultilevel"/>
    <w:tmpl w:val="B12690A8"/>
    <w:lvl w:ilvl="0" w:tplc="B9A8D1F8">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9F726E6"/>
    <w:multiLevelType w:val="hybridMultilevel"/>
    <w:tmpl w:val="D94A6A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9134853">
    <w:abstractNumId w:val="3"/>
  </w:num>
  <w:num w:numId="2" w16cid:durableId="681206352">
    <w:abstractNumId w:val="2"/>
  </w:num>
  <w:num w:numId="3" w16cid:durableId="359741516">
    <w:abstractNumId w:val="1"/>
  </w:num>
  <w:num w:numId="4" w16cid:durableId="1523938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23A"/>
    <w:rsid w:val="00013799"/>
    <w:rsid w:val="00090EDD"/>
    <w:rsid w:val="000B6A06"/>
    <w:rsid w:val="000C3ACE"/>
    <w:rsid w:val="000C7E31"/>
    <w:rsid w:val="00132E8C"/>
    <w:rsid w:val="00150E34"/>
    <w:rsid w:val="00170811"/>
    <w:rsid w:val="001811BD"/>
    <w:rsid w:val="001A7603"/>
    <w:rsid w:val="001B0E59"/>
    <w:rsid w:val="001B128C"/>
    <w:rsid w:val="001B5E9F"/>
    <w:rsid w:val="001E0827"/>
    <w:rsid w:val="00233E2E"/>
    <w:rsid w:val="002B3434"/>
    <w:rsid w:val="002C1DFB"/>
    <w:rsid w:val="00341FF2"/>
    <w:rsid w:val="00367B23"/>
    <w:rsid w:val="003B4617"/>
    <w:rsid w:val="00455A31"/>
    <w:rsid w:val="004E5ACE"/>
    <w:rsid w:val="004E7BFA"/>
    <w:rsid w:val="00544721"/>
    <w:rsid w:val="00554749"/>
    <w:rsid w:val="005D10CD"/>
    <w:rsid w:val="005E5D92"/>
    <w:rsid w:val="005F578D"/>
    <w:rsid w:val="006B2277"/>
    <w:rsid w:val="006C6018"/>
    <w:rsid w:val="0072316B"/>
    <w:rsid w:val="007719BA"/>
    <w:rsid w:val="00774C96"/>
    <w:rsid w:val="00787815"/>
    <w:rsid w:val="007A35D8"/>
    <w:rsid w:val="007C2463"/>
    <w:rsid w:val="007E13F8"/>
    <w:rsid w:val="0083247C"/>
    <w:rsid w:val="008770AD"/>
    <w:rsid w:val="0089564F"/>
    <w:rsid w:val="008B04F8"/>
    <w:rsid w:val="008F00CC"/>
    <w:rsid w:val="00920425"/>
    <w:rsid w:val="00922EFB"/>
    <w:rsid w:val="009378CD"/>
    <w:rsid w:val="00965649"/>
    <w:rsid w:val="00973824"/>
    <w:rsid w:val="00990C4C"/>
    <w:rsid w:val="009C6246"/>
    <w:rsid w:val="00A0023A"/>
    <w:rsid w:val="00A22780"/>
    <w:rsid w:val="00A72147"/>
    <w:rsid w:val="00AB4EC2"/>
    <w:rsid w:val="00AE4EC8"/>
    <w:rsid w:val="00B532EC"/>
    <w:rsid w:val="00BB1008"/>
    <w:rsid w:val="00BF11AC"/>
    <w:rsid w:val="00C22124"/>
    <w:rsid w:val="00C660BC"/>
    <w:rsid w:val="00CB428B"/>
    <w:rsid w:val="00CC5066"/>
    <w:rsid w:val="00CD54DE"/>
    <w:rsid w:val="00CE38A7"/>
    <w:rsid w:val="00D04BAE"/>
    <w:rsid w:val="00D21BAB"/>
    <w:rsid w:val="00D33646"/>
    <w:rsid w:val="00D424A5"/>
    <w:rsid w:val="00D45DE7"/>
    <w:rsid w:val="00DA5D39"/>
    <w:rsid w:val="00DD5EA8"/>
    <w:rsid w:val="00E15C3B"/>
    <w:rsid w:val="00E60756"/>
    <w:rsid w:val="00E62391"/>
    <w:rsid w:val="00EC3C69"/>
    <w:rsid w:val="00EC44C0"/>
    <w:rsid w:val="00EE57EE"/>
    <w:rsid w:val="00EF6288"/>
    <w:rsid w:val="00F14FA9"/>
    <w:rsid w:val="00F30FB7"/>
    <w:rsid w:val="00F42575"/>
    <w:rsid w:val="00F901CF"/>
    <w:rsid w:val="00FE1F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06B47"/>
  <w15:chartTrackingRefBased/>
  <w15:docId w15:val="{B8911CAD-6752-4CE4-9487-AB614B953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1CF"/>
    <w:rPr>
      <w:sz w:val="24"/>
    </w:rPr>
  </w:style>
  <w:style w:type="paragraph" w:styleId="Heading1">
    <w:name w:val="heading 1"/>
    <w:basedOn w:val="Normal"/>
    <w:next w:val="Normal"/>
    <w:link w:val="Heading1Char"/>
    <w:uiPriority w:val="9"/>
    <w:qFormat/>
    <w:rsid w:val="00920425"/>
    <w:pPr>
      <w:spacing w:before="3600" w:after="0"/>
      <w:outlineLvl w:val="0"/>
    </w:pPr>
    <w:rPr>
      <w:b/>
      <w:bCs/>
      <w:noProof/>
      <w:sz w:val="56"/>
      <w:szCs w:val="56"/>
    </w:rPr>
  </w:style>
  <w:style w:type="paragraph" w:styleId="Heading2">
    <w:name w:val="heading 2"/>
    <w:basedOn w:val="Normal"/>
    <w:next w:val="Normal"/>
    <w:link w:val="Heading2Char"/>
    <w:uiPriority w:val="9"/>
    <w:unhideWhenUsed/>
    <w:qFormat/>
    <w:rsid w:val="00920425"/>
    <w:pPr>
      <w:outlineLvl w:val="1"/>
    </w:pPr>
    <w:rPr>
      <w:b/>
      <w:bCs/>
      <w:sz w:val="36"/>
      <w:szCs w:val="32"/>
    </w:rPr>
  </w:style>
  <w:style w:type="paragraph" w:styleId="Heading3">
    <w:name w:val="heading 3"/>
    <w:basedOn w:val="Heading2"/>
    <w:next w:val="Normal"/>
    <w:link w:val="Heading3Char"/>
    <w:uiPriority w:val="9"/>
    <w:unhideWhenUsed/>
    <w:qFormat/>
    <w:rsid w:val="00920425"/>
    <w:pPr>
      <w:outlineLvl w:val="2"/>
    </w:pPr>
    <w:rPr>
      <w:sz w:val="32"/>
      <w:szCs w:val="28"/>
    </w:rPr>
  </w:style>
  <w:style w:type="paragraph" w:styleId="Heading4">
    <w:name w:val="heading 4"/>
    <w:basedOn w:val="Normal"/>
    <w:next w:val="Normal"/>
    <w:link w:val="Heading4Char"/>
    <w:uiPriority w:val="9"/>
    <w:unhideWhenUsed/>
    <w:qFormat/>
    <w:rsid w:val="00920425"/>
    <w:pPr>
      <w:outlineLvl w:val="3"/>
    </w:pPr>
    <w:rPr>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3A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ACE"/>
  </w:style>
  <w:style w:type="paragraph" w:styleId="Footer">
    <w:name w:val="footer"/>
    <w:basedOn w:val="Normal"/>
    <w:link w:val="FooterChar"/>
    <w:uiPriority w:val="99"/>
    <w:unhideWhenUsed/>
    <w:rsid w:val="000C3A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ACE"/>
  </w:style>
  <w:style w:type="character" w:customStyle="1" w:styleId="Heading1Char">
    <w:name w:val="Heading 1 Char"/>
    <w:basedOn w:val="DefaultParagraphFont"/>
    <w:link w:val="Heading1"/>
    <w:uiPriority w:val="9"/>
    <w:rsid w:val="00920425"/>
    <w:rPr>
      <w:b/>
      <w:bCs/>
      <w:noProof/>
      <w:sz w:val="56"/>
      <w:szCs w:val="56"/>
    </w:rPr>
  </w:style>
  <w:style w:type="character" w:customStyle="1" w:styleId="Heading2Char">
    <w:name w:val="Heading 2 Char"/>
    <w:basedOn w:val="DefaultParagraphFont"/>
    <w:link w:val="Heading2"/>
    <w:uiPriority w:val="9"/>
    <w:rsid w:val="00920425"/>
    <w:rPr>
      <w:b/>
      <w:bCs/>
      <w:sz w:val="36"/>
      <w:szCs w:val="32"/>
    </w:rPr>
  </w:style>
  <w:style w:type="character" w:customStyle="1" w:styleId="Heading3Char">
    <w:name w:val="Heading 3 Char"/>
    <w:basedOn w:val="DefaultParagraphFont"/>
    <w:link w:val="Heading3"/>
    <w:uiPriority w:val="9"/>
    <w:rsid w:val="00920425"/>
    <w:rPr>
      <w:b/>
      <w:bCs/>
      <w:sz w:val="32"/>
      <w:szCs w:val="28"/>
    </w:rPr>
  </w:style>
  <w:style w:type="character" w:customStyle="1" w:styleId="Heading4Char">
    <w:name w:val="Heading 4 Char"/>
    <w:basedOn w:val="DefaultParagraphFont"/>
    <w:link w:val="Heading4"/>
    <w:uiPriority w:val="9"/>
    <w:rsid w:val="00920425"/>
    <w:rPr>
      <w:b/>
      <w:bCs/>
      <w:sz w:val="28"/>
      <w:szCs w:val="24"/>
    </w:rPr>
  </w:style>
  <w:style w:type="character" w:styleId="FootnoteReference">
    <w:name w:val="footnote reference"/>
    <w:aliases w:val="Appel note de bas de page,Footnotes refss,Fago Fu?notenzeichen,Fago Fußnotenzeichen,Footnote number,Fago Fuﬂnotenzeichen,4_G"/>
    <w:basedOn w:val="DefaultParagraphFont"/>
    <w:uiPriority w:val="99"/>
    <w:unhideWhenUsed/>
    <w:rsid w:val="008770AD"/>
    <w:rPr>
      <w:vertAlign w:val="superscript"/>
    </w:rPr>
  </w:style>
  <w:style w:type="character" w:styleId="Hyperlink">
    <w:name w:val="Hyperlink"/>
    <w:basedOn w:val="DefaultParagraphFont"/>
    <w:uiPriority w:val="99"/>
    <w:unhideWhenUsed/>
    <w:rsid w:val="008770AD"/>
    <w:rPr>
      <w:color w:val="0563C1" w:themeColor="hyperlink"/>
      <w:u w:val="single"/>
    </w:rPr>
  </w:style>
  <w:style w:type="paragraph" w:styleId="NoSpacing">
    <w:name w:val="No Spacing"/>
    <w:link w:val="NoSpacingChar"/>
    <w:uiPriority w:val="1"/>
    <w:qFormat/>
    <w:rsid w:val="008770AD"/>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8770AD"/>
    <w:rPr>
      <w:rFonts w:eastAsiaTheme="minorEastAsia"/>
      <w:kern w:val="0"/>
      <w14:ligatures w14:val="none"/>
    </w:rPr>
  </w:style>
  <w:style w:type="paragraph" w:styleId="ListParagraph">
    <w:name w:val="List Paragraph"/>
    <w:basedOn w:val="Normal"/>
    <w:uiPriority w:val="34"/>
    <w:qFormat/>
    <w:rsid w:val="002B3434"/>
    <w:pPr>
      <w:ind w:left="720"/>
      <w:contextualSpacing/>
    </w:pPr>
  </w:style>
  <w:style w:type="paragraph" w:styleId="Revision">
    <w:name w:val="Revision"/>
    <w:hidden/>
    <w:uiPriority w:val="99"/>
    <w:semiHidden/>
    <w:rsid w:val="00455A31"/>
    <w:pPr>
      <w:spacing w:after="0" w:line="240" w:lineRule="auto"/>
    </w:pPr>
    <w:rPr>
      <w:sz w:val="24"/>
    </w:rPr>
  </w:style>
  <w:style w:type="character" w:styleId="CommentReference">
    <w:name w:val="annotation reference"/>
    <w:basedOn w:val="DefaultParagraphFont"/>
    <w:uiPriority w:val="99"/>
    <w:semiHidden/>
    <w:unhideWhenUsed/>
    <w:rsid w:val="00CE38A7"/>
    <w:rPr>
      <w:sz w:val="16"/>
      <w:szCs w:val="16"/>
    </w:rPr>
  </w:style>
  <w:style w:type="paragraph" w:styleId="CommentText">
    <w:name w:val="annotation text"/>
    <w:basedOn w:val="Normal"/>
    <w:link w:val="CommentTextChar"/>
    <w:uiPriority w:val="99"/>
    <w:unhideWhenUsed/>
    <w:rsid w:val="00CE38A7"/>
    <w:pPr>
      <w:spacing w:line="240" w:lineRule="auto"/>
    </w:pPr>
    <w:rPr>
      <w:sz w:val="20"/>
      <w:szCs w:val="20"/>
    </w:rPr>
  </w:style>
  <w:style w:type="character" w:customStyle="1" w:styleId="CommentTextChar">
    <w:name w:val="Comment Text Char"/>
    <w:basedOn w:val="DefaultParagraphFont"/>
    <w:link w:val="CommentText"/>
    <w:uiPriority w:val="99"/>
    <w:rsid w:val="00CE38A7"/>
    <w:rPr>
      <w:sz w:val="20"/>
      <w:szCs w:val="20"/>
    </w:rPr>
  </w:style>
  <w:style w:type="paragraph" w:styleId="CommentSubject">
    <w:name w:val="annotation subject"/>
    <w:basedOn w:val="CommentText"/>
    <w:next w:val="CommentText"/>
    <w:link w:val="CommentSubjectChar"/>
    <w:uiPriority w:val="99"/>
    <w:semiHidden/>
    <w:unhideWhenUsed/>
    <w:rsid w:val="00CE38A7"/>
    <w:rPr>
      <w:b/>
      <w:bCs/>
    </w:rPr>
  </w:style>
  <w:style w:type="character" w:customStyle="1" w:styleId="CommentSubjectChar">
    <w:name w:val="Comment Subject Char"/>
    <w:basedOn w:val="CommentTextChar"/>
    <w:link w:val="CommentSubject"/>
    <w:uiPriority w:val="99"/>
    <w:semiHidden/>
    <w:rsid w:val="00CE38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1" Type="http://schemas.openxmlformats.org/officeDocument/2006/relationships/hyperlink" Target="http://laws-lois.justice.gc.ca/PDF/H-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Canada - Canadian Human Rights Commission</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11C0DABA-B1D0-4299-81BA-CB70B7418068}"/>
</file>

<file path=customXml/itemProps2.xml><?xml version="1.0" encoding="utf-8"?>
<ds:datastoreItem xmlns:ds="http://schemas.openxmlformats.org/officeDocument/2006/customXml" ds:itemID="{E57C5E7C-ED68-41B5-9FDD-F0809A7B4FAE}"/>
</file>

<file path=customXml/itemProps3.xml><?xml version="1.0" encoding="utf-8"?>
<ds:datastoreItem xmlns:ds="http://schemas.openxmlformats.org/officeDocument/2006/customXml" ds:itemID="{E632243A-F14C-463C-8901-163009F9CE38}"/>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1450</Words>
  <Characters>8266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Lafontaine, Frédéric (CHRC/CCDP)</dc:creator>
  <cp:keywords/>
  <dc:description/>
  <cp:lastModifiedBy>Dhaliwal, Kimberly (CHRC/CCDP)</cp:lastModifiedBy>
  <cp:revision>3</cp:revision>
  <dcterms:created xsi:type="dcterms:W3CDTF">2026-04-08T19:13:00Z</dcterms:created>
  <dcterms:modified xsi:type="dcterms:W3CDTF">2026-04-20T07:52:00Z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20260408121036004</vt:lpwstr>
  </property>
  <property fmtid="{D5CDD505-2E9C-101B-9397-08002B2CF9AE}" pid="3" name="MSIP_Label_b2f93b39-c9ab-4865-a1f8-f9321ea423d2_Enabled">
    <vt:lpwstr>true</vt:lpwstr>
  </property>
  <property fmtid="{D5CDD505-2E9C-101B-9397-08002B2CF9AE}" pid="4" name="MSIP_Label_b2f93b39-c9ab-4865-a1f8-f9321ea423d2_SetDate">
    <vt:lpwstr>2025-12-01T16:43:41Z</vt:lpwstr>
  </property>
  <property fmtid="{D5CDD505-2E9C-101B-9397-08002B2CF9AE}" pid="5" name="MSIP_Label_b2f93b39-c9ab-4865-a1f8-f9321ea423d2_Method">
    <vt:lpwstr>Standard</vt:lpwstr>
  </property>
  <property fmtid="{D5CDD505-2E9C-101B-9397-08002B2CF9AE}" pid="6" name="MSIP_Label_b2f93b39-c9ab-4865-a1f8-f9321ea423d2_Name">
    <vt:lpwstr>UNCLASSIFIED</vt:lpwstr>
  </property>
  <property fmtid="{D5CDD505-2E9C-101B-9397-08002B2CF9AE}" pid="7" name="MSIP_Label_b2f93b39-c9ab-4865-a1f8-f9321ea423d2_SiteId">
    <vt:lpwstr>7ec5cbe9-f901-4e73-a7ce-2104e3789491</vt:lpwstr>
  </property>
  <property fmtid="{D5CDD505-2E9C-101B-9397-08002B2CF9AE}" pid="8" name="MSIP_Label_b2f93b39-c9ab-4865-a1f8-f9321ea423d2_ActionId">
    <vt:lpwstr>4c0a2650-a8af-4056-9a8f-7547acc834a4</vt:lpwstr>
  </property>
  <property fmtid="{D5CDD505-2E9C-101B-9397-08002B2CF9AE}" pid="9" name="MSIP_Label_b2f93b39-c9ab-4865-a1f8-f9321ea423d2_ContentBits">
    <vt:lpwstr>0</vt:lpwstr>
  </property>
  <property fmtid="{D5CDD505-2E9C-101B-9397-08002B2CF9AE}" pid="10" name="MSIP_Label_b2f93b39-c9ab-4865-a1f8-f9321ea423d2_Tag">
    <vt:lpwstr>10, 3, 0, 1</vt:lpwstr>
  </property>
  <property fmtid="{D5CDD505-2E9C-101B-9397-08002B2CF9AE}" pid="11" name="ContentTypeId">
    <vt:lpwstr>0x0101009D953D6983EF5F4EB0B6A5354F975E96</vt:lpwstr>
  </property>
  <property fmtid="{D5CDD505-2E9C-101B-9397-08002B2CF9AE}" pid="12" name="MediaServiceImageTags">
    <vt:lpwstr/>
  </property>
</Properties>
</file>