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FC571" w14:textId="77777777" w:rsidR="007C2FE6" w:rsidRPr="00A926F4" w:rsidRDefault="007C2FE6" w:rsidP="00A926F4">
      <w:pPr>
        <w:spacing w:after="0" w:line="240" w:lineRule="auto"/>
        <w:jc w:val="both"/>
        <w:rPr>
          <w:rFonts w:ascii="Trebuchet MS" w:hAnsi="Trebuchet MS"/>
          <w:b/>
          <w:color w:val="002060"/>
          <w:sz w:val="26"/>
          <w:szCs w:val="26"/>
        </w:rPr>
      </w:pPr>
    </w:p>
    <w:p w14:paraId="6A17B3BE" w14:textId="230BD8EA" w:rsidR="00C40392" w:rsidRPr="00B7229E" w:rsidRDefault="007F3FDB" w:rsidP="00B7229E">
      <w:pPr>
        <w:spacing w:after="0" w:line="240" w:lineRule="auto"/>
        <w:jc w:val="center"/>
        <w:rPr>
          <w:rFonts w:ascii="Trebuchet MS" w:hAnsi="Trebuchet MS"/>
          <w:b/>
          <w:color w:val="002060"/>
          <w:sz w:val="24"/>
          <w:szCs w:val="24"/>
        </w:rPr>
      </w:pPr>
      <w:r w:rsidRPr="00B7229E">
        <w:rPr>
          <w:rFonts w:ascii="Trebuchet MS" w:hAnsi="Trebuchet MS"/>
          <w:b/>
          <w:color w:val="002060"/>
          <w:sz w:val="24"/>
          <w:szCs w:val="24"/>
        </w:rPr>
        <w:t>Solicitud de buenas prácticas INDH sobre EPU</w:t>
      </w:r>
    </w:p>
    <w:p w14:paraId="7897517B" w14:textId="77777777" w:rsidR="00C40392" w:rsidRPr="00B7229E" w:rsidRDefault="00C40392" w:rsidP="00B7229E">
      <w:pPr>
        <w:spacing w:after="0" w:line="240" w:lineRule="auto"/>
        <w:jc w:val="center"/>
        <w:rPr>
          <w:rFonts w:ascii="Trebuchet MS" w:hAnsi="Trebuchet MS"/>
          <w:b/>
          <w:color w:val="002060"/>
          <w:sz w:val="24"/>
          <w:szCs w:val="24"/>
        </w:rPr>
      </w:pPr>
    </w:p>
    <w:p w14:paraId="4F696AFD" w14:textId="77777777" w:rsidR="00A926F4" w:rsidRPr="00B7229E" w:rsidRDefault="00C40392" w:rsidP="00B7229E">
      <w:pPr>
        <w:spacing w:after="0" w:line="240" w:lineRule="auto"/>
        <w:jc w:val="center"/>
        <w:rPr>
          <w:rFonts w:ascii="Trebuchet MS" w:hAnsi="Trebuchet MS"/>
          <w:b/>
          <w:color w:val="002060"/>
          <w:sz w:val="24"/>
          <w:szCs w:val="24"/>
        </w:rPr>
      </w:pPr>
      <w:r w:rsidRPr="00B7229E">
        <w:rPr>
          <w:rFonts w:ascii="Trebuchet MS" w:hAnsi="Trebuchet MS"/>
          <w:b/>
          <w:color w:val="002060"/>
          <w:sz w:val="24"/>
          <w:szCs w:val="24"/>
        </w:rPr>
        <w:t>Contribución Defensoría</w:t>
      </w:r>
      <w:r w:rsidR="00A926F4" w:rsidRPr="00B7229E">
        <w:rPr>
          <w:rFonts w:ascii="Trebuchet MS" w:hAnsi="Trebuchet MS"/>
          <w:b/>
          <w:color w:val="002060"/>
          <w:sz w:val="24"/>
          <w:szCs w:val="24"/>
        </w:rPr>
        <w:t xml:space="preserve"> del Pueblo de Colombia</w:t>
      </w:r>
    </w:p>
    <w:p w14:paraId="4BF3E17F" w14:textId="77777777" w:rsidR="00A926F4" w:rsidRPr="00B7229E" w:rsidRDefault="00A926F4" w:rsidP="00B7229E">
      <w:pPr>
        <w:spacing w:after="0" w:line="240" w:lineRule="auto"/>
        <w:jc w:val="center"/>
        <w:rPr>
          <w:rFonts w:ascii="Trebuchet MS" w:hAnsi="Trebuchet MS"/>
          <w:b/>
          <w:color w:val="002060"/>
          <w:sz w:val="24"/>
          <w:szCs w:val="24"/>
        </w:rPr>
      </w:pPr>
    </w:p>
    <w:p w14:paraId="67D99266" w14:textId="370A65EA" w:rsidR="00A926F4" w:rsidRPr="00B7229E" w:rsidRDefault="00A926F4" w:rsidP="00B7229E">
      <w:pPr>
        <w:spacing w:after="0" w:line="240" w:lineRule="auto"/>
        <w:jc w:val="center"/>
        <w:rPr>
          <w:rFonts w:ascii="Trebuchet MS" w:hAnsi="Trebuchet MS"/>
          <w:b/>
          <w:color w:val="002060"/>
          <w:sz w:val="24"/>
          <w:szCs w:val="24"/>
        </w:rPr>
      </w:pPr>
      <w:r w:rsidRPr="00B7229E">
        <w:rPr>
          <w:rFonts w:ascii="Trebuchet MS" w:hAnsi="Trebuchet MS"/>
          <w:b/>
          <w:color w:val="002060"/>
          <w:sz w:val="24"/>
          <w:szCs w:val="24"/>
        </w:rPr>
        <w:t>Febrero de 2026</w:t>
      </w:r>
    </w:p>
    <w:p w14:paraId="24F48FA3" w14:textId="55371A95" w:rsidR="0069641B" w:rsidRPr="00B7229E" w:rsidRDefault="0069641B" w:rsidP="00B7229E">
      <w:pPr>
        <w:spacing w:after="0" w:line="240" w:lineRule="auto"/>
        <w:jc w:val="center"/>
        <w:rPr>
          <w:rFonts w:ascii="Trebuchet MS" w:hAnsi="Trebuchet MS"/>
          <w:b/>
          <w:color w:val="002060"/>
          <w:sz w:val="24"/>
          <w:szCs w:val="24"/>
        </w:rPr>
      </w:pPr>
    </w:p>
    <w:p w14:paraId="2EF9BDCA" w14:textId="77777777" w:rsidR="0069641B" w:rsidRPr="00B7229E" w:rsidRDefault="0069641B" w:rsidP="00B7229E">
      <w:pPr>
        <w:spacing w:after="0" w:line="240" w:lineRule="auto"/>
        <w:jc w:val="both"/>
        <w:rPr>
          <w:rFonts w:ascii="Trebuchet MS" w:hAnsi="Trebuchet MS"/>
          <w:sz w:val="24"/>
          <w:szCs w:val="24"/>
        </w:rPr>
      </w:pPr>
      <w:r w:rsidRPr="00B7229E">
        <w:rPr>
          <w:rFonts w:ascii="Trebuchet MS" w:hAnsi="Trebuchet MS"/>
          <w:sz w:val="24"/>
          <w:szCs w:val="24"/>
        </w:rPr>
        <w:t>La Defensoría del Pueblo es la Institución Nacional de Derechos Humanos de Colombia, entidad encargada de defender, promocionar, proteger y divulgar los derechos humanos, las garantías y libertades de los habitantes del territorio nacional y de los colombianos residentes en el exterior, frente a actos, amenazas o acciones ilegales, injustas, irrazonables, negligentes o arbitrarias de cualquier autoridad o de los particulares.</w:t>
      </w:r>
    </w:p>
    <w:p w14:paraId="3DF2B8B6" w14:textId="77777777" w:rsidR="0069641B" w:rsidRPr="00B7229E" w:rsidRDefault="0069641B" w:rsidP="00B7229E">
      <w:pPr>
        <w:spacing w:after="0" w:line="240" w:lineRule="auto"/>
        <w:jc w:val="both"/>
        <w:rPr>
          <w:rFonts w:ascii="Trebuchet MS" w:hAnsi="Trebuchet MS"/>
          <w:sz w:val="24"/>
          <w:szCs w:val="24"/>
        </w:rPr>
      </w:pPr>
    </w:p>
    <w:p w14:paraId="23A4FF27" w14:textId="44ACF4A5" w:rsidR="0069641B" w:rsidRPr="00B7229E" w:rsidRDefault="0069641B" w:rsidP="00B7229E">
      <w:pPr>
        <w:spacing w:after="0" w:line="240" w:lineRule="auto"/>
        <w:jc w:val="both"/>
        <w:rPr>
          <w:rFonts w:ascii="Trebuchet MS" w:hAnsi="Trebuchet MS"/>
          <w:sz w:val="24"/>
          <w:szCs w:val="24"/>
        </w:rPr>
      </w:pPr>
      <w:r w:rsidRPr="00B7229E">
        <w:rPr>
          <w:rFonts w:ascii="Trebuchet MS" w:hAnsi="Trebuchet MS"/>
          <w:sz w:val="24"/>
          <w:szCs w:val="24"/>
        </w:rPr>
        <w:t xml:space="preserve">En el marco del relacionamiento con instancias internacionales, el seguimiento a tratados e informes del Estado Colombiano, hemos venido participando en las recomendaciones del Consejo de Derechos Humanos a Colombia en su Examen Periódico Universal. </w:t>
      </w:r>
    </w:p>
    <w:p w14:paraId="3BCEAAD1" w14:textId="77777777" w:rsidR="00A926F4" w:rsidRPr="00B7229E" w:rsidRDefault="00A926F4" w:rsidP="00B7229E">
      <w:pPr>
        <w:spacing w:after="0" w:line="240" w:lineRule="auto"/>
        <w:jc w:val="both"/>
        <w:rPr>
          <w:rFonts w:ascii="Trebuchet MS" w:hAnsi="Trebuchet MS"/>
          <w:b/>
          <w:color w:val="002060"/>
          <w:sz w:val="24"/>
          <w:szCs w:val="24"/>
        </w:rPr>
      </w:pPr>
    </w:p>
    <w:p w14:paraId="774BF43B" w14:textId="77777777" w:rsidR="00A926F4" w:rsidRPr="00B7229E" w:rsidRDefault="00A926F4" w:rsidP="00B7229E">
      <w:pPr>
        <w:pStyle w:val="ListParagraph"/>
        <w:numPr>
          <w:ilvl w:val="0"/>
          <w:numId w:val="11"/>
        </w:numPr>
        <w:spacing w:after="0" w:line="240" w:lineRule="auto"/>
        <w:jc w:val="both"/>
        <w:rPr>
          <w:rFonts w:ascii="Trebuchet MS" w:hAnsi="Trebuchet MS"/>
          <w:b/>
          <w:bCs/>
          <w:sz w:val="24"/>
          <w:szCs w:val="24"/>
        </w:rPr>
      </w:pPr>
      <w:r w:rsidRPr="00B7229E">
        <w:rPr>
          <w:rFonts w:ascii="Trebuchet MS" w:hAnsi="Trebuchet MS"/>
          <w:b/>
          <w:bCs/>
          <w:sz w:val="24"/>
          <w:szCs w:val="24"/>
        </w:rPr>
        <w:t>Sírvanse proporcionar ejemplos concretos de prácticas buenas, prometedoras e innovadoras 1de su INDH durante los ciclos tercero y cuarto del EPU (y su impacto, si es posible). Estas podrían incluir prácticas relacionadas, entre otras, con2: a. la aplicación de las recomendaciones del EPU (seguimiento, cooperación con los poderes ejecutivo y legislativo, cooperación con la sociedad civil) b. la promoción y la sensibilización en todas las etapas c. su papel en las consultas celebradas por el Gobierno antes del examen d. sus aportaciones escritas para el resumen de la información de las partes interesadas (proceso de redacción, estructura, contenido) e. la participación en las adopciones.</w:t>
      </w:r>
    </w:p>
    <w:p w14:paraId="36C9DD34" w14:textId="7937D29A" w:rsidR="00A926F4" w:rsidRPr="00B7229E" w:rsidRDefault="00A926F4" w:rsidP="00B7229E">
      <w:pPr>
        <w:spacing w:after="0" w:line="240" w:lineRule="auto"/>
        <w:jc w:val="both"/>
        <w:rPr>
          <w:rFonts w:ascii="Trebuchet MS" w:hAnsi="Trebuchet MS"/>
          <w:sz w:val="24"/>
          <w:szCs w:val="24"/>
        </w:rPr>
      </w:pPr>
    </w:p>
    <w:p w14:paraId="5F25BF17" w14:textId="77777777" w:rsidR="00A926F4" w:rsidRPr="00B7229E" w:rsidRDefault="00A926F4" w:rsidP="00B7229E">
      <w:pPr>
        <w:spacing w:after="0" w:line="240" w:lineRule="auto"/>
        <w:jc w:val="both"/>
        <w:rPr>
          <w:rFonts w:ascii="Trebuchet MS" w:hAnsi="Trebuchet MS"/>
          <w:sz w:val="24"/>
          <w:szCs w:val="24"/>
          <w:lang w:val="es-CO"/>
        </w:rPr>
      </w:pPr>
      <w:r w:rsidRPr="00B7229E">
        <w:rPr>
          <w:rFonts w:ascii="Trebuchet MS" w:hAnsi="Trebuchet MS"/>
          <w:sz w:val="24"/>
          <w:szCs w:val="24"/>
          <w:lang w:val="es-CO"/>
        </w:rPr>
        <w:t xml:space="preserve">Para la Defensoría del Pueblo de Colombia el Examen Periódico Universal (EPU) ha sido un proceso de revisiones constructivas basadas en las relaciones multilaterales y principios de integralidad, cooperación e independencia en el desarrollo de nuestras funciones, trabajando de manera conjunta y articulada con los diferentes organismos y actores nacionales e internacionales en materia de derechos humanos, con el fin de fortalecer la promoción y garantía de las personas sujetos de especial protección constitucional. </w:t>
      </w:r>
    </w:p>
    <w:p w14:paraId="4620C30D" w14:textId="77777777" w:rsidR="00A926F4" w:rsidRPr="00B7229E" w:rsidRDefault="00A926F4" w:rsidP="00B7229E">
      <w:pPr>
        <w:spacing w:after="0" w:line="240" w:lineRule="auto"/>
        <w:jc w:val="both"/>
        <w:rPr>
          <w:rFonts w:ascii="Trebuchet MS" w:hAnsi="Trebuchet MS"/>
          <w:sz w:val="24"/>
          <w:szCs w:val="24"/>
          <w:lang w:val="es-CO"/>
        </w:rPr>
      </w:pPr>
    </w:p>
    <w:p w14:paraId="71E7A090" w14:textId="3A322F64" w:rsidR="00A926F4" w:rsidRPr="00B7229E" w:rsidRDefault="00A926F4" w:rsidP="00B7229E">
      <w:pPr>
        <w:spacing w:after="0" w:line="240" w:lineRule="auto"/>
        <w:jc w:val="both"/>
        <w:rPr>
          <w:rFonts w:ascii="Trebuchet MS" w:hAnsi="Trebuchet MS"/>
          <w:sz w:val="24"/>
          <w:szCs w:val="24"/>
          <w:lang w:val="es-CO"/>
        </w:rPr>
      </w:pPr>
      <w:r w:rsidRPr="00B7229E">
        <w:rPr>
          <w:rFonts w:ascii="Trebuchet MS" w:hAnsi="Trebuchet MS"/>
          <w:sz w:val="24"/>
          <w:szCs w:val="24"/>
          <w:lang w:val="es-CO"/>
        </w:rPr>
        <w:t xml:space="preserve">El Examen Periódico Universal (EPU), nos lleva como Estado a realizar una auto- evaluación y una auto- critica para mejorar la capacidad de respuesta del Estado frente a las diferentes situaciones sociales y económicas que presentan las personas y las comunidades en los territorios. Igualmente, nos conduce a articular acciones interinstitucionales para robustecer los mecanismos de seguimiento de </w:t>
      </w:r>
      <w:r w:rsidRPr="00B7229E">
        <w:rPr>
          <w:rFonts w:ascii="Trebuchet MS" w:hAnsi="Trebuchet MS"/>
          <w:sz w:val="24"/>
          <w:szCs w:val="24"/>
          <w:lang w:val="es-CO"/>
        </w:rPr>
        <w:lastRenderedPageBreak/>
        <w:t>los actores vinculados en la protección de los derechos y libertades fundamentales ajustado al cumplimiento de las obligaciones internacionales.</w:t>
      </w:r>
    </w:p>
    <w:p w14:paraId="5E07A228" w14:textId="77777777" w:rsidR="00A926F4" w:rsidRPr="00B7229E" w:rsidRDefault="00A926F4" w:rsidP="00B7229E">
      <w:pPr>
        <w:spacing w:after="0" w:line="240" w:lineRule="auto"/>
        <w:jc w:val="both"/>
        <w:rPr>
          <w:rFonts w:ascii="Trebuchet MS" w:hAnsi="Trebuchet MS"/>
          <w:sz w:val="24"/>
          <w:szCs w:val="24"/>
          <w:lang w:val="es-CO"/>
        </w:rPr>
      </w:pPr>
    </w:p>
    <w:p w14:paraId="65E4BD75" w14:textId="0E6717A8" w:rsidR="00A926F4" w:rsidRPr="00B7229E" w:rsidRDefault="00A926F4" w:rsidP="00B7229E">
      <w:pPr>
        <w:spacing w:after="0" w:line="240" w:lineRule="auto"/>
        <w:jc w:val="both"/>
        <w:rPr>
          <w:rFonts w:ascii="Trebuchet MS" w:hAnsi="Trebuchet MS"/>
          <w:sz w:val="24"/>
          <w:szCs w:val="24"/>
          <w:lang w:val="es-CO"/>
        </w:rPr>
      </w:pPr>
      <w:r w:rsidRPr="00B7229E">
        <w:rPr>
          <w:rFonts w:ascii="Trebuchet MS" w:hAnsi="Trebuchet MS"/>
          <w:sz w:val="24"/>
          <w:szCs w:val="24"/>
          <w:lang w:val="es-CO"/>
        </w:rPr>
        <w:t>Como Institución Nacional de Derechos Humanos y parte del ministerio público de Colombia, tenemos la facultad de adelantar diagnósticos en materia de derechos humanos</w:t>
      </w:r>
      <w:r w:rsidR="0069641B" w:rsidRPr="00B7229E">
        <w:rPr>
          <w:rFonts w:ascii="Trebuchet MS" w:hAnsi="Trebuchet MS"/>
          <w:sz w:val="24"/>
          <w:szCs w:val="24"/>
          <w:lang w:val="es-CO"/>
        </w:rPr>
        <w:t xml:space="preserve">, </w:t>
      </w:r>
      <w:r w:rsidRPr="00B7229E">
        <w:rPr>
          <w:rFonts w:ascii="Trebuchet MS" w:hAnsi="Trebuchet MS"/>
          <w:sz w:val="24"/>
          <w:szCs w:val="24"/>
          <w:lang w:val="es-CO"/>
        </w:rPr>
        <w:t xml:space="preserve">emitir recomendaciones y observaciones a las autoridades y a los particulares en caso de amenaza o violación a los derechos humanos y velar por su promoción y ejercicio. </w:t>
      </w:r>
    </w:p>
    <w:p w14:paraId="1345250C" w14:textId="77777777" w:rsidR="00A926F4" w:rsidRPr="00B7229E" w:rsidRDefault="00A926F4" w:rsidP="00B7229E">
      <w:pPr>
        <w:spacing w:after="0" w:line="240" w:lineRule="auto"/>
        <w:jc w:val="both"/>
        <w:rPr>
          <w:rFonts w:ascii="Trebuchet MS" w:hAnsi="Trebuchet MS"/>
          <w:sz w:val="24"/>
          <w:szCs w:val="24"/>
          <w:lang w:val="es-CO"/>
        </w:rPr>
      </w:pPr>
    </w:p>
    <w:p w14:paraId="5EAAF448" w14:textId="32935CB3" w:rsidR="00A926F4" w:rsidRPr="00B7229E" w:rsidRDefault="00A926F4" w:rsidP="00B7229E">
      <w:pPr>
        <w:spacing w:after="0" w:line="240" w:lineRule="auto"/>
        <w:jc w:val="both"/>
        <w:rPr>
          <w:rFonts w:ascii="Trebuchet MS" w:hAnsi="Trebuchet MS"/>
          <w:sz w:val="24"/>
          <w:szCs w:val="24"/>
          <w:lang w:val="es-CO"/>
        </w:rPr>
      </w:pPr>
      <w:r w:rsidRPr="00B7229E">
        <w:rPr>
          <w:rFonts w:ascii="Trebuchet MS" w:hAnsi="Trebuchet MS"/>
          <w:sz w:val="24"/>
          <w:szCs w:val="24"/>
          <w:lang w:val="es-CO"/>
        </w:rPr>
        <w:t xml:space="preserve">Es por esto </w:t>
      </w:r>
      <w:proofErr w:type="gramStart"/>
      <w:r w:rsidRPr="00B7229E">
        <w:rPr>
          <w:rFonts w:ascii="Trebuchet MS" w:hAnsi="Trebuchet MS"/>
          <w:sz w:val="24"/>
          <w:szCs w:val="24"/>
          <w:lang w:val="es-CO"/>
        </w:rPr>
        <w:t>que</w:t>
      </w:r>
      <w:proofErr w:type="gramEnd"/>
      <w:r w:rsidRPr="00B7229E">
        <w:rPr>
          <w:rFonts w:ascii="Trebuchet MS" w:hAnsi="Trebuchet MS"/>
          <w:sz w:val="24"/>
          <w:szCs w:val="24"/>
          <w:lang w:val="es-CO"/>
        </w:rPr>
        <w:t xml:space="preserve"> </w:t>
      </w:r>
      <w:r w:rsidR="0069641B" w:rsidRPr="00B7229E">
        <w:rPr>
          <w:rFonts w:ascii="Trebuchet MS" w:hAnsi="Trebuchet MS"/>
          <w:sz w:val="24"/>
          <w:szCs w:val="24"/>
          <w:lang w:val="es-CO"/>
        </w:rPr>
        <w:t>desde la Defensoría del Pueblo utilizamos el</w:t>
      </w:r>
      <w:r w:rsidRPr="00B7229E">
        <w:rPr>
          <w:rFonts w:ascii="Trebuchet MS" w:hAnsi="Trebuchet MS"/>
          <w:sz w:val="24"/>
          <w:szCs w:val="24"/>
          <w:lang w:val="es-CO"/>
        </w:rPr>
        <w:t xml:space="preserve"> EPU </w:t>
      </w:r>
      <w:r w:rsidR="0069641B" w:rsidRPr="00B7229E">
        <w:rPr>
          <w:rFonts w:ascii="Trebuchet MS" w:hAnsi="Trebuchet MS"/>
          <w:sz w:val="24"/>
          <w:szCs w:val="24"/>
          <w:lang w:val="es-CO"/>
        </w:rPr>
        <w:t xml:space="preserve">como el </w:t>
      </w:r>
      <w:r w:rsidRPr="00B7229E">
        <w:rPr>
          <w:rFonts w:ascii="Trebuchet MS" w:hAnsi="Trebuchet MS"/>
          <w:sz w:val="24"/>
          <w:szCs w:val="24"/>
          <w:lang w:val="es-CO"/>
        </w:rPr>
        <w:t xml:space="preserve">mecanismo por el cual presentamos contribuciones a través de informes en donde contribuimos al </w:t>
      </w:r>
      <w:proofErr w:type="spellStart"/>
      <w:r w:rsidRPr="00B7229E">
        <w:rPr>
          <w:rFonts w:ascii="Trebuchet MS" w:hAnsi="Trebuchet MS"/>
          <w:sz w:val="24"/>
          <w:szCs w:val="24"/>
          <w:lang w:val="es-CO"/>
        </w:rPr>
        <w:t>diagnostico</w:t>
      </w:r>
      <w:proofErr w:type="spellEnd"/>
      <w:r w:rsidRPr="00B7229E">
        <w:rPr>
          <w:rFonts w:ascii="Trebuchet MS" w:hAnsi="Trebuchet MS"/>
          <w:sz w:val="24"/>
          <w:szCs w:val="24"/>
          <w:lang w:val="es-CO"/>
        </w:rPr>
        <w:t xml:space="preserve"> de la situación de derechos humanos en el país, resaltando los avances, evaluando la implementación de las recomendaciones y sugiriendo nuevas recomendaciones.</w:t>
      </w:r>
    </w:p>
    <w:p w14:paraId="5F6A4D77" w14:textId="77777777" w:rsidR="00A926F4" w:rsidRPr="00B7229E" w:rsidRDefault="00A926F4" w:rsidP="00B7229E">
      <w:pPr>
        <w:spacing w:after="0" w:line="240" w:lineRule="auto"/>
        <w:jc w:val="both"/>
        <w:rPr>
          <w:rFonts w:ascii="Trebuchet MS" w:hAnsi="Trebuchet MS"/>
          <w:sz w:val="24"/>
          <w:szCs w:val="24"/>
          <w:lang w:val="es-CO"/>
        </w:rPr>
      </w:pPr>
    </w:p>
    <w:p w14:paraId="30F3797C" w14:textId="5A5809E1" w:rsidR="00A926F4" w:rsidRPr="00B7229E" w:rsidRDefault="00A926F4" w:rsidP="00B7229E">
      <w:pPr>
        <w:spacing w:after="0" w:line="240" w:lineRule="auto"/>
        <w:jc w:val="both"/>
        <w:rPr>
          <w:rFonts w:ascii="Trebuchet MS" w:hAnsi="Trebuchet MS"/>
          <w:sz w:val="24"/>
          <w:szCs w:val="24"/>
          <w:lang w:val="es-CO"/>
        </w:rPr>
      </w:pPr>
      <w:r w:rsidRPr="00B7229E">
        <w:rPr>
          <w:rFonts w:ascii="Trebuchet MS" w:hAnsi="Trebuchet MS"/>
          <w:sz w:val="24"/>
          <w:szCs w:val="24"/>
          <w:lang w:val="es-CO"/>
        </w:rPr>
        <w:t xml:space="preserve">La Defensoría del Pueblo de Colombia presentó su contribución como INDH al resumen de reportes de otros actores en el mes de abril de 2023 para la revisión de Colombia en la 44ª sesión de Grupo de Trabajo del Examen Periódico Universal (EPU) que se llevó a cabo del 6 al 18 de noviembre de 2023. </w:t>
      </w:r>
    </w:p>
    <w:p w14:paraId="7E7FE82F" w14:textId="77777777" w:rsidR="0069641B" w:rsidRPr="00B7229E" w:rsidRDefault="0069641B" w:rsidP="00B7229E">
      <w:pPr>
        <w:spacing w:after="0" w:line="240" w:lineRule="auto"/>
        <w:jc w:val="both"/>
        <w:rPr>
          <w:rFonts w:ascii="Trebuchet MS" w:hAnsi="Trebuchet MS"/>
          <w:sz w:val="24"/>
          <w:szCs w:val="24"/>
          <w:lang w:val="es-CO"/>
        </w:rPr>
      </w:pPr>
    </w:p>
    <w:p w14:paraId="0788458B" w14:textId="56742721" w:rsidR="00A926F4" w:rsidRPr="00B7229E" w:rsidRDefault="00A926F4" w:rsidP="00B7229E">
      <w:pPr>
        <w:spacing w:after="0" w:line="240" w:lineRule="auto"/>
        <w:jc w:val="both"/>
        <w:rPr>
          <w:rFonts w:ascii="Trebuchet MS" w:hAnsi="Trebuchet MS"/>
          <w:sz w:val="24"/>
          <w:szCs w:val="24"/>
          <w:lang w:val="es-CO"/>
        </w:rPr>
      </w:pPr>
      <w:r w:rsidRPr="00B7229E">
        <w:rPr>
          <w:rFonts w:ascii="Trebuchet MS" w:hAnsi="Trebuchet MS"/>
          <w:sz w:val="24"/>
          <w:szCs w:val="24"/>
          <w:lang w:val="es-CO"/>
        </w:rPr>
        <w:t xml:space="preserve">En el informe alterno la Defensoría a través de la recopilación y </w:t>
      </w:r>
      <w:r w:rsidR="0069641B" w:rsidRPr="00B7229E">
        <w:rPr>
          <w:rFonts w:ascii="Trebuchet MS" w:hAnsi="Trebuchet MS"/>
          <w:sz w:val="24"/>
          <w:szCs w:val="24"/>
          <w:lang w:val="es-CO"/>
        </w:rPr>
        <w:t>diagnóstico</w:t>
      </w:r>
      <w:r w:rsidRPr="00B7229E">
        <w:rPr>
          <w:rFonts w:ascii="Trebuchet MS" w:hAnsi="Trebuchet MS"/>
          <w:sz w:val="24"/>
          <w:szCs w:val="24"/>
          <w:lang w:val="es-CO"/>
        </w:rPr>
        <w:t xml:space="preserve"> de derechos humanos realizado por cada una de las defensorías delegadas presentó aportes en temas priorizados como lo son el seguimiento al acuerdo de paz, la violencia de género, las minorías, la equidad y no discriminación, los defensores de derechos humanos, líderes y lideresas sociales, la población privada de la libertad, la población en movilidad humana y la adhesión a las normas internacionales. </w:t>
      </w:r>
    </w:p>
    <w:p w14:paraId="40AE7F75" w14:textId="77777777" w:rsidR="0069641B" w:rsidRPr="00B7229E" w:rsidRDefault="0069641B" w:rsidP="00B7229E">
      <w:pPr>
        <w:spacing w:after="0" w:line="240" w:lineRule="auto"/>
        <w:jc w:val="both"/>
        <w:rPr>
          <w:rFonts w:ascii="Trebuchet MS" w:hAnsi="Trebuchet MS"/>
          <w:sz w:val="24"/>
          <w:szCs w:val="24"/>
          <w:lang w:val="es-CO"/>
        </w:rPr>
      </w:pPr>
    </w:p>
    <w:p w14:paraId="11E0A184" w14:textId="77777777" w:rsidR="00A926F4" w:rsidRPr="00B7229E" w:rsidRDefault="00A926F4" w:rsidP="00B7229E">
      <w:pPr>
        <w:spacing w:after="0" w:line="240" w:lineRule="auto"/>
        <w:jc w:val="both"/>
        <w:rPr>
          <w:rFonts w:ascii="Trebuchet MS" w:hAnsi="Trebuchet MS"/>
          <w:sz w:val="24"/>
          <w:szCs w:val="24"/>
          <w:lang w:val="es-CO"/>
        </w:rPr>
      </w:pPr>
      <w:r w:rsidRPr="00B7229E">
        <w:rPr>
          <w:rFonts w:ascii="Trebuchet MS" w:hAnsi="Trebuchet MS"/>
          <w:sz w:val="24"/>
          <w:szCs w:val="24"/>
          <w:lang w:val="es-CO"/>
        </w:rPr>
        <w:t xml:space="preserve">Bajo los principios de independencia e integralidad hemos venido trabajando para escuchar esas voces de quienes se encuentran en situación de vulnerabilidad, y ser el puente que permita exhortar al Estado colombiano para redoblar las acciones que garanticen las libertades fundamentales. </w:t>
      </w:r>
    </w:p>
    <w:p w14:paraId="60502378" w14:textId="77777777" w:rsidR="0069641B" w:rsidRPr="00B7229E" w:rsidRDefault="0069641B" w:rsidP="00B7229E">
      <w:pPr>
        <w:spacing w:line="240" w:lineRule="auto"/>
        <w:contextualSpacing/>
        <w:jc w:val="both"/>
        <w:rPr>
          <w:rFonts w:ascii="Trebuchet MS" w:hAnsi="Trebuchet MS" w:cs="Segoe UI"/>
          <w:color w:val="0D0D0D"/>
          <w:sz w:val="24"/>
          <w:szCs w:val="24"/>
          <w:shd w:val="clear" w:color="auto" w:fill="FFFFFF"/>
        </w:rPr>
      </w:pPr>
    </w:p>
    <w:p w14:paraId="7D6DA9F3" w14:textId="3581F6D0" w:rsidR="0069641B" w:rsidRPr="00B7229E" w:rsidRDefault="0069641B" w:rsidP="00B7229E">
      <w:pPr>
        <w:spacing w:line="240" w:lineRule="auto"/>
        <w:contextualSpacing/>
        <w:jc w:val="both"/>
        <w:rPr>
          <w:rFonts w:ascii="Trebuchet MS" w:hAnsi="Trebuchet MS" w:cs="Segoe UI"/>
          <w:color w:val="0D0D0D"/>
          <w:sz w:val="24"/>
          <w:szCs w:val="24"/>
          <w:shd w:val="clear" w:color="auto" w:fill="FFFFFF"/>
        </w:rPr>
      </w:pPr>
      <w:r w:rsidRPr="00B7229E">
        <w:rPr>
          <w:rFonts w:ascii="Trebuchet MS" w:hAnsi="Trebuchet MS" w:cs="Segoe UI"/>
          <w:color w:val="0D0D0D"/>
          <w:sz w:val="24"/>
          <w:szCs w:val="24"/>
          <w:shd w:val="clear" w:color="auto" w:fill="FFFFFF"/>
        </w:rPr>
        <w:t xml:space="preserve">Este proceso se hace de manera estrecha con nuestras Defensorías Regionales a lo largo del </w:t>
      </w:r>
      <w:r w:rsidR="00B7229E" w:rsidRPr="00B7229E">
        <w:rPr>
          <w:rFonts w:ascii="Trebuchet MS" w:hAnsi="Trebuchet MS" w:cs="Segoe UI"/>
          <w:color w:val="0D0D0D"/>
          <w:sz w:val="24"/>
          <w:szCs w:val="24"/>
          <w:shd w:val="clear" w:color="auto" w:fill="FFFFFF"/>
        </w:rPr>
        <w:t>país</w:t>
      </w:r>
      <w:r w:rsidRPr="00B7229E">
        <w:rPr>
          <w:rFonts w:ascii="Trebuchet MS" w:hAnsi="Trebuchet MS" w:cs="Segoe UI"/>
          <w:color w:val="0D0D0D"/>
          <w:sz w:val="24"/>
          <w:szCs w:val="24"/>
          <w:shd w:val="clear" w:color="auto" w:fill="FFFFFF"/>
        </w:rPr>
        <w:t xml:space="preserve"> las cuales cuenta con la información de primera mano sobre las situaciones de vulneración en DDHH y la implementación de acciones en los territorios más alejados del país. </w:t>
      </w:r>
    </w:p>
    <w:p w14:paraId="5D8D7070" w14:textId="77777777" w:rsidR="0069641B" w:rsidRPr="00B7229E" w:rsidRDefault="0069641B" w:rsidP="00B7229E">
      <w:pPr>
        <w:spacing w:line="240" w:lineRule="auto"/>
        <w:contextualSpacing/>
        <w:jc w:val="both"/>
        <w:rPr>
          <w:rFonts w:ascii="Trebuchet MS" w:hAnsi="Trebuchet MS" w:cs="Segoe UI"/>
          <w:color w:val="0D0D0D"/>
          <w:sz w:val="24"/>
          <w:szCs w:val="24"/>
          <w:shd w:val="clear" w:color="auto" w:fill="FFFFFF"/>
        </w:rPr>
      </w:pPr>
    </w:p>
    <w:p w14:paraId="7C6926EE" w14:textId="3A8B943C" w:rsidR="0069641B" w:rsidRPr="00B7229E" w:rsidRDefault="0069641B" w:rsidP="00B7229E">
      <w:pPr>
        <w:spacing w:after="0" w:line="240" w:lineRule="auto"/>
        <w:jc w:val="both"/>
        <w:rPr>
          <w:rFonts w:ascii="Trebuchet MS" w:hAnsi="Trebuchet MS"/>
          <w:sz w:val="24"/>
          <w:szCs w:val="24"/>
          <w:lang w:val="es-CO"/>
        </w:rPr>
      </w:pPr>
      <w:r w:rsidRPr="00B7229E">
        <w:rPr>
          <w:rFonts w:ascii="Trebuchet MS" w:hAnsi="Trebuchet MS"/>
          <w:sz w:val="24"/>
          <w:szCs w:val="24"/>
          <w:lang w:val="es-CO"/>
        </w:rPr>
        <w:t xml:space="preserve">Asimismo, mediante </w:t>
      </w:r>
      <w:r w:rsidR="002334B6" w:rsidRPr="00B7229E">
        <w:rPr>
          <w:rFonts w:ascii="Trebuchet MS" w:hAnsi="Trebuchet MS"/>
          <w:sz w:val="24"/>
          <w:szCs w:val="24"/>
          <w:lang w:val="es-CO"/>
        </w:rPr>
        <w:t>nuestras 4 direcciones nacionales y</w:t>
      </w:r>
      <w:r w:rsidRPr="00B7229E">
        <w:rPr>
          <w:rFonts w:ascii="Trebuchet MS" w:hAnsi="Trebuchet MS"/>
          <w:sz w:val="24"/>
          <w:szCs w:val="24"/>
          <w:lang w:val="es-CO"/>
        </w:rPr>
        <w:t xml:space="preserve"> 18 Defensorías </w:t>
      </w:r>
      <w:proofErr w:type="gramStart"/>
      <w:r w:rsidRPr="00B7229E">
        <w:rPr>
          <w:rFonts w:ascii="Trebuchet MS" w:hAnsi="Trebuchet MS"/>
          <w:sz w:val="24"/>
          <w:szCs w:val="24"/>
          <w:lang w:val="es-CO"/>
        </w:rPr>
        <w:t>Delegadas</w:t>
      </w:r>
      <w:proofErr w:type="gramEnd"/>
      <w:r w:rsidRPr="00B7229E">
        <w:rPr>
          <w:rFonts w:ascii="Trebuchet MS" w:hAnsi="Trebuchet MS"/>
          <w:sz w:val="24"/>
          <w:szCs w:val="24"/>
          <w:lang w:val="es-CO"/>
        </w:rPr>
        <w:t xml:space="preserve"> se impulsa la restitución de los derechos vulnerados o en riesgo, en materia de acceso a la justicia, derecho internacional humanitario, así como también se adelantan e implementan acciones de promoción y divulgación para empoderar a las comunidades para el goce efectivo de los derechos fundamentales.</w:t>
      </w:r>
    </w:p>
    <w:p w14:paraId="2274F85F" w14:textId="77777777" w:rsidR="0069641B" w:rsidRPr="00B7229E" w:rsidRDefault="0069641B" w:rsidP="00B7229E">
      <w:pPr>
        <w:spacing w:line="240" w:lineRule="auto"/>
        <w:contextualSpacing/>
        <w:jc w:val="both"/>
        <w:rPr>
          <w:rFonts w:ascii="Trebuchet MS" w:hAnsi="Trebuchet MS" w:cs="Segoe UI"/>
          <w:color w:val="0D0D0D"/>
          <w:sz w:val="24"/>
          <w:szCs w:val="24"/>
          <w:shd w:val="clear" w:color="auto" w:fill="FFFFFF"/>
          <w:lang w:val="es-CO"/>
        </w:rPr>
      </w:pPr>
    </w:p>
    <w:p w14:paraId="731DDD0A" w14:textId="77777777" w:rsidR="0069641B" w:rsidRPr="00B7229E" w:rsidRDefault="0069641B" w:rsidP="00B7229E">
      <w:pPr>
        <w:spacing w:line="240" w:lineRule="auto"/>
        <w:contextualSpacing/>
        <w:jc w:val="both"/>
        <w:rPr>
          <w:rFonts w:ascii="Trebuchet MS" w:hAnsi="Trebuchet MS" w:cs="Segoe UI"/>
          <w:color w:val="0D0D0D"/>
          <w:sz w:val="24"/>
          <w:szCs w:val="24"/>
          <w:shd w:val="clear" w:color="auto" w:fill="FFFFFF"/>
        </w:rPr>
      </w:pPr>
    </w:p>
    <w:p w14:paraId="5BB5BBF2" w14:textId="77777777" w:rsidR="0069641B" w:rsidRPr="00B7229E" w:rsidRDefault="0069641B" w:rsidP="00B7229E">
      <w:pPr>
        <w:spacing w:line="240" w:lineRule="auto"/>
        <w:contextualSpacing/>
        <w:jc w:val="both"/>
        <w:rPr>
          <w:rFonts w:ascii="Trebuchet MS" w:hAnsi="Trebuchet MS" w:cs="Segoe UI"/>
          <w:color w:val="0D0D0D"/>
          <w:sz w:val="24"/>
          <w:szCs w:val="24"/>
          <w:shd w:val="clear" w:color="auto" w:fill="FFFFFF"/>
        </w:rPr>
      </w:pPr>
      <w:r w:rsidRPr="00B7229E">
        <w:rPr>
          <w:rFonts w:ascii="Trebuchet MS" w:hAnsi="Trebuchet MS" w:cs="Segoe UI"/>
          <w:color w:val="0D0D0D"/>
          <w:sz w:val="24"/>
          <w:szCs w:val="24"/>
          <w:shd w:val="clear" w:color="auto" w:fill="FFFFFF"/>
        </w:rPr>
        <w:t>Asimismo, la Defensoría del Pueblo colabora con entidades del gobierno a nivel nacional y regional para garantizar la protección de los derechos humanos. Esta colaboración incluye la coordinación con ministerios, gobernaciones, alcaldías y otras entidades públicas para resolver problemas relacionados con violaciones de derechos humanos, atención a poblaciones vulnerables, entre otros.</w:t>
      </w:r>
    </w:p>
    <w:p w14:paraId="65F821BB" w14:textId="77777777" w:rsidR="0069641B" w:rsidRPr="00B7229E" w:rsidRDefault="0069641B" w:rsidP="00B7229E">
      <w:pPr>
        <w:spacing w:line="240" w:lineRule="auto"/>
        <w:contextualSpacing/>
        <w:jc w:val="both"/>
        <w:rPr>
          <w:rFonts w:ascii="Trebuchet MS" w:hAnsi="Trebuchet MS" w:cs="Segoe UI"/>
          <w:color w:val="0D0D0D"/>
          <w:sz w:val="24"/>
          <w:szCs w:val="24"/>
          <w:shd w:val="clear" w:color="auto" w:fill="FFFFFF"/>
        </w:rPr>
      </w:pPr>
    </w:p>
    <w:p w14:paraId="242CAC68" w14:textId="40E809B2" w:rsidR="0069641B" w:rsidRPr="00B7229E" w:rsidRDefault="0069641B" w:rsidP="00B7229E">
      <w:pPr>
        <w:spacing w:line="240" w:lineRule="auto"/>
        <w:contextualSpacing/>
        <w:jc w:val="both"/>
        <w:rPr>
          <w:rFonts w:ascii="Trebuchet MS" w:hAnsi="Trebuchet MS" w:cs="Segoe UI"/>
          <w:color w:val="0D0D0D"/>
          <w:sz w:val="24"/>
          <w:szCs w:val="24"/>
          <w:shd w:val="clear" w:color="auto" w:fill="FFFFFF"/>
        </w:rPr>
      </w:pPr>
      <w:r w:rsidRPr="00B7229E">
        <w:rPr>
          <w:rFonts w:ascii="Trebuchet MS" w:hAnsi="Trebuchet MS" w:cs="Segoe UI"/>
          <w:color w:val="0D0D0D"/>
          <w:sz w:val="24"/>
          <w:szCs w:val="24"/>
          <w:shd w:val="clear" w:color="auto" w:fill="FFFFFF"/>
        </w:rPr>
        <w:t>Al desarrollar el ejercicio de seguimiento en materia de derechos humanos solicitamos la respectiva información a las entidades y autoridades competentes con el fin de emitir informes y recomendaciones sobre situaciones que afectan los derechos humanos y así guiar sus acciones.</w:t>
      </w:r>
    </w:p>
    <w:p w14:paraId="552E2AAF" w14:textId="77777777" w:rsidR="00A926F4" w:rsidRPr="00B7229E" w:rsidRDefault="00A926F4" w:rsidP="00B7229E">
      <w:pPr>
        <w:spacing w:after="0" w:line="240" w:lineRule="auto"/>
        <w:jc w:val="both"/>
        <w:rPr>
          <w:rFonts w:ascii="Trebuchet MS" w:hAnsi="Trebuchet MS"/>
          <w:sz w:val="24"/>
          <w:szCs w:val="24"/>
        </w:rPr>
      </w:pPr>
    </w:p>
    <w:p w14:paraId="6AB66CB2" w14:textId="7CC8411D" w:rsidR="00BE7819" w:rsidRPr="00B7229E" w:rsidRDefault="00A926F4" w:rsidP="00B7229E">
      <w:pPr>
        <w:pStyle w:val="ListParagraph"/>
        <w:numPr>
          <w:ilvl w:val="0"/>
          <w:numId w:val="11"/>
        </w:numPr>
        <w:spacing w:after="0" w:line="240" w:lineRule="auto"/>
        <w:jc w:val="both"/>
        <w:rPr>
          <w:rFonts w:ascii="Trebuchet MS" w:hAnsi="Trebuchet MS"/>
          <w:b/>
          <w:bCs/>
          <w:color w:val="002060"/>
          <w:sz w:val="24"/>
          <w:szCs w:val="24"/>
        </w:rPr>
      </w:pPr>
      <w:r w:rsidRPr="00B7229E">
        <w:rPr>
          <w:rFonts w:ascii="Trebuchet MS" w:hAnsi="Trebuchet MS"/>
          <w:b/>
          <w:bCs/>
          <w:sz w:val="24"/>
          <w:szCs w:val="24"/>
        </w:rPr>
        <w:t>Para el próximo quinto ciclo (2027-2032), proporcione sugerencias de innovaciones que podrían introducirse de manera realista en relación con la participación de las INDH en todas las etapas del ciclo (por ejemplo, en las consultas nacionales con el Gobierno y otras partes interesadas, la estandarización de las presentaciones de las INDH, los informes de mitad de período, las modalidades de seguimiento y el intercambio de conocimientos).</w:t>
      </w:r>
    </w:p>
    <w:p w14:paraId="2976E867" w14:textId="77777777" w:rsidR="002334B6" w:rsidRPr="00B7229E" w:rsidRDefault="002334B6" w:rsidP="00B7229E">
      <w:pPr>
        <w:spacing w:after="0" w:line="240" w:lineRule="auto"/>
        <w:jc w:val="both"/>
        <w:rPr>
          <w:rFonts w:ascii="Trebuchet MS" w:hAnsi="Trebuchet MS"/>
          <w:b/>
          <w:bCs/>
          <w:color w:val="002060"/>
          <w:sz w:val="24"/>
          <w:szCs w:val="24"/>
        </w:rPr>
      </w:pPr>
    </w:p>
    <w:p w14:paraId="19725B32" w14:textId="77777777" w:rsidR="00B7229E" w:rsidRPr="00B7229E" w:rsidRDefault="00B7229E" w:rsidP="00B7229E">
      <w:p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t>Desde la Defensoría del Pueblo de Colombia reconocemos la importancia estratégica del Examen Periódico Universal (EPU) como mecanismo de seguimiento y diálogo internacional en materia de derechos humanos. No obstante, actualmente la institución no cuenta con un plan estratégico específico orientado a la participación sistemática en el EPU, ni se han desarrollado iniciativas estructuradas para la difusión amplia de sus resultados a nivel nacional.</w:t>
      </w:r>
    </w:p>
    <w:p w14:paraId="532152B2" w14:textId="189D3278" w:rsidR="00B7229E" w:rsidRPr="00B7229E" w:rsidRDefault="00B7229E" w:rsidP="00B7229E">
      <w:p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t>Una vez los resultados del EPU son oficialmente compartidos por la Cancillería</w:t>
      </w:r>
      <w:r>
        <w:rPr>
          <w:rFonts w:ascii="Trebuchet MS" w:hAnsi="Trebuchet MS" w:cs="Segoe UI"/>
          <w:color w:val="0D0D0D"/>
          <w:sz w:val="24"/>
          <w:szCs w:val="24"/>
          <w:shd w:val="clear" w:color="auto" w:fill="FFFFFF"/>
          <w:lang w:val="es-CO"/>
        </w:rPr>
        <w:t xml:space="preserve"> de Colombia</w:t>
      </w:r>
      <w:r w:rsidRPr="00B7229E">
        <w:rPr>
          <w:rFonts w:ascii="Trebuchet MS" w:hAnsi="Trebuchet MS" w:cs="Segoe UI"/>
          <w:color w:val="0D0D0D"/>
          <w:sz w:val="24"/>
          <w:szCs w:val="24"/>
          <w:shd w:val="clear" w:color="auto" w:fill="FFFFFF"/>
          <w:lang w:val="es-CO"/>
        </w:rPr>
        <w:t xml:space="preserve">, las distintas Defensorías </w:t>
      </w:r>
      <w:proofErr w:type="gramStart"/>
      <w:r w:rsidRPr="00B7229E">
        <w:rPr>
          <w:rFonts w:ascii="Trebuchet MS" w:hAnsi="Trebuchet MS" w:cs="Segoe UI"/>
          <w:color w:val="0D0D0D"/>
          <w:sz w:val="24"/>
          <w:szCs w:val="24"/>
          <w:shd w:val="clear" w:color="auto" w:fill="FFFFFF"/>
          <w:lang w:val="es-CO"/>
        </w:rPr>
        <w:t>Delegadas</w:t>
      </w:r>
      <w:proofErr w:type="gramEnd"/>
      <w:r w:rsidRPr="00B7229E">
        <w:rPr>
          <w:rFonts w:ascii="Trebuchet MS" w:hAnsi="Trebuchet MS" w:cs="Segoe UI"/>
          <w:color w:val="0D0D0D"/>
          <w:sz w:val="24"/>
          <w:szCs w:val="24"/>
          <w:shd w:val="clear" w:color="auto" w:fill="FFFFFF"/>
          <w:lang w:val="es-CO"/>
        </w:rPr>
        <w:t xml:space="preserve"> los utilizan como insumo técnico para el seguimiento a la situación de derechos humanos en el país y para la priorización de acciones dentro de sus respectivos mandatos. Sin embargo, este uso ha sido principalmente sectorial y no articulado bajo una metodología institucional integral.</w:t>
      </w:r>
    </w:p>
    <w:p w14:paraId="406E6615" w14:textId="77777777" w:rsidR="00B7229E" w:rsidRPr="00B7229E" w:rsidRDefault="00B7229E" w:rsidP="00B7229E">
      <w:p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t>En este sentido, para el quinto ciclo (2027–2032), consideramos que podrían introducirse innovaciones realistas orientadas a fortalecer la participación de las INDH en todas las etapas del proceso. Entre ellas destacamos:</w:t>
      </w:r>
    </w:p>
    <w:p w14:paraId="664F114A" w14:textId="77777777" w:rsidR="00B7229E" w:rsidRPr="00B7229E" w:rsidRDefault="00B7229E" w:rsidP="00B7229E">
      <w:pPr>
        <w:numPr>
          <w:ilvl w:val="0"/>
          <w:numId w:val="12"/>
        </w:num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t>El desarrollo de orientaciones metodológicas más estandarizadas para la presentación de informes por parte de las INDH, que faciliten la comparabilidad y el seguimiento temático entre ciclos.</w:t>
      </w:r>
    </w:p>
    <w:p w14:paraId="02571FAD" w14:textId="77777777" w:rsidR="00B7229E" w:rsidRPr="00B7229E" w:rsidRDefault="00B7229E" w:rsidP="00B7229E">
      <w:pPr>
        <w:numPr>
          <w:ilvl w:val="0"/>
          <w:numId w:val="12"/>
        </w:num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t xml:space="preserve">El fortalecimiento de las consultas nacionales estructuradas con </w:t>
      </w:r>
      <w:proofErr w:type="gramStart"/>
      <w:r w:rsidRPr="00B7229E">
        <w:rPr>
          <w:rFonts w:ascii="Trebuchet MS" w:hAnsi="Trebuchet MS" w:cs="Segoe UI"/>
          <w:color w:val="0D0D0D"/>
          <w:sz w:val="24"/>
          <w:szCs w:val="24"/>
          <w:shd w:val="clear" w:color="auto" w:fill="FFFFFF"/>
          <w:lang w:val="es-CO"/>
        </w:rPr>
        <w:t>participación activa</w:t>
      </w:r>
      <w:proofErr w:type="gramEnd"/>
      <w:r w:rsidRPr="00B7229E">
        <w:rPr>
          <w:rFonts w:ascii="Trebuchet MS" w:hAnsi="Trebuchet MS" w:cs="Segoe UI"/>
          <w:color w:val="0D0D0D"/>
          <w:sz w:val="24"/>
          <w:szCs w:val="24"/>
          <w:shd w:val="clear" w:color="auto" w:fill="FFFFFF"/>
          <w:lang w:val="es-CO"/>
        </w:rPr>
        <w:t xml:space="preserve"> de las INDH en la fase preparatoria del examen.</w:t>
      </w:r>
    </w:p>
    <w:p w14:paraId="6366D084" w14:textId="77777777" w:rsidR="00B7229E" w:rsidRPr="00B7229E" w:rsidRDefault="00B7229E" w:rsidP="00B7229E">
      <w:pPr>
        <w:numPr>
          <w:ilvl w:val="0"/>
          <w:numId w:val="12"/>
        </w:num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lastRenderedPageBreak/>
        <w:t>La institucionalización de mecanismos de seguimiento intermedio, incluyendo informes de mitad de período con participación técnica de las INDH.</w:t>
      </w:r>
    </w:p>
    <w:p w14:paraId="7A5A3949" w14:textId="77777777" w:rsidR="00B7229E" w:rsidRPr="00B7229E" w:rsidRDefault="00B7229E" w:rsidP="00B7229E">
      <w:pPr>
        <w:numPr>
          <w:ilvl w:val="0"/>
          <w:numId w:val="12"/>
        </w:num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t>La creación de espacios periódicos de intercambio de buenas prácticas entre INDH, facilitados por el ACNUDH, sobre metodologías de monitoreo, seguimiento e incidencia.</w:t>
      </w:r>
    </w:p>
    <w:p w14:paraId="7254947C" w14:textId="77777777" w:rsidR="00B7229E" w:rsidRPr="00B7229E" w:rsidRDefault="00B7229E" w:rsidP="00B7229E">
      <w:pPr>
        <w:numPr>
          <w:ilvl w:val="0"/>
          <w:numId w:val="12"/>
        </w:num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t>El fortalecimiento de programas de capacitación dirigidos a las dependencias misionales de las INDH sobre el uso estratégico del EPU como herramienta de incidencia nacional.</w:t>
      </w:r>
    </w:p>
    <w:p w14:paraId="31D159B3" w14:textId="77777777" w:rsidR="00B7229E" w:rsidRPr="00B7229E" w:rsidRDefault="00B7229E" w:rsidP="00B7229E">
      <w:p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t>Desde la Defensoría del Pueblo de Colombia manifestamos nuestro interés en profundizar la articulación con el ACNUDH con el fin de participar de manera más activa en todas las etapas del ciclo. En esta línea, proyectamos avanzar en la construcción de una metodología institucional y un plan de trabajo interno que permita sistematizar el seguimiento a las recomendaciones aceptadas por el Estado colombiano, fortalecer el monitoreo de su implementación y presentar informes sombra más estructurados en el próximo ciclo.</w:t>
      </w:r>
    </w:p>
    <w:p w14:paraId="476AFD38" w14:textId="77777777" w:rsidR="00B7229E" w:rsidRPr="00B7229E" w:rsidRDefault="00B7229E" w:rsidP="00B7229E">
      <w:pPr>
        <w:spacing w:line="240" w:lineRule="auto"/>
        <w:jc w:val="both"/>
        <w:rPr>
          <w:rFonts w:ascii="Trebuchet MS" w:hAnsi="Trebuchet MS" w:cs="Segoe UI"/>
          <w:color w:val="0D0D0D"/>
          <w:sz w:val="24"/>
          <w:szCs w:val="24"/>
          <w:shd w:val="clear" w:color="auto" w:fill="FFFFFF"/>
          <w:lang w:val="es-CO"/>
        </w:rPr>
      </w:pPr>
      <w:r w:rsidRPr="00B7229E">
        <w:rPr>
          <w:rFonts w:ascii="Trebuchet MS" w:hAnsi="Trebuchet MS" w:cs="Segoe UI"/>
          <w:color w:val="0D0D0D"/>
          <w:sz w:val="24"/>
          <w:szCs w:val="24"/>
          <w:shd w:val="clear" w:color="auto" w:fill="FFFFFF"/>
          <w:lang w:val="es-CO"/>
        </w:rPr>
        <w:t>Consideramos que el quinto ciclo representa una oportunidad para fortalecer el rol de las INDH como actores puente entre el ámbito internacional y la implementación nacional de las recomendaciones de derechos humanos.</w:t>
      </w:r>
    </w:p>
    <w:p w14:paraId="67815DD8" w14:textId="0940E3DD" w:rsidR="00D326B1" w:rsidRPr="00B7229E" w:rsidRDefault="00D326B1" w:rsidP="00B7229E">
      <w:pPr>
        <w:spacing w:line="240" w:lineRule="auto"/>
        <w:jc w:val="both"/>
        <w:rPr>
          <w:rFonts w:ascii="Trebuchet MS" w:hAnsi="Trebuchet MS" w:cs="Segoe UI"/>
          <w:color w:val="0D0D0D"/>
          <w:sz w:val="24"/>
          <w:szCs w:val="24"/>
          <w:shd w:val="clear" w:color="auto" w:fill="FFFFFF"/>
          <w:lang w:val="es-CO"/>
        </w:rPr>
      </w:pPr>
    </w:p>
    <w:sectPr w:rsidR="00D326B1" w:rsidRPr="00B7229E" w:rsidSect="00160156">
      <w:headerReference w:type="default" r:id="rId8"/>
      <w:footerReference w:type="default" r:id="rId9"/>
      <w:pgSz w:w="12240" w:h="15840"/>
      <w:pgMar w:top="1985" w:right="1701" w:bottom="1418" w:left="1701" w:header="1814"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81DC4" w14:textId="77777777" w:rsidR="00E55E4B" w:rsidRDefault="00E55E4B" w:rsidP="00514DF6">
      <w:pPr>
        <w:spacing w:after="0" w:line="240" w:lineRule="auto"/>
      </w:pPr>
      <w:r>
        <w:separator/>
      </w:r>
    </w:p>
  </w:endnote>
  <w:endnote w:type="continuationSeparator" w:id="0">
    <w:p w14:paraId="465264BC" w14:textId="77777777" w:rsidR="00E55E4B" w:rsidRDefault="00E55E4B" w:rsidP="00514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icrosoft PhagsPa">
    <w:panose1 w:val="020B0502040204020203"/>
    <w:charset w:val="00"/>
    <w:family w:val="swiss"/>
    <w:pitch w:val="variable"/>
    <w:sig w:usb0="00000003" w:usb1="00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578344"/>
      <w:docPartObj>
        <w:docPartGallery w:val="Page Numbers (Bottom of Page)"/>
        <w:docPartUnique/>
      </w:docPartObj>
    </w:sdtPr>
    <w:sdtEndPr>
      <w:rPr>
        <w:rFonts w:ascii="Microsoft PhagsPa" w:hAnsi="Microsoft PhagsPa"/>
        <w:b/>
        <w:bCs/>
        <w:color w:val="002060"/>
        <w:sz w:val="24"/>
        <w:szCs w:val="24"/>
      </w:rPr>
    </w:sdtEndPr>
    <w:sdtContent>
      <w:p w14:paraId="40F643DB" w14:textId="77777777" w:rsidR="00BC21AB" w:rsidRPr="001D41AC" w:rsidRDefault="00BC21AB" w:rsidP="001D41AC">
        <w:pPr>
          <w:pStyle w:val="Footer"/>
          <w:jc w:val="center"/>
          <w:rPr>
            <w:rFonts w:ascii="Microsoft PhagsPa" w:hAnsi="Microsoft PhagsPa"/>
            <w:b/>
            <w:bCs/>
            <w:color w:val="002060"/>
            <w:sz w:val="24"/>
            <w:szCs w:val="24"/>
          </w:rPr>
        </w:pPr>
        <w:r w:rsidRPr="001D41AC">
          <w:rPr>
            <w:rFonts w:ascii="Microsoft PhagsPa" w:hAnsi="Microsoft PhagsPa"/>
            <w:b/>
            <w:bCs/>
            <w:color w:val="002060"/>
            <w:sz w:val="24"/>
            <w:szCs w:val="24"/>
          </w:rPr>
          <w:fldChar w:fldCharType="begin"/>
        </w:r>
        <w:r w:rsidRPr="001D41AC">
          <w:rPr>
            <w:rFonts w:ascii="Microsoft PhagsPa" w:hAnsi="Microsoft PhagsPa"/>
            <w:b/>
            <w:bCs/>
            <w:color w:val="002060"/>
            <w:sz w:val="24"/>
            <w:szCs w:val="24"/>
          </w:rPr>
          <w:instrText>PAGE   \* MERGEFORMAT</w:instrText>
        </w:r>
        <w:r w:rsidRPr="001D41AC">
          <w:rPr>
            <w:rFonts w:ascii="Microsoft PhagsPa" w:hAnsi="Microsoft PhagsPa"/>
            <w:b/>
            <w:bCs/>
            <w:color w:val="002060"/>
            <w:sz w:val="24"/>
            <w:szCs w:val="24"/>
          </w:rPr>
          <w:fldChar w:fldCharType="separate"/>
        </w:r>
        <w:r w:rsidR="00914F1F" w:rsidRPr="001D41AC">
          <w:rPr>
            <w:rFonts w:ascii="Microsoft PhagsPa" w:hAnsi="Microsoft PhagsPa"/>
            <w:b/>
            <w:bCs/>
            <w:noProof/>
            <w:color w:val="002060"/>
            <w:sz w:val="24"/>
            <w:szCs w:val="24"/>
            <w:lang w:val="es-ES"/>
          </w:rPr>
          <w:t>3</w:t>
        </w:r>
        <w:r w:rsidRPr="001D41AC">
          <w:rPr>
            <w:rFonts w:ascii="Microsoft PhagsPa" w:hAnsi="Microsoft PhagsPa"/>
            <w:b/>
            <w:bCs/>
            <w:color w:val="002060"/>
            <w:sz w:val="24"/>
            <w:szCs w:val="24"/>
          </w:rPr>
          <w:fldChar w:fldCharType="end"/>
        </w:r>
      </w:p>
    </w:sdtContent>
  </w:sdt>
  <w:p w14:paraId="42960C5D" w14:textId="77777777" w:rsidR="00CC1DDA" w:rsidRDefault="00CC1DDA" w:rsidP="001D41AC">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25BF3" w14:textId="77777777" w:rsidR="00E55E4B" w:rsidRDefault="00E55E4B" w:rsidP="00514DF6">
      <w:pPr>
        <w:spacing w:after="0" w:line="240" w:lineRule="auto"/>
      </w:pPr>
      <w:r>
        <w:separator/>
      </w:r>
    </w:p>
  </w:footnote>
  <w:footnote w:type="continuationSeparator" w:id="0">
    <w:p w14:paraId="45D3948A" w14:textId="77777777" w:rsidR="00E55E4B" w:rsidRDefault="00E55E4B" w:rsidP="00514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05A7" w14:textId="77777777" w:rsidR="001864F3" w:rsidRDefault="00BF4F2B">
    <w:pPr>
      <w:pStyle w:val="Header"/>
    </w:pPr>
    <w:r>
      <w:rPr>
        <w:noProof/>
      </w:rPr>
      <w:drawing>
        <wp:anchor distT="0" distB="0" distL="114300" distR="114300" simplePos="0" relativeHeight="251658240" behindDoc="0" locked="0" layoutInCell="1" allowOverlap="1" wp14:anchorId="33C1EAA9" wp14:editId="31543707">
          <wp:simplePos x="0" y="0"/>
          <wp:positionH relativeFrom="margin">
            <wp:posOffset>-95250</wp:posOffset>
          </wp:positionH>
          <wp:positionV relativeFrom="paragraph">
            <wp:posOffset>-1038860</wp:posOffset>
          </wp:positionV>
          <wp:extent cx="977265" cy="1198245"/>
          <wp:effectExtent l="0" t="0" r="0" b="0"/>
          <wp:wrapSquare wrapText="bothSides"/>
          <wp:docPr id="656536861" name="Imagen 1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536861" name="Imagen 14"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977265" cy="1198245"/>
                  </a:xfrm>
                  <a:prstGeom prst="rect">
                    <a:avLst/>
                  </a:prstGeom>
                </pic:spPr>
              </pic:pic>
            </a:graphicData>
          </a:graphic>
          <wp14:sizeRelH relativeFrom="margin">
            <wp14:pctWidth>0</wp14:pctWidth>
          </wp14:sizeRelH>
          <wp14:sizeRelV relativeFrom="margin">
            <wp14:pctHeight>0</wp14:pctHeight>
          </wp14:sizeRelV>
        </wp:anchor>
      </w:drawing>
    </w:r>
    <w:r w:rsidR="00F95440">
      <w:rPr>
        <w:noProof/>
      </w:rPr>
      <w:drawing>
        <wp:anchor distT="0" distB="0" distL="114300" distR="114300" simplePos="0" relativeHeight="251658241" behindDoc="0" locked="0" layoutInCell="1" allowOverlap="1" wp14:anchorId="06CFD506" wp14:editId="6E2BF39C">
          <wp:simplePos x="0" y="0"/>
          <wp:positionH relativeFrom="column">
            <wp:posOffset>3845560</wp:posOffset>
          </wp:positionH>
          <wp:positionV relativeFrom="paragraph">
            <wp:posOffset>-486410</wp:posOffset>
          </wp:positionV>
          <wp:extent cx="1704975" cy="202109"/>
          <wp:effectExtent l="0" t="0" r="0" b="127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
                    <a:extLst>
                      <a:ext uri="{28A0092B-C50C-407E-A947-70E740481C1C}">
                        <a14:useLocalDpi xmlns:a14="http://schemas.microsoft.com/office/drawing/2010/main" val="0"/>
                      </a:ext>
                    </a:extLst>
                  </a:blip>
                  <a:stretch>
                    <a:fillRect/>
                  </a:stretch>
                </pic:blipFill>
                <pic:spPr>
                  <a:xfrm>
                    <a:off x="0" y="0"/>
                    <a:ext cx="1704975" cy="2021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2B24"/>
    <w:multiLevelType w:val="hybridMultilevel"/>
    <w:tmpl w:val="AE5A25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E94836"/>
    <w:multiLevelType w:val="hybridMultilevel"/>
    <w:tmpl w:val="A5A4F3FA"/>
    <w:lvl w:ilvl="0" w:tplc="67688A64">
      <w:numFmt w:val="bullet"/>
      <w:lvlText w:val="-"/>
      <w:lvlJc w:val="left"/>
      <w:pPr>
        <w:ind w:left="720" w:hanging="360"/>
      </w:pPr>
      <w:rPr>
        <w:rFonts w:ascii="Trebuchet MS" w:eastAsia="Times New Roman" w:hAnsi="Trebuchet MS"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DF10F01"/>
    <w:multiLevelType w:val="hybridMultilevel"/>
    <w:tmpl w:val="36EC4B10"/>
    <w:lvl w:ilvl="0" w:tplc="3FDC65C8">
      <w:start w:val="27"/>
      <w:numFmt w:val="bullet"/>
      <w:lvlText w:val="-"/>
      <w:lvlJc w:val="left"/>
      <w:pPr>
        <w:ind w:left="720" w:hanging="360"/>
      </w:pPr>
      <w:rPr>
        <w:rFonts w:ascii="Trebuchet MS" w:eastAsiaTheme="minorEastAsia" w:hAnsi="Trebuchet M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B534A1B"/>
    <w:multiLevelType w:val="hybridMultilevel"/>
    <w:tmpl w:val="491074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B766D0C"/>
    <w:multiLevelType w:val="hybridMultilevel"/>
    <w:tmpl w:val="6F047B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03B5C8B"/>
    <w:multiLevelType w:val="hybridMultilevel"/>
    <w:tmpl w:val="D2DCF97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4A7B03FF"/>
    <w:multiLevelType w:val="hybridMultilevel"/>
    <w:tmpl w:val="B92A0F7C"/>
    <w:lvl w:ilvl="0" w:tplc="D3424CB2">
      <w:numFmt w:val="bullet"/>
      <w:lvlText w:val="-"/>
      <w:lvlJc w:val="left"/>
      <w:pPr>
        <w:ind w:left="720" w:hanging="360"/>
      </w:pPr>
      <w:rPr>
        <w:rFonts w:ascii="Trebuchet MS" w:eastAsia="Times New Roman" w:hAnsi="Trebuchet MS"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564201A"/>
    <w:multiLevelType w:val="hybridMultilevel"/>
    <w:tmpl w:val="7BF4A6D8"/>
    <w:lvl w:ilvl="0" w:tplc="3FDC65C8">
      <w:start w:val="27"/>
      <w:numFmt w:val="bullet"/>
      <w:lvlText w:val="-"/>
      <w:lvlJc w:val="left"/>
      <w:pPr>
        <w:ind w:left="720" w:hanging="360"/>
      </w:pPr>
      <w:rPr>
        <w:rFonts w:ascii="Trebuchet MS" w:eastAsiaTheme="minorEastAsia" w:hAnsi="Trebuchet M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E761A65"/>
    <w:multiLevelType w:val="hybridMultilevel"/>
    <w:tmpl w:val="76889E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BA55BC3"/>
    <w:multiLevelType w:val="hybridMultilevel"/>
    <w:tmpl w:val="B1105912"/>
    <w:lvl w:ilvl="0" w:tplc="E81048EA">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734472E"/>
    <w:multiLevelType w:val="multilevel"/>
    <w:tmpl w:val="F646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2A0253"/>
    <w:multiLevelType w:val="hybridMultilevel"/>
    <w:tmpl w:val="DD689BA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703484032">
    <w:abstractNumId w:val="3"/>
  </w:num>
  <w:num w:numId="2" w16cid:durableId="842628217">
    <w:abstractNumId w:val="11"/>
  </w:num>
  <w:num w:numId="3" w16cid:durableId="168327761">
    <w:abstractNumId w:val="6"/>
  </w:num>
  <w:num w:numId="4" w16cid:durableId="271592125">
    <w:abstractNumId w:val="8"/>
  </w:num>
  <w:num w:numId="5" w16cid:durableId="1443299675">
    <w:abstractNumId w:val="4"/>
  </w:num>
  <w:num w:numId="6" w16cid:durableId="1015038271">
    <w:abstractNumId w:val="0"/>
  </w:num>
  <w:num w:numId="7" w16cid:durableId="1467429792">
    <w:abstractNumId w:val="9"/>
  </w:num>
  <w:num w:numId="8" w16cid:durableId="1325165834">
    <w:abstractNumId w:val="1"/>
  </w:num>
  <w:num w:numId="9" w16cid:durableId="921450701">
    <w:abstractNumId w:val="2"/>
  </w:num>
  <w:num w:numId="10" w16cid:durableId="1049380917">
    <w:abstractNumId w:val="7"/>
  </w:num>
  <w:num w:numId="11" w16cid:durableId="421924456">
    <w:abstractNumId w:val="5"/>
  </w:num>
  <w:num w:numId="12" w16cid:durableId="6602367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475"/>
    <w:rsid w:val="000B03AF"/>
    <w:rsid w:val="00121EFE"/>
    <w:rsid w:val="00160156"/>
    <w:rsid w:val="00174B89"/>
    <w:rsid w:val="001864F3"/>
    <w:rsid w:val="001C3C80"/>
    <w:rsid w:val="001D41AC"/>
    <w:rsid w:val="002334B6"/>
    <w:rsid w:val="002338DB"/>
    <w:rsid w:val="0028759A"/>
    <w:rsid w:val="002C67A4"/>
    <w:rsid w:val="00430180"/>
    <w:rsid w:val="004B0EA6"/>
    <w:rsid w:val="004B4BAA"/>
    <w:rsid w:val="004C6619"/>
    <w:rsid w:val="00514DF6"/>
    <w:rsid w:val="00525475"/>
    <w:rsid w:val="0054013B"/>
    <w:rsid w:val="0056315E"/>
    <w:rsid w:val="00567514"/>
    <w:rsid w:val="005959BF"/>
    <w:rsid w:val="005F3DE0"/>
    <w:rsid w:val="0060784E"/>
    <w:rsid w:val="0061308D"/>
    <w:rsid w:val="00637EFA"/>
    <w:rsid w:val="00667C61"/>
    <w:rsid w:val="00673E86"/>
    <w:rsid w:val="006741EE"/>
    <w:rsid w:val="0069641B"/>
    <w:rsid w:val="006B2835"/>
    <w:rsid w:val="007038BF"/>
    <w:rsid w:val="0073500C"/>
    <w:rsid w:val="00771DA7"/>
    <w:rsid w:val="00774385"/>
    <w:rsid w:val="007C2FE6"/>
    <w:rsid w:val="007E0913"/>
    <w:rsid w:val="007F3FDB"/>
    <w:rsid w:val="00870875"/>
    <w:rsid w:val="00880D6A"/>
    <w:rsid w:val="008B35FF"/>
    <w:rsid w:val="008D2843"/>
    <w:rsid w:val="00904CD0"/>
    <w:rsid w:val="00914F1F"/>
    <w:rsid w:val="00923069"/>
    <w:rsid w:val="00960427"/>
    <w:rsid w:val="0098422C"/>
    <w:rsid w:val="009B448E"/>
    <w:rsid w:val="009B5AC2"/>
    <w:rsid w:val="00A23FCF"/>
    <w:rsid w:val="00A77601"/>
    <w:rsid w:val="00A8095B"/>
    <w:rsid w:val="00A926F4"/>
    <w:rsid w:val="00AE7803"/>
    <w:rsid w:val="00AF2015"/>
    <w:rsid w:val="00B54D02"/>
    <w:rsid w:val="00B7229E"/>
    <w:rsid w:val="00BC0EA8"/>
    <w:rsid w:val="00BC21AB"/>
    <w:rsid w:val="00BD5F67"/>
    <w:rsid w:val="00BE77B8"/>
    <w:rsid w:val="00BE7819"/>
    <w:rsid w:val="00BF4F2B"/>
    <w:rsid w:val="00C31769"/>
    <w:rsid w:val="00C40392"/>
    <w:rsid w:val="00C45CE2"/>
    <w:rsid w:val="00C57AE6"/>
    <w:rsid w:val="00CA4357"/>
    <w:rsid w:val="00CC1DDA"/>
    <w:rsid w:val="00CD673C"/>
    <w:rsid w:val="00CF60CE"/>
    <w:rsid w:val="00D326B1"/>
    <w:rsid w:val="00D64E6E"/>
    <w:rsid w:val="00DB3E22"/>
    <w:rsid w:val="00DF58AD"/>
    <w:rsid w:val="00E55E4B"/>
    <w:rsid w:val="00E62708"/>
    <w:rsid w:val="00E702CC"/>
    <w:rsid w:val="00EC453C"/>
    <w:rsid w:val="00EE0035"/>
    <w:rsid w:val="00F05CBC"/>
    <w:rsid w:val="00F33E60"/>
    <w:rsid w:val="00F33E9E"/>
    <w:rsid w:val="00F81E2E"/>
    <w:rsid w:val="00F95440"/>
    <w:rsid w:val="00FA6F7B"/>
    <w:rsid w:val="00FD1CD2"/>
  </w:rsids>
  <m:mathPr>
    <m:mathFont m:val="Cambria Math"/>
    <m:brkBin m:val="before"/>
    <m:brkBinSub m:val="--"/>
    <m:smallFrac m:val="0"/>
    <m:dispDef/>
    <m:lMargin m:val="0"/>
    <m:rMargin m:val="0"/>
    <m:defJc m:val="centerGroup"/>
    <m:wrapIndent m:val="1440"/>
    <m:intLim m:val="subSup"/>
    <m:naryLim m:val="undOvr"/>
  </m:mathPr>
  <w:themeFontLang w:val="es-MX"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7810F"/>
  <w15:docId w15:val="{A142F788-4BF3-4695-8CCA-5F322A252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2">
    <w:name w:val="heading 2"/>
    <w:basedOn w:val="Normal"/>
    <w:link w:val="Heading2Char"/>
    <w:uiPriority w:val="9"/>
    <w:qFormat/>
    <w:rsid w:val="00525475"/>
    <w:pPr>
      <w:spacing w:before="100" w:beforeAutospacing="1" w:after="100" w:afterAutospacing="1" w:line="240" w:lineRule="auto"/>
      <w:outlineLvl w:val="1"/>
    </w:pPr>
    <w:rPr>
      <w:rFonts w:ascii="Times New Roman" w:eastAsia="Times New Roman" w:hAnsi="Times New Roman" w:cs="Times New Roman"/>
      <w:b/>
      <w:bCs/>
      <w:sz w:val="36"/>
      <w:szCs w:val="36"/>
      <w:lang w:val="es-CO" w:eastAsia="es-C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DF6"/>
    <w:pPr>
      <w:tabs>
        <w:tab w:val="center" w:pos="4419"/>
        <w:tab w:val="right" w:pos="8838"/>
      </w:tabs>
      <w:spacing w:after="0" w:line="240" w:lineRule="auto"/>
    </w:pPr>
  </w:style>
  <w:style w:type="character" w:customStyle="1" w:styleId="HeaderChar">
    <w:name w:val="Header Char"/>
    <w:basedOn w:val="DefaultParagraphFont"/>
    <w:link w:val="Header"/>
    <w:uiPriority w:val="99"/>
    <w:rsid w:val="00514DF6"/>
  </w:style>
  <w:style w:type="paragraph" w:styleId="Footer">
    <w:name w:val="footer"/>
    <w:basedOn w:val="Normal"/>
    <w:link w:val="FooterChar"/>
    <w:uiPriority w:val="99"/>
    <w:unhideWhenUsed/>
    <w:rsid w:val="00514DF6"/>
    <w:pPr>
      <w:tabs>
        <w:tab w:val="center" w:pos="4419"/>
        <w:tab w:val="right" w:pos="8838"/>
      </w:tabs>
      <w:spacing w:after="0" w:line="240" w:lineRule="auto"/>
    </w:pPr>
  </w:style>
  <w:style w:type="character" w:customStyle="1" w:styleId="FooterChar">
    <w:name w:val="Footer Char"/>
    <w:basedOn w:val="DefaultParagraphFont"/>
    <w:link w:val="Footer"/>
    <w:uiPriority w:val="99"/>
    <w:rsid w:val="00514DF6"/>
  </w:style>
  <w:style w:type="paragraph" w:styleId="BalloonText">
    <w:name w:val="Balloon Text"/>
    <w:basedOn w:val="Normal"/>
    <w:link w:val="BalloonTextChar"/>
    <w:uiPriority w:val="99"/>
    <w:semiHidden/>
    <w:unhideWhenUsed/>
    <w:rsid w:val="00514D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4DF6"/>
    <w:rPr>
      <w:rFonts w:ascii="Tahoma" w:hAnsi="Tahoma" w:cs="Tahoma"/>
      <w:sz w:val="16"/>
      <w:szCs w:val="16"/>
    </w:rPr>
  </w:style>
  <w:style w:type="paragraph" w:styleId="NormalWeb">
    <w:name w:val="Normal (Web)"/>
    <w:basedOn w:val="Normal"/>
    <w:uiPriority w:val="99"/>
    <w:unhideWhenUsed/>
    <w:rsid w:val="00CD673C"/>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NoSpacing">
    <w:name w:val="No Spacing"/>
    <w:link w:val="NoSpacingChar"/>
    <w:uiPriority w:val="1"/>
    <w:qFormat/>
    <w:rsid w:val="007038BF"/>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7038BF"/>
    <w:rPr>
      <w:rFonts w:eastAsiaTheme="minorEastAsia"/>
      <w:lang w:val="en-US" w:eastAsia="zh-CN"/>
    </w:rPr>
  </w:style>
  <w:style w:type="table" w:styleId="TableGrid">
    <w:name w:val="Table Grid"/>
    <w:basedOn w:val="TableNormal"/>
    <w:uiPriority w:val="59"/>
    <w:rsid w:val="00525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25475"/>
    <w:rPr>
      <w:rFonts w:ascii="Times New Roman" w:eastAsia="Times New Roman" w:hAnsi="Times New Roman" w:cs="Times New Roman"/>
      <w:b/>
      <w:bCs/>
      <w:sz w:val="36"/>
      <w:szCs w:val="36"/>
      <w:lang w:val="es-CO" w:eastAsia="es-CO"/>
    </w:rPr>
  </w:style>
  <w:style w:type="paragraph" w:styleId="ListParagraph">
    <w:name w:val="List Paragraph"/>
    <w:basedOn w:val="Normal"/>
    <w:uiPriority w:val="34"/>
    <w:qFormat/>
    <w:rsid w:val="00D326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1687">
      <w:bodyDiv w:val="1"/>
      <w:marLeft w:val="0"/>
      <w:marRight w:val="0"/>
      <w:marTop w:val="0"/>
      <w:marBottom w:val="0"/>
      <w:divBdr>
        <w:top w:val="none" w:sz="0" w:space="0" w:color="auto"/>
        <w:left w:val="none" w:sz="0" w:space="0" w:color="auto"/>
        <w:bottom w:val="none" w:sz="0" w:space="0" w:color="auto"/>
        <w:right w:val="none" w:sz="0" w:space="0" w:color="auto"/>
      </w:divBdr>
    </w:div>
    <w:div w:id="91316848">
      <w:bodyDiv w:val="1"/>
      <w:marLeft w:val="0"/>
      <w:marRight w:val="0"/>
      <w:marTop w:val="0"/>
      <w:marBottom w:val="0"/>
      <w:divBdr>
        <w:top w:val="none" w:sz="0" w:space="0" w:color="auto"/>
        <w:left w:val="none" w:sz="0" w:space="0" w:color="auto"/>
        <w:bottom w:val="none" w:sz="0" w:space="0" w:color="auto"/>
        <w:right w:val="none" w:sz="0" w:space="0" w:color="auto"/>
      </w:divBdr>
    </w:div>
    <w:div w:id="95685000">
      <w:bodyDiv w:val="1"/>
      <w:marLeft w:val="0"/>
      <w:marRight w:val="0"/>
      <w:marTop w:val="0"/>
      <w:marBottom w:val="0"/>
      <w:divBdr>
        <w:top w:val="none" w:sz="0" w:space="0" w:color="auto"/>
        <w:left w:val="none" w:sz="0" w:space="0" w:color="auto"/>
        <w:bottom w:val="none" w:sz="0" w:space="0" w:color="auto"/>
        <w:right w:val="none" w:sz="0" w:space="0" w:color="auto"/>
      </w:divBdr>
    </w:div>
    <w:div w:id="255481771">
      <w:bodyDiv w:val="1"/>
      <w:marLeft w:val="0"/>
      <w:marRight w:val="0"/>
      <w:marTop w:val="0"/>
      <w:marBottom w:val="0"/>
      <w:divBdr>
        <w:top w:val="none" w:sz="0" w:space="0" w:color="auto"/>
        <w:left w:val="none" w:sz="0" w:space="0" w:color="auto"/>
        <w:bottom w:val="none" w:sz="0" w:space="0" w:color="auto"/>
        <w:right w:val="none" w:sz="0" w:space="0" w:color="auto"/>
      </w:divBdr>
    </w:div>
    <w:div w:id="326203505">
      <w:bodyDiv w:val="1"/>
      <w:marLeft w:val="0"/>
      <w:marRight w:val="0"/>
      <w:marTop w:val="0"/>
      <w:marBottom w:val="0"/>
      <w:divBdr>
        <w:top w:val="none" w:sz="0" w:space="0" w:color="auto"/>
        <w:left w:val="none" w:sz="0" w:space="0" w:color="auto"/>
        <w:bottom w:val="none" w:sz="0" w:space="0" w:color="auto"/>
        <w:right w:val="none" w:sz="0" w:space="0" w:color="auto"/>
      </w:divBdr>
    </w:div>
    <w:div w:id="408387361">
      <w:bodyDiv w:val="1"/>
      <w:marLeft w:val="0"/>
      <w:marRight w:val="0"/>
      <w:marTop w:val="0"/>
      <w:marBottom w:val="0"/>
      <w:divBdr>
        <w:top w:val="none" w:sz="0" w:space="0" w:color="auto"/>
        <w:left w:val="none" w:sz="0" w:space="0" w:color="auto"/>
        <w:bottom w:val="none" w:sz="0" w:space="0" w:color="auto"/>
        <w:right w:val="none" w:sz="0" w:space="0" w:color="auto"/>
      </w:divBdr>
    </w:div>
    <w:div w:id="412554648">
      <w:bodyDiv w:val="1"/>
      <w:marLeft w:val="0"/>
      <w:marRight w:val="0"/>
      <w:marTop w:val="0"/>
      <w:marBottom w:val="0"/>
      <w:divBdr>
        <w:top w:val="none" w:sz="0" w:space="0" w:color="auto"/>
        <w:left w:val="none" w:sz="0" w:space="0" w:color="auto"/>
        <w:bottom w:val="none" w:sz="0" w:space="0" w:color="auto"/>
        <w:right w:val="none" w:sz="0" w:space="0" w:color="auto"/>
      </w:divBdr>
    </w:div>
    <w:div w:id="524443193">
      <w:bodyDiv w:val="1"/>
      <w:marLeft w:val="0"/>
      <w:marRight w:val="0"/>
      <w:marTop w:val="0"/>
      <w:marBottom w:val="0"/>
      <w:divBdr>
        <w:top w:val="none" w:sz="0" w:space="0" w:color="auto"/>
        <w:left w:val="none" w:sz="0" w:space="0" w:color="auto"/>
        <w:bottom w:val="none" w:sz="0" w:space="0" w:color="auto"/>
        <w:right w:val="none" w:sz="0" w:space="0" w:color="auto"/>
      </w:divBdr>
    </w:div>
    <w:div w:id="976569673">
      <w:bodyDiv w:val="1"/>
      <w:marLeft w:val="0"/>
      <w:marRight w:val="0"/>
      <w:marTop w:val="0"/>
      <w:marBottom w:val="0"/>
      <w:divBdr>
        <w:top w:val="none" w:sz="0" w:space="0" w:color="auto"/>
        <w:left w:val="none" w:sz="0" w:space="0" w:color="auto"/>
        <w:bottom w:val="none" w:sz="0" w:space="0" w:color="auto"/>
        <w:right w:val="none" w:sz="0" w:space="0" w:color="auto"/>
      </w:divBdr>
    </w:div>
    <w:div w:id="990452324">
      <w:bodyDiv w:val="1"/>
      <w:marLeft w:val="0"/>
      <w:marRight w:val="0"/>
      <w:marTop w:val="0"/>
      <w:marBottom w:val="0"/>
      <w:divBdr>
        <w:top w:val="none" w:sz="0" w:space="0" w:color="auto"/>
        <w:left w:val="none" w:sz="0" w:space="0" w:color="auto"/>
        <w:bottom w:val="none" w:sz="0" w:space="0" w:color="auto"/>
        <w:right w:val="none" w:sz="0" w:space="0" w:color="auto"/>
      </w:divBdr>
    </w:div>
    <w:div w:id="1191727959">
      <w:bodyDiv w:val="1"/>
      <w:marLeft w:val="0"/>
      <w:marRight w:val="0"/>
      <w:marTop w:val="0"/>
      <w:marBottom w:val="0"/>
      <w:divBdr>
        <w:top w:val="none" w:sz="0" w:space="0" w:color="auto"/>
        <w:left w:val="none" w:sz="0" w:space="0" w:color="auto"/>
        <w:bottom w:val="none" w:sz="0" w:space="0" w:color="auto"/>
        <w:right w:val="none" w:sz="0" w:space="0" w:color="auto"/>
      </w:divBdr>
    </w:div>
    <w:div w:id="1378046746">
      <w:bodyDiv w:val="1"/>
      <w:marLeft w:val="0"/>
      <w:marRight w:val="0"/>
      <w:marTop w:val="0"/>
      <w:marBottom w:val="0"/>
      <w:divBdr>
        <w:top w:val="none" w:sz="0" w:space="0" w:color="auto"/>
        <w:left w:val="none" w:sz="0" w:space="0" w:color="auto"/>
        <w:bottom w:val="none" w:sz="0" w:space="0" w:color="auto"/>
        <w:right w:val="none" w:sz="0" w:space="0" w:color="auto"/>
      </w:divBdr>
    </w:div>
    <w:div w:id="1433622261">
      <w:bodyDiv w:val="1"/>
      <w:marLeft w:val="0"/>
      <w:marRight w:val="0"/>
      <w:marTop w:val="0"/>
      <w:marBottom w:val="0"/>
      <w:divBdr>
        <w:top w:val="none" w:sz="0" w:space="0" w:color="auto"/>
        <w:left w:val="none" w:sz="0" w:space="0" w:color="auto"/>
        <w:bottom w:val="none" w:sz="0" w:space="0" w:color="auto"/>
        <w:right w:val="none" w:sz="0" w:space="0" w:color="auto"/>
      </w:divBdr>
    </w:div>
    <w:div w:id="1484467851">
      <w:bodyDiv w:val="1"/>
      <w:marLeft w:val="0"/>
      <w:marRight w:val="0"/>
      <w:marTop w:val="0"/>
      <w:marBottom w:val="0"/>
      <w:divBdr>
        <w:top w:val="none" w:sz="0" w:space="0" w:color="auto"/>
        <w:left w:val="none" w:sz="0" w:space="0" w:color="auto"/>
        <w:bottom w:val="none" w:sz="0" w:space="0" w:color="auto"/>
        <w:right w:val="none" w:sz="0" w:space="0" w:color="auto"/>
      </w:divBdr>
    </w:div>
    <w:div w:id="1541363406">
      <w:bodyDiv w:val="1"/>
      <w:marLeft w:val="0"/>
      <w:marRight w:val="0"/>
      <w:marTop w:val="0"/>
      <w:marBottom w:val="0"/>
      <w:divBdr>
        <w:top w:val="none" w:sz="0" w:space="0" w:color="auto"/>
        <w:left w:val="none" w:sz="0" w:space="0" w:color="auto"/>
        <w:bottom w:val="none" w:sz="0" w:space="0" w:color="auto"/>
        <w:right w:val="none" w:sz="0" w:space="0" w:color="auto"/>
      </w:divBdr>
    </w:div>
    <w:div w:id="1606574466">
      <w:bodyDiv w:val="1"/>
      <w:marLeft w:val="0"/>
      <w:marRight w:val="0"/>
      <w:marTop w:val="0"/>
      <w:marBottom w:val="0"/>
      <w:divBdr>
        <w:top w:val="none" w:sz="0" w:space="0" w:color="auto"/>
        <w:left w:val="none" w:sz="0" w:space="0" w:color="auto"/>
        <w:bottom w:val="none" w:sz="0" w:space="0" w:color="auto"/>
        <w:right w:val="none" w:sz="0" w:space="0" w:color="auto"/>
      </w:divBdr>
    </w:div>
    <w:div w:id="1689983889">
      <w:bodyDiv w:val="1"/>
      <w:marLeft w:val="0"/>
      <w:marRight w:val="0"/>
      <w:marTop w:val="0"/>
      <w:marBottom w:val="0"/>
      <w:divBdr>
        <w:top w:val="none" w:sz="0" w:space="0" w:color="auto"/>
        <w:left w:val="none" w:sz="0" w:space="0" w:color="auto"/>
        <w:bottom w:val="none" w:sz="0" w:space="0" w:color="auto"/>
        <w:right w:val="none" w:sz="0" w:space="0" w:color="auto"/>
      </w:divBdr>
    </w:div>
    <w:div w:id="200751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hica\Documents\Plantillas%20personalizadas%20de%20Office\Plantilla-documentos%20DPC.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Colombia - Defensoría del Pueblo</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AB0A98C0-9371-4CA4-86F4-1CAE5DA9A093}">
  <ds:schemaRefs>
    <ds:schemaRef ds:uri="http://schemas.openxmlformats.org/officeDocument/2006/bibliography"/>
  </ds:schemaRefs>
</ds:datastoreItem>
</file>

<file path=customXml/itemProps2.xml><?xml version="1.0" encoding="utf-8"?>
<ds:datastoreItem xmlns:ds="http://schemas.openxmlformats.org/officeDocument/2006/customXml" ds:itemID="{7D15D95E-7A79-4449-96C5-0927B03A744A}"/>
</file>

<file path=customXml/itemProps3.xml><?xml version="1.0" encoding="utf-8"?>
<ds:datastoreItem xmlns:ds="http://schemas.openxmlformats.org/officeDocument/2006/customXml" ds:itemID="{FD1B74B4-D89B-472D-B1E7-87F0198FA470}"/>
</file>

<file path=customXml/itemProps4.xml><?xml version="1.0" encoding="utf-8"?>
<ds:datastoreItem xmlns:ds="http://schemas.openxmlformats.org/officeDocument/2006/customXml" ds:itemID="{DD2DE26F-7DF1-46F5-A6AC-B7C80A7DDBCB}"/>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Plantilla-documentos DPC</Template>
  <TotalTime>4</TotalTime>
  <Pages>4</Pages>
  <Words>1301</Words>
  <Characters>7417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8701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Chica</dc:creator>
  <cp:keywords/>
  <dc:description/>
  <cp:lastModifiedBy>Jeroen Klok</cp:lastModifiedBy>
  <cp:revision>4</cp:revision>
  <cp:lastPrinted>2026-02-27T18:37:00Z</cp:lastPrinted>
  <dcterms:created xsi:type="dcterms:W3CDTF">2026-02-27T19:06:00Z</dcterms:created>
  <dcterms:modified xsi:type="dcterms:W3CDTF">2026-03-03T13:06:00Z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ae2bf726-021f-4d94-868e-82fc5a07d7ed</vt:lpwstr>
  </property>
  <property fmtid="{D5CDD505-2E9C-101B-9397-08002B2CF9AE}" pid="3" name="ContentTypeId">
    <vt:lpwstr>0x0101009D953D6983EF5F4EB0B6A5354F975E96</vt:lpwstr>
  </property>
  <property fmtid="{D5CDD505-2E9C-101B-9397-08002B2CF9AE}" pid="4" name="MediaServiceImageTags">
    <vt:lpwstr/>
  </property>
</Properties>
</file>