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09D1" w14:textId="796A0B35" w:rsidR="00677DAA" w:rsidRPr="00586851" w:rsidRDefault="00586851" w:rsidP="00586851">
      <w:pPr>
        <w:tabs>
          <w:tab w:val="left" w:pos="0"/>
        </w:tabs>
        <w:spacing w:after="0" w:line="240" w:lineRule="auto"/>
        <w:jc w:val="center"/>
        <w:rPr>
          <w:rFonts w:asciiTheme="majorBidi" w:hAnsiTheme="majorBidi" w:cstheme="majorBidi"/>
          <w:sz w:val="28"/>
          <w:szCs w:val="28"/>
          <w:u w:val="single"/>
        </w:rPr>
      </w:pPr>
      <w:r w:rsidRPr="00586851">
        <w:rPr>
          <w:rFonts w:asciiTheme="majorBidi" w:hAnsiTheme="majorBidi" w:cstheme="majorBidi"/>
          <w:b/>
          <w:sz w:val="28"/>
          <w:szCs w:val="28"/>
          <w:u w:val="single"/>
        </w:rPr>
        <w:t>Universal Periodic Review: The Human Rights Defender’s Office of Armenia</w:t>
      </w:r>
    </w:p>
    <w:p w14:paraId="4BEBE361" w14:textId="77777777" w:rsidR="00586851" w:rsidRDefault="009C7F24" w:rsidP="006436D9">
      <w:pPr>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rPr>
        <w:tab/>
      </w:r>
    </w:p>
    <w:p w14:paraId="5648E40F" w14:textId="6834C80F" w:rsidR="009B13F8" w:rsidRPr="00781D97" w:rsidRDefault="00781D97" w:rsidP="006436D9">
      <w:pPr>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rPr>
        <w:t>The Government of Armenia established the National Mechanism for Implementation, Reporting, and Follow-up by the Decision No. 1031-</w:t>
      </w:r>
      <w:r>
        <w:rPr>
          <w:rFonts w:asciiTheme="majorBidi" w:hAnsiTheme="majorBidi" w:cstheme="majorBidi"/>
          <w:sz w:val="24"/>
          <w:szCs w:val="24"/>
          <w:lang w:val="hy-AM"/>
        </w:rPr>
        <w:t>Ա</w:t>
      </w:r>
      <w:r w:rsidR="008E7068">
        <w:rPr>
          <w:rStyle w:val="FootnoteReference"/>
          <w:rFonts w:asciiTheme="majorBidi" w:hAnsiTheme="majorBidi" w:cstheme="majorBidi"/>
          <w:sz w:val="24"/>
          <w:szCs w:val="24"/>
          <w:lang w:val="hy-AM"/>
        </w:rPr>
        <w:footnoteReference w:id="1"/>
      </w:r>
      <w:r>
        <w:rPr>
          <w:rFonts w:asciiTheme="majorBidi" w:hAnsiTheme="majorBidi" w:cstheme="majorBidi"/>
          <w:sz w:val="24"/>
          <w:szCs w:val="24"/>
          <w:lang w:val="hy-AM"/>
        </w:rPr>
        <w:t xml:space="preserve"> </w:t>
      </w:r>
      <w:r>
        <w:rPr>
          <w:rFonts w:asciiTheme="majorBidi" w:hAnsiTheme="majorBidi" w:cstheme="majorBidi"/>
          <w:sz w:val="24"/>
          <w:szCs w:val="24"/>
        </w:rPr>
        <w:t xml:space="preserve">of the Prime Minister of Armenia (November 18,2024), thus establishing </w:t>
      </w:r>
      <w:r w:rsidRPr="00781D97">
        <w:rPr>
          <w:rFonts w:asciiTheme="majorBidi" w:hAnsiTheme="majorBidi" w:cstheme="majorBidi"/>
          <w:sz w:val="24"/>
          <w:szCs w:val="24"/>
        </w:rPr>
        <w:t xml:space="preserve">a coordinated network of representatives drawn from the executive, legislative, and judicial branches, </w:t>
      </w:r>
      <w:r>
        <w:rPr>
          <w:rFonts w:asciiTheme="majorBidi" w:hAnsiTheme="majorBidi" w:cstheme="majorBidi"/>
          <w:sz w:val="24"/>
          <w:szCs w:val="24"/>
        </w:rPr>
        <w:t>coordinated</w:t>
      </w:r>
      <w:r w:rsidRPr="00781D97">
        <w:rPr>
          <w:rFonts w:asciiTheme="majorBidi" w:hAnsiTheme="majorBidi" w:cstheme="majorBidi"/>
          <w:sz w:val="24"/>
          <w:szCs w:val="24"/>
        </w:rPr>
        <w:t xml:space="preserve"> </w:t>
      </w:r>
      <w:r>
        <w:rPr>
          <w:rFonts w:asciiTheme="majorBidi" w:hAnsiTheme="majorBidi" w:cstheme="majorBidi"/>
          <w:sz w:val="24"/>
          <w:szCs w:val="24"/>
        </w:rPr>
        <w:t>by</w:t>
      </w:r>
      <w:r w:rsidRPr="00781D97">
        <w:rPr>
          <w:rFonts w:asciiTheme="majorBidi" w:hAnsiTheme="majorBidi" w:cstheme="majorBidi"/>
          <w:sz w:val="24"/>
          <w:szCs w:val="24"/>
        </w:rPr>
        <w:t xml:space="preserve"> the Ministry of Foreign Affairs.</w:t>
      </w:r>
      <w:r w:rsidR="009B13F8" w:rsidRPr="009B13F8">
        <w:rPr>
          <w:rFonts w:asciiTheme="majorBidi" w:hAnsiTheme="majorBidi" w:cstheme="majorBidi"/>
          <w:sz w:val="24"/>
          <w:szCs w:val="24"/>
        </w:rPr>
        <w:t xml:space="preserve"> </w:t>
      </w:r>
      <w:r w:rsidR="009B13F8">
        <w:rPr>
          <w:rFonts w:asciiTheme="majorBidi" w:hAnsiTheme="majorBidi" w:cstheme="majorBidi"/>
          <w:sz w:val="24"/>
          <w:szCs w:val="24"/>
        </w:rPr>
        <w:t xml:space="preserve">The National Mechanism is composed of representatives from ministries and state bodies, including the Human Rights Defender’s Office of Armenia. </w:t>
      </w:r>
    </w:p>
    <w:p w14:paraId="37C2D9DE" w14:textId="4561FFDF" w:rsidR="00781D97" w:rsidRDefault="00781D97" w:rsidP="006436D9">
      <w:pPr>
        <w:tabs>
          <w:tab w:val="left" w:pos="0"/>
        </w:tabs>
        <w:jc w:val="both"/>
        <w:rPr>
          <w:rFonts w:asciiTheme="majorBidi" w:hAnsiTheme="majorBidi" w:cstheme="majorBidi"/>
          <w:sz w:val="24"/>
          <w:szCs w:val="24"/>
        </w:rPr>
      </w:pPr>
    </w:p>
    <w:p w14:paraId="6CFE5366" w14:textId="47EA0B96" w:rsidR="00781D97" w:rsidRDefault="00781D97" w:rsidP="006436D9">
      <w:pPr>
        <w:tabs>
          <w:tab w:val="left" w:pos="0"/>
        </w:tabs>
        <w:jc w:val="both"/>
        <w:rPr>
          <w:rFonts w:asciiTheme="majorBidi" w:hAnsiTheme="majorBidi" w:cstheme="majorBidi"/>
          <w:sz w:val="24"/>
          <w:szCs w:val="24"/>
        </w:rPr>
      </w:pPr>
      <w:r w:rsidRPr="00781D97">
        <w:rPr>
          <w:rFonts w:asciiTheme="majorBidi" w:hAnsiTheme="majorBidi" w:cstheme="majorBidi"/>
          <w:sz w:val="24"/>
          <w:szCs w:val="24"/>
        </w:rPr>
        <w:t xml:space="preserve">The </w:t>
      </w:r>
      <w:r>
        <w:rPr>
          <w:rFonts w:asciiTheme="majorBidi" w:hAnsiTheme="majorBidi" w:cstheme="majorBidi"/>
          <w:sz w:val="24"/>
          <w:szCs w:val="24"/>
        </w:rPr>
        <w:t>N</w:t>
      </w:r>
      <w:r w:rsidRPr="00781D97">
        <w:rPr>
          <w:rFonts w:asciiTheme="majorBidi" w:hAnsiTheme="majorBidi" w:cstheme="majorBidi"/>
          <w:sz w:val="24"/>
          <w:szCs w:val="24"/>
        </w:rPr>
        <w:t xml:space="preserve">ational </w:t>
      </w:r>
      <w:r>
        <w:rPr>
          <w:rFonts w:asciiTheme="majorBidi" w:hAnsiTheme="majorBidi" w:cstheme="majorBidi"/>
          <w:sz w:val="24"/>
          <w:szCs w:val="24"/>
        </w:rPr>
        <w:t>M</w:t>
      </w:r>
      <w:r w:rsidRPr="00781D97">
        <w:rPr>
          <w:rFonts w:asciiTheme="majorBidi" w:hAnsiTheme="majorBidi" w:cstheme="majorBidi"/>
          <w:sz w:val="24"/>
          <w:szCs w:val="24"/>
        </w:rPr>
        <w:t>echanism is mandated to:</w:t>
      </w:r>
    </w:p>
    <w:p w14:paraId="35BC8B20" w14:textId="0782CD1A" w:rsidR="00781D97" w:rsidRDefault="00781D97" w:rsidP="006436D9">
      <w:pPr>
        <w:pStyle w:val="ListParagraph"/>
        <w:numPr>
          <w:ilvl w:val="0"/>
          <w:numId w:val="1"/>
        </w:numPr>
        <w:tabs>
          <w:tab w:val="left" w:pos="0"/>
        </w:tabs>
        <w:spacing w:after="0" w:line="240" w:lineRule="auto"/>
        <w:jc w:val="both"/>
        <w:rPr>
          <w:rFonts w:asciiTheme="majorBidi" w:hAnsiTheme="majorBidi" w:cstheme="majorBidi"/>
          <w:sz w:val="24"/>
          <w:szCs w:val="24"/>
        </w:rPr>
      </w:pPr>
      <w:r w:rsidRPr="00781D97">
        <w:rPr>
          <w:rFonts w:asciiTheme="majorBidi" w:hAnsiTheme="majorBidi" w:cstheme="majorBidi"/>
          <w:sz w:val="24"/>
          <w:szCs w:val="24"/>
        </w:rPr>
        <w:t>Prepare and submit reports to United Nations human rights bodies, including treaty bodies and the Universal Periodic Review process.</w:t>
      </w:r>
    </w:p>
    <w:p w14:paraId="40030735" w14:textId="77777777" w:rsidR="00781D97" w:rsidRPr="00781D97" w:rsidRDefault="00781D97" w:rsidP="006436D9">
      <w:pPr>
        <w:pStyle w:val="ListParagraph"/>
        <w:tabs>
          <w:tab w:val="left" w:pos="0"/>
        </w:tabs>
        <w:spacing w:after="0" w:line="240" w:lineRule="auto"/>
        <w:jc w:val="both"/>
        <w:rPr>
          <w:rFonts w:asciiTheme="majorBidi" w:hAnsiTheme="majorBidi" w:cstheme="majorBidi"/>
          <w:sz w:val="24"/>
          <w:szCs w:val="24"/>
        </w:rPr>
      </w:pPr>
    </w:p>
    <w:p w14:paraId="239769FB" w14:textId="60F6E1C2" w:rsidR="00781D97" w:rsidRDefault="00781D97" w:rsidP="006436D9">
      <w:pPr>
        <w:pStyle w:val="ListParagraph"/>
        <w:numPr>
          <w:ilvl w:val="0"/>
          <w:numId w:val="1"/>
        </w:numPr>
        <w:tabs>
          <w:tab w:val="left" w:pos="0"/>
        </w:tabs>
        <w:spacing w:after="0" w:line="240" w:lineRule="auto"/>
        <w:jc w:val="both"/>
        <w:rPr>
          <w:rFonts w:asciiTheme="majorBidi" w:hAnsiTheme="majorBidi" w:cstheme="majorBidi"/>
          <w:sz w:val="24"/>
          <w:szCs w:val="24"/>
        </w:rPr>
      </w:pPr>
      <w:r w:rsidRPr="00781D97">
        <w:rPr>
          <w:rFonts w:asciiTheme="majorBidi" w:hAnsiTheme="majorBidi" w:cstheme="majorBidi"/>
          <w:sz w:val="24"/>
          <w:szCs w:val="24"/>
        </w:rPr>
        <w:t>Provide responses to individual complaints addressed by UN treaty bodies.</w:t>
      </w:r>
    </w:p>
    <w:p w14:paraId="7A3FCCC1" w14:textId="77777777" w:rsidR="00781D97" w:rsidRPr="00781D97" w:rsidRDefault="00781D97" w:rsidP="006436D9">
      <w:pPr>
        <w:tabs>
          <w:tab w:val="left" w:pos="0"/>
        </w:tabs>
        <w:spacing w:after="0" w:line="240" w:lineRule="auto"/>
        <w:jc w:val="both"/>
        <w:rPr>
          <w:rFonts w:asciiTheme="majorBidi" w:hAnsiTheme="majorBidi" w:cstheme="majorBidi"/>
          <w:sz w:val="24"/>
          <w:szCs w:val="24"/>
        </w:rPr>
      </w:pPr>
    </w:p>
    <w:p w14:paraId="0637E01F" w14:textId="550D9540" w:rsidR="00781D97" w:rsidRDefault="00781D97" w:rsidP="006436D9">
      <w:pPr>
        <w:pStyle w:val="ListParagraph"/>
        <w:numPr>
          <w:ilvl w:val="0"/>
          <w:numId w:val="1"/>
        </w:numPr>
        <w:tabs>
          <w:tab w:val="left" w:pos="0"/>
        </w:tabs>
        <w:spacing w:after="0" w:line="240" w:lineRule="auto"/>
        <w:jc w:val="both"/>
        <w:rPr>
          <w:rFonts w:asciiTheme="majorBidi" w:hAnsiTheme="majorBidi" w:cstheme="majorBidi"/>
          <w:sz w:val="24"/>
          <w:szCs w:val="24"/>
        </w:rPr>
      </w:pPr>
      <w:r w:rsidRPr="00781D97">
        <w:rPr>
          <w:rFonts w:asciiTheme="majorBidi" w:hAnsiTheme="majorBidi" w:cstheme="majorBidi"/>
          <w:sz w:val="24"/>
          <w:szCs w:val="24"/>
        </w:rPr>
        <w:t>Reply to communications from UN Special Procedures—such as allegation letters, urgent appeals, and questionnaires—and facilitate their country visits</w:t>
      </w:r>
      <w:r>
        <w:rPr>
          <w:rFonts w:asciiTheme="majorBidi" w:hAnsiTheme="majorBidi" w:cstheme="majorBidi"/>
          <w:sz w:val="24"/>
          <w:szCs w:val="24"/>
        </w:rPr>
        <w:t>.</w:t>
      </w:r>
    </w:p>
    <w:p w14:paraId="0523AE91" w14:textId="77777777" w:rsidR="00781D97" w:rsidRPr="00781D97" w:rsidRDefault="00781D97" w:rsidP="006436D9">
      <w:pPr>
        <w:tabs>
          <w:tab w:val="left" w:pos="0"/>
        </w:tabs>
        <w:spacing w:after="0" w:line="240" w:lineRule="auto"/>
        <w:jc w:val="both"/>
        <w:rPr>
          <w:rFonts w:asciiTheme="majorBidi" w:hAnsiTheme="majorBidi" w:cstheme="majorBidi"/>
          <w:sz w:val="24"/>
          <w:szCs w:val="24"/>
        </w:rPr>
      </w:pPr>
    </w:p>
    <w:p w14:paraId="289DBA8A" w14:textId="64BDDDBC" w:rsidR="00781D97" w:rsidRPr="00781D97" w:rsidRDefault="00781D97" w:rsidP="006436D9">
      <w:pPr>
        <w:pStyle w:val="ListParagraph"/>
        <w:numPr>
          <w:ilvl w:val="0"/>
          <w:numId w:val="1"/>
        </w:numPr>
        <w:tabs>
          <w:tab w:val="left" w:pos="0"/>
        </w:tabs>
        <w:spacing w:after="0" w:line="240" w:lineRule="auto"/>
        <w:jc w:val="both"/>
        <w:rPr>
          <w:rFonts w:asciiTheme="majorBidi" w:hAnsiTheme="majorBidi" w:cstheme="majorBidi"/>
          <w:sz w:val="24"/>
          <w:szCs w:val="24"/>
        </w:rPr>
      </w:pPr>
      <w:r w:rsidRPr="00781D97">
        <w:rPr>
          <w:rFonts w:asciiTheme="majorBidi" w:hAnsiTheme="majorBidi" w:cstheme="majorBidi"/>
          <w:sz w:val="24"/>
          <w:szCs w:val="24"/>
        </w:rPr>
        <w:t>Report to regional human rights monitoring mechanisms.</w:t>
      </w:r>
    </w:p>
    <w:p w14:paraId="460A1039" w14:textId="77777777" w:rsidR="00781D97" w:rsidRPr="00781D97" w:rsidRDefault="00781D97" w:rsidP="006436D9">
      <w:pPr>
        <w:tabs>
          <w:tab w:val="left" w:pos="0"/>
        </w:tabs>
        <w:spacing w:after="0" w:line="240" w:lineRule="auto"/>
        <w:jc w:val="both"/>
        <w:rPr>
          <w:rFonts w:asciiTheme="majorBidi" w:hAnsiTheme="majorBidi" w:cstheme="majorBidi"/>
          <w:sz w:val="24"/>
          <w:szCs w:val="24"/>
        </w:rPr>
      </w:pPr>
    </w:p>
    <w:p w14:paraId="792C8F60" w14:textId="453CD7A5" w:rsidR="00781D97" w:rsidRDefault="00781D97" w:rsidP="006436D9">
      <w:pPr>
        <w:pStyle w:val="ListParagraph"/>
        <w:numPr>
          <w:ilvl w:val="0"/>
          <w:numId w:val="1"/>
        </w:numPr>
        <w:tabs>
          <w:tab w:val="left" w:pos="0"/>
        </w:tabs>
        <w:spacing w:after="0" w:line="240" w:lineRule="auto"/>
        <w:jc w:val="both"/>
        <w:rPr>
          <w:rFonts w:asciiTheme="majorBidi" w:hAnsiTheme="majorBidi" w:cstheme="majorBidi"/>
          <w:sz w:val="24"/>
          <w:szCs w:val="24"/>
        </w:rPr>
      </w:pPr>
      <w:r w:rsidRPr="00781D97">
        <w:rPr>
          <w:rFonts w:asciiTheme="majorBidi" w:hAnsiTheme="majorBidi" w:cstheme="majorBidi"/>
          <w:sz w:val="24"/>
          <w:szCs w:val="24"/>
        </w:rPr>
        <w:t>Monitor and ensure follow-up on recommendations issued by human rights bodies, including Special Procedures, treaty bodies, and the Universal Periodic Review.</w:t>
      </w:r>
    </w:p>
    <w:p w14:paraId="4A29ADA8" w14:textId="77777777" w:rsidR="00781D97" w:rsidRPr="00781D97" w:rsidRDefault="00781D97" w:rsidP="006436D9">
      <w:pPr>
        <w:tabs>
          <w:tab w:val="left" w:pos="0"/>
        </w:tabs>
        <w:spacing w:after="0" w:line="240" w:lineRule="auto"/>
        <w:jc w:val="both"/>
        <w:rPr>
          <w:rFonts w:asciiTheme="majorBidi" w:hAnsiTheme="majorBidi" w:cstheme="majorBidi"/>
          <w:sz w:val="24"/>
          <w:szCs w:val="24"/>
        </w:rPr>
      </w:pPr>
    </w:p>
    <w:p w14:paraId="66E8AC7B" w14:textId="4FDB9275" w:rsidR="0050303E" w:rsidRDefault="00781D97" w:rsidP="006436D9">
      <w:pPr>
        <w:pStyle w:val="ListParagraph"/>
        <w:numPr>
          <w:ilvl w:val="0"/>
          <w:numId w:val="1"/>
        </w:numPr>
        <w:tabs>
          <w:tab w:val="left" w:pos="0"/>
        </w:tabs>
        <w:spacing w:after="0" w:line="240" w:lineRule="auto"/>
        <w:jc w:val="both"/>
        <w:rPr>
          <w:rFonts w:asciiTheme="majorBidi" w:hAnsiTheme="majorBidi" w:cstheme="majorBidi"/>
          <w:sz w:val="24"/>
          <w:szCs w:val="24"/>
        </w:rPr>
      </w:pPr>
      <w:r w:rsidRPr="00781D97">
        <w:rPr>
          <w:rFonts w:asciiTheme="majorBidi" w:hAnsiTheme="majorBidi" w:cstheme="majorBidi"/>
          <w:sz w:val="24"/>
          <w:szCs w:val="24"/>
        </w:rPr>
        <w:t>Support and carry out the implementation of recommendations from human rights mechanisms</w:t>
      </w:r>
      <w:r>
        <w:rPr>
          <w:rFonts w:asciiTheme="majorBidi" w:hAnsiTheme="majorBidi" w:cstheme="majorBidi"/>
          <w:sz w:val="24"/>
          <w:szCs w:val="24"/>
        </w:rPr>
        <w:t>.</w:t>
      </w:r>
    </w:p>
    <w:p w14:paraId="360724D0" w14:textId="77777777" w:rsidR="00781D97" w:rsidRPr="00781D97" w:rsidRDefault="00781D97" w:rsidP="006436D9">
      <w:pPr>
        <w:pStyle w:val="ListParagraph"/>
        <w:tabs>
          <w:tab w:val="left" w:pos="0"/>
        </w:tabs>
        <w:jc w:val="both"/>
        <w:rPr>
          <w:rFonts w:asciiTheme="majorBidi" w:hAnsiTheme="majorBidi" w:cstheme="majorBidi"/>
          <w:sz w:val="24"/>
          <w:szCs w:val="24"/>
        </w:rPr>
      </w:pPr>
    </w:p>
    <w:p w14:paraId="5E1AF3AF" w14:textId="4DA62B66" w:rsidR="009C7F24" w:rsidRDefault="009C7F24" w:rsidP="009C7F24">
      <w:pPr>
        <w:tabs>
          <w:tab w:val="left" w:pos="0"/>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9B13F8">
        <w:rPr>
          <w:rFonts w:asciiTheme="majorBidi" w:hAnsiTheme="majorBidi" w:cstheme="majorBidi"/>
          <w:sz w:val="24"/>
          <w:szCs w:val="24"/>
        </w:rPr>
        <w:t xml:space="preserve">Subsequently, </w:t>
      </w:r>
      <w:r w:rsidR="003D4BF8">
        <w:rPr>
          <w:rFonts w:asciiTheme="majorBidi" w:hAnsiTheme="majorBidi" w:cstheme="majorBidi"/>
          <w:sz w:val="24"/>
          <w:szCs w:val="24"/>
        </w:rPr>
        <w:t xml:space="preserve">the digital tool, </w:t>
      </w:r>
      <w:r w:rsidR="003D4BF8" w:rsidRPr="003D4BF8">
        <w:rPr>
          <w:rFonts w:asciiTheme="majorBidi" w:hAnsiTheme="majorBidi" w:cstheme="majorBidi"/>
          <w:b/>
          <w:bCs/>
          <w:sz w:val="24"/>
          <w:szCs w:val="24"/>
        </w:rPr>
        <w:t>AI-N</w:t>
      </w:r>
      <w:r w:rsidR="003D4BF8">
        <w:rPr>
          <w:rFonts w:asciiTheme="majorBidi" w:hAnsiTheme="majorBidi" w:cstheme="majorBidi"/>
          <w:b/>
          <w:bCs/>
          <w:sz w:val="24"/>
          <w:szCs w:val="24"/>
        </w:rPr>
        <w:t>EMRA</w:t>
      </w:r>
      <w:r w:rsidR="0076608B">
        <w:rPr>
          <w:rStyle w:val="FootnoteReference"/>
          <w:rFonts w:asciiTheme="majorBidi" w:hAnsiTheme="majorBidi" w:cstheme="majorBidi"/>
          <w:b/>
          <w:bCs/>
          <w:sz w:val="24"/>
          <w:szCs w:val="24"/>
        </w:rPr>
        <w:footnoteReference w:id="2"/>
      </w:r>
      <w:r w:rsidR="003D4BF8">
        <w:rPr>
          <w:rFonts w:asciiTheme="majorBidi" w:hAnsiTheme="majorBidi" w:cstheme="majorBidi"/>
          <w:sz w:val="24"/>
          <w:szCs w:val="24"/>
        </w:rPr>
        <w:t xml:space="preserve"> was launched, which is an</w:t>
      </w:r>
      <w:r w:rsidR="003D4BF8" w:rsidRPr="003D4BF8">
        <w:rPr>
          <w:rFonts w:asciiTheme="majorBidi" w:hAnsiTheme="majorBidi" w:cstheme="majorBidi"/>
          <w:sz w:val="24"/>
          <w:szCs w:val="24"/>
        </w:rPr>
        <w:t xml:space="preserve"> online system that compiles and organizes human rights recommendations into a user-friendly, searchable database. It links institutions from the executive, legislative, and judicial branches, promoting a coordinated, government-wide approach to fulfilling Armenia’s international human rights commitments.</w:t>
      </w:r>
      <w:r w:rsidR="003D4BF8">
        <w:rPr>
          <w:rFonts w:asciiTheme="majorBidi" w:hAnsiTheme="majorBidi" w:cstheme="majorBidi"/>
          <w:sz w:val="24"/>
          <w:szCs w:val="24"/>
        </w:rPr>
        <w:t xml:space="preserve"> The platform a)o</w:t>
      </w:r>
      <w:r w:rsidR="003D4BF8" w:rsidRPr="003D4BF8">
        <w:rPr>
          <w:rFonts w:asciiTheme="majorBidi" w:hAnsiTheme="majorBidi" w:cstheme="majorBidi"/>
          <w:sz w:val="24"/>
          <w:szCs w:val="24"/>
        </w:rPr>
        <w:t>rganizes and systematizes recommendations issued to Armenia by UN treaty bodies, UN Special Procedures, the Universal Periodic Review, and Council of Europe monitoring bodies</w:t>
      </w:r>
      <w:r w:rsidR="00B6337D">
        <w:rPr>
          <w:rFonts w:asciiTheme="majorBidi" w:hAnsiTheme="majorBidi" w:cstheme="majorBidi"/>
          <w:sz w:val="24"/>
          <w:szCs w:val="24"/>
        </w:rPr>
        <w:t>, b) e</w:t>
      </w:r>
      <w:r w:rsidR="003D4BF8" w:rsidRPr="003D4BF8">
        <w:rPr>
          <w:rFonts w:asciiTheme="majorBidi" w:hAnsiTheme="majorBidi" w:cstheme="majorBidi"/>
          <w:sz w:val="24"/>
          <w:szCs w:val="24"/>
        </w:rPr>
        <w:t>nhances inter-agency cooperation by providing a single digital space for streamlined access to information and cross-referencing</w:t>
      </w:r>
      <w:r w:rsidR="00B6337D">
        <w:rPr>
          <w:rFonts w:asciiTheme="majorBidi" w:hAnsiTheme="majorBidi" w:cstheme="majorBidi"/>
          <w:sz w:val="24"/>
          <w:szCs w:val="24"/>
        </w:rPr>
        <w:t>, c) i</w:t>
      </w:r>
      <w:r w:rsidR="003D4BF8" w:rsidRPr="003D4BF8">
        <w:rPr>
          <w:rFonts w:asciiTheme="majorBidi" w:hAnsiTheme="majorBidi" w:cstheme="majorBidi"/>
          <w:sz w:val="24"/>
          <w:szCs w:val="24"/>
        </w:rPr>
        <w:t>ncreases transparency and inclusiveness by making relevant information publicly available and fostering civil society engagement</w:t>
      </w:r>
      <w:r w:rsidR="00B6337D">
        <w:rPr>
          <w:rFonts w:asciiTheme="majorBidi" w:hAnsiTheme="majorBidi" w:cstheme="majorBidi"/>
          <w:sz w:val="24"/>
          <w:szCs w:val="24"/>
        </w:rPr>
        <w:t>, d)a</w:t>
      </w:r>
      <w:r w:rsidR="003D4BF8" w:rsidRPr="003D4BF8">
        <w:rPr>
          <w:rFonts w:asciiTheme="majorBidi" w:hAnsiTheme="majorBidi" w:cstheme="majorBidi"/>
          <w:sz w:val="24"/>
          <w:szCs w:val="24"/>
        </w:rPr>
        <w:t>dvances open government and accountability by leveraging digital tools to strengthen Armenia’s commitment to human rights.</w:t>
      </w:r>
    </w:p>
    <w:p w14:paraId="30AD26A7" w14:textId="7ADBC3D7" w:rsidR="00D4497A" w:rsidRPr="00934D0A" w:rsidRDefault="009C7F24" w:rsidP="009C7F24">
      <w:pPr>
        <w:tabs>
          <w:tab w:val="left" w:pos="0"/>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D4497A">
        <w:rPr>
          <w:rFonts w:asciiTheme="majorBidi" w:hAnsiTheme="majorBidi" w:cstheme="majorBidi"/>
          <w:sz w:val="24"/>
          <w:szCs w:val="24"/>
        </w:rPr>
        <w:t xml:space="preserve">The Human Rights Defender </w:t>
      </w:r>
      <w:r w:rsidR="00D4497A" w:rsidRPr="00D4497A">
        <w:rPr>
          <w:rFonts w:asciiTheme="majorBidi" w:hAnsiTheme="majorBidi" w:cstheme="majorBidi"/>
          <w:sz w:val="24"/>
          <w:szCs w:val="24"/>
        </w:rPr>
        <w:t xml:space="preserve">participated in the inaugural meeting of the working group on the </w:t>
      </w:r>
      <w:r w:rsidR="00D4497A">
        <w:rPr>
          <w:rFonts w:asciiTheme="majorBidi" w:hAnsiTheme="majorBidi" w:cstheme="majorBidi"/>
          <w:sz w:val="24"/>
          <w:szCs w:val="24"/>
        </w:rPr>
        <w:t>N</w:t>
      </w:r>
      <w:r w:rsidR="00D4497A" w:rsidRPr="00D4497A">
        <w:rPr>
          <w:rFonts w:asciiTheme="majorBidi" w:hAnsiTheme="majorBidi" w:cstheme="majorBidi"/>
          <w:sz w:val="24"/>
          <w:szCs w:val="24"/>
        </w:rPr>
        <w:t xml:space="preserve">ational </w:t>
      </w:r>
      <w:r w:rsidR="00D4497A">
        <w:rPr>
          <w:rFonts w:asciiTheme="majorBidi" w:hAnsiTheme="majorBidi" w:cstheme="majorBidi"/>
          <w:sz w:val="24"/>
          <w:szCs w:val="24"/>
        </w:rPr>
        <w:t>M</w:t>
      </w:r>
      <w:r w:rsidR="00D4497A" w:rsidRPr="00D4497A">
        <w:rPr>
          <w:rFonts w:asciiTheme="majorBidi" w:hAnsiTheme="majorBidi" w:cstheme="majorBidi"/>
          <w:sz w:val="24"/>
          <w:szCs w:val="24"/>
        </w:rPr>
        <w:t>echanism</w:t>
      </w:r>
      <w:r w:rsidR="00D4497A">
        <w:rPr>
          <w:rFonts w:asciiTheme="majorBidi" w:hAnsiTheme="majorBidi" w:cstheme="majorBidi"/>
          <w:sz w:val="24"/>
          <w:szCs w:val="24"/>
        </w:rPr>
        <w:t xml:space="preserve">. </w:t>
      </w:r>
      <w:r w:rsidR="00D4497A" w:rsidRPr="00D4497A">
        <w:rPr>
          <w:rFonts w:asciiTheme="majorBidi" w:hAnsiTheme="majorBidi" w:cstheme="majorBidi"/>
          <w:sz w:val="24"/>
          <w:szCs w:val="24"/>
        </w:rPr>
        <w:t xml:space="preserve">The event was held ahead of the discussion of the national report for </w:t>
      </w:r>
      <w:r w:rsidR="00D4497A" w:rsidRPr="00D4497A">
        <w:rPr>
          <w:rFonts w:asciiTheme="majorBidi" w:hAnsiTheme="majorBidi" w:cstheme="majorBidi"/>
          <w:sz w:val="24"/>
          <w:szCs w:val="24"/>
        </w:rPr>
        <w:lastRenderedPageBreak/>
        <w:t xml:space="preserve">the 4th </w:t>
      </w:r>
      <w:r w:rsidR="00D4497A" w:rsidRPr="00934D0A">
        <w:rPr>
          <w:rFonts w:asciiTheme="majorBidi" w:hAnsiTheme="majorBidi" w:cstheme="majorBidi"/>
          <w:sz w:val="24"/>
          <w:szCs w:val="24"/>
        </w:rPr>
        <w:t>cycle of the Universal Periodic Review (UPR).</w:t>
      </w:r>
      <w:r w:rsidR="007F3C24" w:rsidRPr="00934D0A">
        <w:rPr>
          <w:rFonts w:asciiTheme="majorBidi" w:hAnsiTheme="majorBidi" w:cstheme="majorBidi"/>
          <w:sz w:val="24"/>
          <w:szCs w:val="24"/>
        </w:rPr>
        <w:t xml:space="preserve"> </w:t>
      </w:r>
      <w:r w:rsidR="00D4497A" w:rsidRPr="00934D0A">
        <w:rPr>
          <w:rFonts w:asciiTheme="majorBidi" w:hAnsiTheme="majorBidi" w:cstheme="majorBidi"/>
          <w:sz w:val="24"/>
          <w:szCs w:val="24"/>
        </w:rPr>
        <w:t xml:space="preserve">Highlighting the importance of inter-agency cooperation, the Human Rights Defender participated in the parliamentary hearings initiated the Standing Committee on Protection of Human Rights and Public Affairs of the National Assembly, taking into consideration the fact that Armenia’s national report was to be reviewed during the fourth cycle of the UN Human Rights Council's UPR. </w:t>
      </w:r>
    </w:p>
    <w:p w14:paraId="04389FE8" w14:textId="5BF4FC80" w:rsidR="007F3C24" w:rsidRPr="00934D0A" w:rsidRDefault="009C7F24" w:rsidP="009C7F24">
      <w:pPr>
        <w:tabs>
          <w:tab w:val="left" w:pos="0"/>
        </w:tabs>
        <w:spacing w:after="0" w:line="276" w:lineRule="auto"/>
        <w:jc w:val="both"/>
        <w:rPr>
          <w:rFonts w:asciiTheme="majorBidi" w:hAnsiTheme="majorBidi" w:cstheme="majorBidi"/>
          <w:sz w:val="24"/>
          <w:szCs w:val="24"/>
        </w:rPr>
      </w:pPr>
      <w:r w:rsidRPr="00934D0A">
        <w:rPr>
          <w:rFonts w:asciiTheme="majorBidi" w:hAnsiTheme="majorBidi" w:cstheme="majorBidi"/>
          <w:sz w:val="24"/>
          <w:szCs w:val="24"/>
        </w:rPr>
        <w:tab/>
      </w:r>
      <w:r w:rsidR="00D4497A" w:rsidRPr="00934D0A">
        <w:rPr>
          <w:rFonts w:asciiTheme="majorBidi" w:hAnsiTheme="majorBidi" w:cstheme="majorBidi"/>
          <w:sz w:val="24"/>
          <w:szCs w:val="24"/>
        </w:rPr>
        <w:t>A discussion</w:t>
      </w:r>
      <w:r w:rsidR="00D4497A">
        <w:rPr>
          <w:rFonts w:asciiTheme="majorBidi" w:hAnsiTheme="majorBidi" w:cstheme="majorBidi"/>
          <w:sz w:val="24"/>
          <w:szCs w:val="24"/>
        </w:rPr>
        <w:t xml:space="preserve"> was also organized </w:t>
      </w:r>
      <w:r w:rsidR="007F3C24">
        <w:rPr>
          <w:rFonts w:asciiTheme="majorBidi" w:hAnsiTheme="majorBidi" w:cstheme="majorBidi"/>
          <w:sz w:val="24"/>
          <w:szCs w:val="24"/>
        </w:rPr>
        <w:t xml:space="preserve">regarding the national report of Armenia, during which high-level representatives from state institutions, international organizations, such as the United Nations Office in Armenia, </w:t>
      </w:r>
      <w:r w:rsidR="007F3C24" w:rsidRPr="00934D0A">
        <w:rPr>
          <w:rFonts w:asciiTheme="majorBidi" w:hAnsiTheme="majorBidi" w:cstheme="majorBidi"/>
          <w:sz w:val="24"/>
          <w:szCs w:val="24"/>
        </w:rPr>
        <w:t>and civil society also participated. During the discussion, the draft report, its themes, structure, and key directions were presented.</w:t>
      </w:r>
    </w:p>
    <w:p w14:paraId="5D32681B" w14:textId="0A1E4DD0" w:rsidR="000E46F9" w:rsidRPr="00934D0A" w:rsidRDefault="009C7F24" w:rsidP="000E46F9">
      <w:pPr>
        <w:tabs>
          <w:tab w:val="left" w:pos="0"/>
        </w:tabs>
        <w:spacing w:after="0" w:line="276" w:lineRule="auto"/>
        <w:jc w:val="both"/>
        <w:rPr>
          <w:rFonts w:asciiTheme="majorBidi" w:hAnsiTheme="majorBidi" w:cstheme="majorBidi"/>
          <w:sz w:val="24"/>
          <w:szCs w:val="24"/>
        </w:rPr>
      </w:pPr>
      <w:r w:rsidRPr="00934D0A">
        <w:rPr>
          <w:rFonts w:asciiTheme="majorBidi" w:hAnsiTheme="majorBidi" w:cstheme="majorBidi"/>
          <w:sz w:val="24"/>
          <w:szCs w:val="24"/>
        </w:rPr>
        <w:tab/>
      </w:r>
      <w:r w:rsidR="006436D9" w:rsidRPr="00934D0A">
        <w:rPr>
          <w:rFonts w:asciiTheme="majorBidi" w:hAnsiTheme="majorBidi" w:cstheme="majorBidi"/>
          <w:sz w:val="24"/>
          <w:szCs w:val="24"/>
        </w:rPr>
        <w:t>Additionally, the Human Rights Defender submitted the Defender’s Office’s for the Fourth Cycle of the Universal Periodic Review.  The themes covered reflected the priorities of the direction of the activities of the Human Rights Defender’s Office, which include the rights of persons with disabilities, the rights of the child, the rights of persons belonging to national minorities, the rights of LGBTI persons, and gender-based violence. Review of the implementation of recommendations made to Armenia regarding the National Human Rights Institution, and the activities of the National Preventive Mechanism and the fight against torture and ill-treatment was also referred to in the submission. The Human Rights Defender also submitted both a written and a video statement for the UPR adoption of Armenia during the 60</w:t>
      </w:r>
      <w:r w:rsidR="006436D9" w:rsidRPr="00934D0A">
        <w:rPr>
          <w:rFonts w:asciiTheme="majorBidi" w:hAnsiTheme="majorBidi" w:cstheme="majorBidi"/>
          <w:sz w:val="24"/>
          <w:szCs w:val="24"/>
          <w:vertAlign w:val="superscript"/>
        </w:rPr>
        <w:t>th</w:t>
      </w:r>
      <w:r w:rsidR="006436D9" w:rsidRPr="00934D0A">
        <w:rPr>
          <w:rFonts w:asciiTheme="majorBidi" w:hAnsiTheme="majorBidi" w:cstheme="majorBidi"/>
          <w:sz w:val="24"/>
          <w:szCs w:val="24"/>
        </w:rPr>
        <w:t xml:space="preserve"> session of the Human Rights Council. </w:t>
      </w:r>
    </w:p>
    <w:p w14:paraId="49BC6801" w14:textId="77777777" w:rsidR="0027028F" w:rsidRDefault="00A25D9C" w:rsidP="0027028F">
      <w:pPr>
        <w:tabs>
          <w:tab w:val="left" w:pos="0"/>
        </w:tabs>
        <w:spacing w:after="0" w:line="276" w:lineRule="auto"/>
        <w:jc w:val="both"/>
        <w:rPr>
          <w:rFonts w:asciiTheme="majorBidi" w:hAnsiTheme="majorBidi" w:cstheme="majorBidi"/>
          <w:sz w:val="24"/>
          <w:szCs w:val="24"/>
        </w:rPr>
      </w:pPr>
      <w:r w:rsidRPr="00934D0A">
        <w:rPr>
          <w:rFonts w:asciiTheme="majorBidi" w:hAnsiTheme="majorBidi" w:cstheme="majorBidi"/>
          <w:sz w:val="24"/>
          <w:szCs w:val="24"/>
        </w:rPr>
        <w:tab/>
      </w:r>
      <w:r w:rsidR="000E46F9" w:rsidRPr="00934D0A">
        <w:rPr>
          <w:rFonts w:asciiTheme="majorBidi" w:hAnsiTheme="majorBidi" w:cstheme="majorBidi"/>
          <w:sz w:val="24"/>
          <w:szCs w:val="24"/>
        </w:rPr>
        <w:t>Armenia’s ratification of major international human rights conventions demonstrates a clear commitment at the international level. Through the UPR process, both the government and independent institutions such as the</w:t>
      </w:r>
      <w:r w:rsidR="000E46F9" w:rsidRPr="000E46F9">
        <w:rPr>
          <w:rFonts w:asciiTheme="majorBidi" w:hAnsiTheme="majorBidi" w:cstheme="majorBidi"/>
          <w:sz w:val="24"/>
          <w:szCs w:val="24"/>
        </w:rPr>
        <w:t xml:space="preserve"> HRDO contribute to identifying gaps and proposing reforms.</w:t>
      </w:r>
      <w:r w:rsidR="008F0101">
        <w:rPr>
          <w:rFonts w:asciiTheme="majorBidi" w:hAnsiTheme="majorBidi" w:cstheme="majorBidi"/>
          <w:sz w:val="24"/>
          <w:szCs w:val="24"/>
        </w:rPr>
        <w:t xml:space="preserve"> </w:t>
      </w:r>
      <w:r w:rsidR="00667FD0">
        <w:rPr>
          <w:rFonts w:asciiTheme="majorBidi" w:hAnsiTheme="majorBidi" w:cstheme="majorBidi"/>
          <w:sz w:val="24"/>
          <w:szCs w:val="24"/>
        </w:rPr>
        <w:t xml:space="preserve">Still, one of the most important conventions aiming to prevent domestic violence, has not been ratified yet. </w:t>
      </w:r>
      <w:r w:rsidR="008F0101">
        <w:rPr>
          <w:rFonts w:asciiTheme="majorBidi" w:hAnsiTheme="majorBidi" w:cstheme="majorBidi"/>
          <w:sz w:val="24"/>
          <w:szCs w:val="24"/>
        </w:rPr>
        <w:t xml:space="preserve">In her constant public </w:t>
      </w:r>
      <w:r w:rsidR="00667FD0">
        <w:rPr>
          <w:rFonts w:asciiTheme="majorBidi" w:hAnsiTheme="majorBidi" w:cstheme="majorBidi"/>
          <w:sz w:val="24"/>
          <w:szCs w:val="24"/>
        </w:rPr>
        <w:t>speeches,</w:t>
      </w:r>
      <w:r w:rsidR="008F0101">
        <w:rPr>
          <w:rFonts w:asciiTheme="majorBidi" w:hAnsiTheme="majorBidi" w:cstheme="majorBidi"/>
          <w:sz w:val="24"/>
          <w:szCs w:val="24"/>
        </w:rPr>
        <w:t xml:space="preserve"> the Defender emphasized the </w:t>
      </w:r>
      <w:r w:rsidR="00977205">
        <w:rPr>
          <w:rFonts w:asciiTheme="majorBidi" w:hAnsiTheme="majorBidi" w:cstheme="majorBidi"/>
          <w:sz w:val="24"/>
          <w:szCs w:val="24"/>
        </w:rPr>
        <w:t>importance of the rati</w:t>
      </w:r>
      <w:r w:rsidR="00667FD0">
        <w:rPr>
          <w:rFonts w:asciiTheme="majorBidi" w:hAnsiTheme="majorBidi" w:cstheme="majorBidi"/>
          <w:sz w:val="24"/>
          <w:szCs w:val="24"/>
        </w:rPr>
        <w:t xml:space="preserve">fication of Istanbul Convention. </w:t>
      </w:r>
    </w:p>
    <w:p w14:paraId="56D8DB20" w14:textId="51270C7F" w:rsidR="0027028F" w:rsidRDefault="0027028F" w:rsidP="00CE4D0F">
      <w:pPr>
        <w:tabs>
          <w:tab w:val="left" w:pos="0"/>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Pr="0027028F">
        <w:rPr>
          <w:rFonts w:asciiTheme="majorBidi" w:hAnsiTheme="majorBidi" w:cstheme="majorBidi"/>
          <w:sz w:val="24"/>
          <w:szCs w:val="24"/>
        </w:rPr>
        <w:t>The Government of the Republic of Armenia (RA) adopted a decree introducing amendments and supplements to the Law “On the Prevention of Domestic Violence, Protection of Persons Subjected to Domestic Violence, and Restoration of Family Solidarity,” which entered into force on July 1, 2024. The amendments provide a more precise title and clearer definitions, harmonizing the law with the provisions of the Criminal Code.</w:t>
      </w:r>
      <w:r w:rsidR="00CE4D0F">
        <w:rPr>
          <w:rFonts w:asciiTheme="majorBidi" w:hAnsiTheme="majorBidi" w:cstheme="majorBidi"/>
          <w:sz w:val="24"/>
          <w:szCs w:val="24"/>
        </w:rPr>
        <w:t xml:space="preserve"> </w:t>
      </w:r>
      <w:r w:rsidRPr="0027028F">
        <w:rPr>
          <w:rFonts w:asciiTheme="majorBidi" w:hAnsiTheme="majorBidi" w:cstheme="majorBidi"/>
          <w:sz w:val="24"/>
          <w:szCs w:val="24"/>
        </w:rPr>
        <w:t xml:space="preserve">The Criminal Code now establishes aggravating circumstances for gender-based violence and for violence committed by a family member or intimate partner. It also </w:t>
      </w:r>
      <w:r>
        <w:rPr>
          <w:rFonts w:asciiTheme="majorBidi" w:hAnsiTheme="majorBidi" w:cstheme="majorBidi"/>
          <w:sz w:val="24"/>
          <w:szCs w:val="24"/>
        </w:rPr>
        <w:t xml:space="preserve">provides for </w:t>
      </w:r>
      <w:r w:rsidRPr="0027028F">
        <w:rPr>
          <w:rFonts w:asciiTheme="majorBidi" w:hAnsiTheme="majorBidi" w:cstheme="majorBidi"/>
          <w:sz w:val="24"/>
          <w:szCs w:val="24"/>
        </w:rPr>
        <w:t>substantial fines for failure t</w:t>
      </w:r>
      <w:r>
        <w:rPr>
          <w:rFonts w:asciiTheme="majorBidi" w:hAnsiTheme="majorBidi" w:cstheme="majorBidi"/>
          <w:sz w:val="24"/>
          <w:szCs w:val="24"/>
        </w:rPr>
        <w:t xml:space="preserve">o comply with protection orders. </w:t>
      </w:r>
    </w:p>
    <w:p w14:paraId="1B6910A4" w14:textId="0F73A69E" w:rsidR="00E364E7" w:rsidRDefault="0027028F" w:rsidP="0027028F">
      <w:pPr>
        <w:tabs>
          <w:tab w:val="left" w:pos="0"/>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Pr="0027028F">
        <w:rPr>
          <w:rFonts w:asciiTheme="majorBidi" w:hAnsiTheme="majorBidi" w:cstheme="majorBidi"/>
          <w:sz w:val="24"/>
          <w:szCs w:val="24"/>
        </w:rPr>
        <w:t>To ensure a comprehensive approach to preventing domestic violence, improving statistical data collection, and enhancing reporting mechanisms, the Centralized System for Registering Domestic Violen</w:t>
      </w:r>
      <w:r>
        <w:rPr>
          <w:rFonts w:asciiTheme="majorBidi" w:hAnsiTheme="majorBidi" w:cstheme="majorBidi"/>
          <w:sz w:val="24"/>
          <w:szCs w:val="24"/>
        </w:rPr>
        <w:t>ce Cases was launched in 2024</w:t>
      </w:r>
      <w:r w:rsidR="00F72506">
        <w:rPr>
          <w:rFonts w:asciiTheme="majorBidi" w:hAnsiTheme="majorBidi" w:cstheme="majorBidi"/>
          <w:sz w:val="24"/>
          <w:szCs w:val="24"/>
        </w:rPr>
        <w:t xml:space="preserve"> - </w:t>
      </w:r>
      <w:hyperlink r:id="rId8" w:tgtFrame="_new" w:history="1">
        <w:r w:rsidR="00F72506">
          <w:rPr>
            <w:rStyle w:val="Hyperlink"/>
          </w:rPr>
          <w:t>https://dvs.mlsa.am/login</w:t>
        </w:r>
      </w:hyperlink>
      <w:r>
        <w:rPr>
          <w:rFonts w:asciiTheme="majorBidi" w:hAnsiTheme="majorBidi" w:cstheme="majorBidi"/>
          <w:sz w:val="24"/>
          <w:szCs w:val="24"/>
        </w:rPr>
        <w:t xml:space="preserve">. </w:t>
      </w:r>
      <w:r w:rsidRPr="0027028F">
        <w:rPr>
          <w:rFonts w:asciiTheme="majorBidi" w:hAnsiTheme="majorBidi" w:cstheme="majorBidi"/>
          <w:sz w:val="24"/>
          <w:szCs w:val="24"/>
        </w:rPr>
        <w:t>The data generated through this system will serve as a foundation for developing more targeted measures and strategic programs aimed at effectively addressing domestic violence.</w:t>
      </w:r>
      <w:r w:rsidR="005C4F1D">
        <w:rPr>
          <w:rFonts w:asciiTheme="majorBidi" w:hAnsiTheme="majorBidi" w:cstheme="majorBidi"/>
          <w:sz w:val="24"/>
          <w:szCs w:val="24"/>
          <w:lang w:val="hy-AM"/>
        </w:rPr>
        <w:t xml:space="preserve"> </w:t>
      </w:r>
    </w:p>
    <w:p w14:paraId="098B5F26" w14:textId="77777777" w:rsidR="0026314D" w:rsidRPr="0026314D" w:rsidRDefault="0026314D" w:rsidP="000E46F9">
      <w:pPr>
        <w:tabs>
          <w:tab w:val="left" w:pos="0"/>
        </w:tabs>
        <w:spacing w:after="0" w:line="276" w:lineRule="auto"/>
        <w:jc w:val="both"/>
        <w:rPr>
          <w:rFonts w:asciiTheme="majorBidi" w:hAnsiTheme="majorBidi" w:cstheme="majorBidi"/>
          <w:sz w:val="24"/>
          <w:szCs w:val="24"/>
        </w:rPr>
      </w:pPr>
    </w:p>
    <w:p w14:paraId="79FF1723" w14:textId="77777777" w:rsidR="001A2A08" w:rsidRPr="001A2A08" w:rsidRDefault="001A2A08" w:rsidP="000E46F9">
      <w:pPr>
        <w:tabs>
          <w:tab w:val="left" w:pos="0"/>
        </w:tabs>
        <w:spacing w:after="0" w:line="276" w:lineRule="auto"/>
        <w:jc w:val="both"/>
        <w:rPr>
          <w:rFonts w:asciiTheme="majorBidi" w:hAnsiTheme="majorBidi" w:cstheme="majorBidi"/>
          <w:sz w:val="24"/>
          <w:szCs w:val="24"/>
          <w:lang w:val="hy-AM"/>
        </w:rPr>
      </w:pPr>
    </w:p>
    <w:p w14:paraId="2B1F44FA" w14:textId="4F54F922" w:rsidR="007F3C24" w:rsidRDefault="007F3C24" w:rsidP="009C7F24">
      <w:pPr>
        <w:tabs>
          <w:tab w:val="left" w:pos="0"/>
        </w:tabs>
        <w:spacing w:after="0" w:line="276" w:lineRule="auto"/>
        <w:jc w:val="both"/>
        <w:rPr>
          <w:rFonts w:asciiTheme="majorBidi" w:hAnsiTheme="majorBidi" w:cstheme="majorBidi"/>
          <w:sz w:val="24"/>
          <w:szCs w:val="24"/>
        </w:rPr>
      </w:pPr>
    </w:p>
    <w:p w14:paraId="20304307" w14:textId="77777777" w:rsidR="007F3C24" w:rsidRDefault="007F3C24" w:rsidP="009C7F24">
      <w:pPr>
        <w:tabs>
          <w:tab w:val="left" w:pos="0"/>
        </w:tabs>
        <w:spacing w:after="0" w:line="276" w:lineRule="auto"/>
        <w:jc w:val="both"/>
        <w:rPr>
          <w:rFonts w:asciiTheme="majorBidi" w:hAnsiTheme="majorBidi" w:cstheme="majorBidi"/>
          <w:sz w:val="24"/>
          <w:szCs w:val="24"/>
        </w:rPr>
      </w:pPr>
    </w:p>
    <w:p w14:paraId="509F440A" w14:textId="77777777" w:rsidR="007F3C24" w:rsidRPr="007F3C24" w:rsidRDefault="007F3C24" w:rsidP="009C7F24">
      <w:pPr>
        <w:tabs>
          <w:tab w:val="left" w:pos="0"/>
        </w:tabs>
        <w:spacing w:after="0" w:line="276" w:lineRule="auto"/>
        <w:jc w:val="both"/>
        <w:rPr>
          <w:rFonts w:asciiTheme="majorBidi" w:hAnsiTheme="majorBidi" w:cstheme="majorBidi"/>
          <w:sz w:val="24"/>
          <w:szCs w:val="24"/>
        </w:rPr>
      </w:pPr>
    </w:p>
    <w:p w14:paraId="3224763F" w14:textId="77777777" w:rsidR="007F3C24" w:rsidRPr="00781D97" w:rsidRDefault="007F3C24" w:rsidP="009C7F24">
      <w:pPr>
        <w:tabs>
          <w:tab w:val="left" w:pos="0"/>
        </w:tabs>
        <w:spacing w:after="0" w:line="276" w:lineRule="auto"/>
        <w:jc w:val="both"/>
        <w:rPr>
          <w:rFonts w:asciiTheme="majorBidi" w:hAnsiTheme="majorBidi" w:cstheme="majorBidi"/>
          <w:sz w:val="24"/>
          <w:szCs w:val="24"/>
        </w:rPr>
      </w:pPr>
    </w:p>
    <w:sectPr w:rsidR="007F3C24" w:rsidRPr="00781D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488E" w14:textId="77777777" w:rsidR="006F15B3" w:rsidRDefault="006F15B3" w:rsidP="0076608B">
      <w:pPr>
        <w:spacing w:after="0" w:line="240" w:lineRule="auto"/>
      </w:pPr>
      <w:r>
        <w:separator/>
      </w:r>
    </w:p>
  </w:endnote>
  <w:endnote w:type="continuationSeparator" w:id="0">
    <w:p w14:paraId="497C4BE2" w14:textId="77777777" w:rsidR="006F15B3" w:rsidRDefault="006F15B3" w:rsidP="00766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534D9" w14:textId="77777777" w:rsidR="006F15B3" w:rsidRDefault="006F15B3" w:rsidP="0076608B">
      <w:pPr>
        <w:spacing w:after="0" w:line="240" w:lineRule="auto"/>
      </w:pPr>
      <w:r>
        <w:separator/>
      </w:r>
    </w:p>
  </w:footnote>
  <w:footnote w:type="continuationSeparator" w:id="0">
    <w:p w14:paraId="7A2D7B47" w14:textId="77777777" w:rsidR="006F15B3" w:rsidRDefault="006F15B3" w:rsidP="0076608B">
      <w:pPr>
        <w:spacing w:after="0" w:line="240" w:lineRule="auto"/>
      </w:pPr>
      <w:r>
        <w:continuationSeparator/>
      </w:r>
    </w:p>
  </w:footnote>
  <w:footnote w:id="1">
    <w:p w14:paraId="6AD05EB0" w14:textId="4C6DFFA9" w:rsidR="008E7068" w:rsidRDefault="008E7068">
      <w:pPr>
        <w:pStyle w:val="FootnoteText"/>
      </w:pPr>
      <w:r>
        <w:rPr>
          <w:rStyle w:val="FootnoteReference"/>
        </w:rPr>
        <w:footnoteRef/>
      </w:r>
      <w:r>
        <w:t xml:space="preserve"> </w:t>
      </w:r>
      <w:hyperlink r:id="rId1" w:history="1">
        <w:r w:rsidRPr="00AE3215">
          <w:rPr>
            <w:rStyle w:val="Hyperlink"/>
          </w:rPr>
          <w:t>https://www.arlis.am/hy/acts/199909</w:t>
        </w:r>
      </w:hyperlink>
      <w:r>
        <w:t xml:space="preserve"> </w:t>
      </w:r>
    </w:p>
  </w:footnote>
  <w:footnote w:id="2">
    <w:p w14:paraId="08D1BB45" w14:textId="422BBCEA" w:rsidR="0076608B" w:rsidRDefault="0076608B">
      <w:pPr>
        <w:pStyle w:val="FootnoteText"/>
      </w:pPr>
      <w:r>
        <w:rPr>
          <w:rStyle w:val="FootnoteReference"/>
        </w:rPr>
        <w:footnoteRef/>
      </w:r>
      <w:r>
        <w:t xml:space="preserve"> </w:t>
      </w:r>
      <w:hyperlink r:id="rId2" w:history="1">
        <w:r w:rsidRPr="00AE3215">
          <w:rPr>
            <w:rStyle w:val="Hyperlink"/>
          </w:rPr>
          <w:t>https://ai-nemra.am/</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85032"/>
    <w:multiLevelType w:val="hybridMultilevel"/>
    <w:tmpl w:val="9F7255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9904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D97"/>
    <w:rsid w:val="000E46F9"/>
    <w:rsid w:val="00136B6A"/>
    <w:rsid w:val="001820C8"/>
    <w:rsid w:val="001A2A08"/>
    <w:rsid w:val="002368A3"/>
    <w:rsid w:val="0026314D"/>
    <w:rsid w:val="0027028F"/>
    <w:rsid w:val="0027084D"/>
    <w:rsid w:val="002A43A4"/>
    <w:rsid w:val="003028C4"/>
    <w:rsid w:val="00394508"/>
    <w:rsid w:val="003D4BF8"/>
    <w:rsid w:val="004029C1"/>
    <w:rsid w:val="004E0833"/>
    <w:rsid w:val="0050303E"/>
    <w:rsid w:val="005152B4"/>
    <w:rsid w:val="00586851"/>
    <w:rsid w:val="00586C23"/>
    <w:rsid w:val="005C4F1D"/>
    <w:rsid w:val="005F503A"/>
    <w:rsid w:val="00625CD3"/>
    <w:rsid w:val="006436D9"/>
    <w:rsid w:val="00667FD0"/>
    <w:rsid w:val="00677DAA"/>
    <w:rsid w:val="006948BE"/>
    <w:rsid w:val="006F15B3"/>
    <w:rsid w:val="00762F63"/>
    <w:rsid w:val="0076608B"/>
    <w:rsid w:val="00781D97"/>
    <w:rsid w:val="007A35DC"/>
    <w:rsid w:val="007F3C24"/>
    <w:rsid w:val="008773B1"/>
    <w:rsid w:val="008E7068"/>
    <w:rsid w:val="008F0101"/>
    <w:rsid w:val="008F15B4"/>
    <w:rsid w:val="008F65B0"/>
    <w:rsid w:val="00933E29"/>
    <w:rsid w:val="00934D0A"/>
    <w:rsid w:val="00977205"/>
    <w:rsid w:val="009973FA"/>
    <w:rsid w:val="009B13F8"/>
    <w:rsid w:val="009B6846"/>
    <w:rsid w:val="009C4837"/>
    <w:rsid w:val="009C7F24"/>
    <w:rsid w:val="00A25D9C"/>
    <w:rsid w:val="00A34CD5"/>
    <w:rsid w:val="00B20814"/>
    <w:rsid w:val="00B2297B"/>
    <w:rsid w:val="00B6337D"/>
    <w:rsid w:val="00BC17CF"/>
    <w:rsid w:val="00BE5F25"/>
    <w:rsid w:val="00C3490A"/>
    <w:rsid w:val="00CE4D0F"/>
    <w:rsid w:val="00D26673"/>
    <w:rsid w:val="00D4497A"/>
    <w:rsid w:val="00E3246D"/>
    <w:rsid w:val="00E364E7"/>
    <w:rsid w:val="00EB786D"/>
    <w:rsid w:val="00F128E6"/>
    <w:rsid w:val="00F2042B"/>
    <w:rsid w:val="00F72506"/>
    <w:rsid w:val="00F76ABE"/>
    <w:rsid w:val="00F87321"/>
    <w:rsid w:val="00F87F14"/>
    <w:rsid w:val="00F910F2"/>
    <w:rsid w:val="00FC14A0"/>
    <w:rsid w:val="00FE0C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5C882"/>
  <w15:chartTrackingRefBased/>
  <w15:docId w15:val="{74D313EF-3B35-45EB-98E1-DA31DA3B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D97"/>
    <w:pPr>
      <w:ind w:left="720"/>
      <w:contextualSpacing/>
    </w:pPr>
  </w:style>
  <w:style w:type="paragraph" w:styleId="BalloonText">
    <w:name w:val="Balloon Text"/>
    <w:basedOn w:val="Normal"/>
    <w:link w:val="BalloonTextChar"/>
    <w:uiPriority w:val="99"/>
    <w:semiHidden/>
    <w:unhideWhenUsed/>
    <w:rsid w:val="006436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6D9"/>
    <w:rPr>
      <w:rFonts w:ascii="Segoe UI" w:hAnsi="Segoe UI" w:cs="Segoe UI"/>
      <w:sz w:val="18"/>
      <w:szCs w:val="18"/>
    </w:rPr>
  </w:style>
  <w:style w:type="paragraph" w:styleId="FootnoteText">
    <w:name w:val="footnote text"/>
    <w:basedOn w:val="Normal"/>
    <w:link w:val="FootnoteTextChar"/>
    <w:uiPriority w:val="99"/>
    <w:semiHidden/>
    <w:unhideWhenUsed/>
    <w:rsid w:val="007660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608B"/>
    <w:rPr>
      <w:sz w:val="20"/>
      <w:szCs w:val="20"/>
    </w:rPr>
  </w:style>
  <w:style w:type="character" w:styleId="FootnoteReference">
    <w:name w:val="footnote reference"/>
    <w:basedOn w:val="DefaultParagraphFont"/>
    <w:uiPriority w:val="99"/>
    <w:semiHidden/>
    <w:unhideWhenUsed/>
    <w:rsid w:val="0076608B"/>
    <w:rPr>
      <w:vertAlign w:val="superscript"/>
    </w:rPr>
  </w:style>
  <w:style w:type="character" w:styleId="Hyperlink">
    <w:name w:val="Hyperlink"/>
    <w:basedOn w:val="DefaultParagraphFont"/>
    <w:uiPriority w:val="99"/>
    <w:unhideWhenUsed/>
    <w:rsid w:val="0076608B"/>
    <w:rPr>
      <w:color w:val="0563C1" w:themeColor="hyperlink"/>
      <w:u w:val="single"/>
    </w:rPr>
  </w:style>
  <w:style w:type="character" w:customStyle="1" w:styleId="UnresolvedMention1">
    <w:name w:val="Unresolved Mention1"/>
    <w:basedOn w:val="DefaultParagraphFont"/>
    <w:uiPriority w:val="99"/>
    <w:semiHidden/>
    <w:unhideWhenUsed/>
    <w:rsid w:val="0076608B"/>
    <w:rPr>
      <w:color w:val="605E5C"/>
      <w:shd w:val="clear" w:color="auto" w:fill="E1DFDD"/>
    </w:rPr>
  </w:style>
  <w:style w:type="paragraph" w:styleId="Header">
    <w:name w:val="header"/>
    <w:basedOn w:val="Normal"/>
    <w:link w:val="HeaderChar"/>
    <w:uiPriority w:val="99"/>
    <w:unhideWhenUsed/>
    <w:rsid w:val="004E08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833"/>
  </w:style>
  <w:style w:type="paragraph" w:styleId="Footer">
    <w:name w:val="footer"/>
    <w:basedOn w:val="Normal"/>
    <w:link w:val="FooterChar"/>
    <w:uiPriority w:val="99"/>
    <w:unhideWhenUsed/>
    <w:rsid w:val="004E08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017539">
      <w:bodyDiv w:val="1"/>
      <w:marLeft w:val="0"/>
      <w:marRight w:val="0"/>
      <w:marTop w:val="0"/>
      <w:marBottom w:val="0"/>
      <w:divBdr>
        <w:top w:val="none" w:sz="0" w:space="0" w:color="auto"/>
        <w:left w:val="none" w:sz="0" w:space="0" w:color="auto"/>
        <w:bottom w:val="none" w:sz="0" w:space="0" w:color="auto"/>
        <w:right w:val="none" w:sz="0" w:space="0" w:color="auto"/>
      </w:divBdr>
    </w:div>
    <w:div w:id="212307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vs.mlsa.am/login"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i-nemra.am/" TargetMode="External"/><Relationship Id="rId1" Type="http://schemas.openxmlformats.org/officeDocument/2006/relationships/hyperlink" Target="https://www.arlis.am/hy/acts/199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Armenia - Human Rights Defender</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39DDDF7C-0CA1-446B-A9D1-F1285EE4CA2A}">
  <ds:schemaRefs>
    <ds:schemaRef ds:uri="http://schemas.openxmlformats.org/officeDocument/2006/bibliography"/>
  </ds:schemaRefs>
</ds:datastoreItem>
</file>

<file path=customXml/itemProps2.xml><?xml version="1.0" encoding="utf-8"?>
<ds:datastoreItem xmlns:ds="http://schemas.openxmlformats.org/officeDocument/2006/customXml" ds:itemID="{7E530510-34D2-4820-A48F-A5ED264F9043}"/>
</file>

<file path=customXml/itemProps3.xml><?xml version="1.0" encoding="utf-8"?>
<ds:datastoreItem xmlns:ds="http://schemas.openxmlformats.org/officeDocument/2006/customXml" ds:itemID="{F797E337-A01B-49FE-91BB-1F5E78CA2830}"/>
</file>

<file path=customXml/itemProps4.xml><?xml version="1.0" encoding="utf-8"?>
<ds:datastoreItem xmlns:ds="http://schemas.openxmlformats.org/officeDocument/2006/customXml" ds:itemID="{F492F350-8C6E-4244-A4C6-C183AAC276E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dc:creator>
  <cp:keywords/>
  <dc:description/>
  <cp:lastModifiedBy>Jeroen Klok</cp:lastModifiedBy>
  <cp:revision>7</cp:revision>
  <dcterms:created xsi:type="dcterms:W3CDTF">2026-02-27T13:32:00Z</dcterms:created>
  <dcterms:modified xsi:type="dcterms:W3CDTF">2026-04-22T12:40:00Z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