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12A2E" w14:textId="7C6E574C" w:rsidR="00FE6D3A" w:rsidRPr="00157B28" w:rsidRDefault="00FE6D3A" w:rsidP="00157B28">
      <w:pPr>
        <w:spacing w:after="0" w:line="276" w:lineRule="auto"/>
        <w:contextualSpacing/>
        <w:jc w:val="center"/>
        <w:rPr>
          <w:rFonts w:ascii="Tahoma" w:hAnsi="Tahoma" w:cs="Tahoma"/>
          <w:b/>
          <w:bCs/>
          <w:sz w:val="24"/>
          <w:szCs w:val="24"/>
        </w:rPr>
      </w:pPr>
      <w:r w:rsidRPr="00157B28">
        <w:rPr>
          <w:rFonts w:ascii="Tahoma" w:hAnsi="Tahoma" w:cs="Tahoma"/>
          <w:b/>
          <w:bCs/>
          <w:sz w:val="24"/>
          <w:szCs w:val="24"/>
        </w:rPr>
        <w:t>MALAWI HUMAN RIGHTS COMMISSION</w:t>
      </w:r>
    </w:p>
    <w:p w14:paraId="43957661" w14:textId="77777777" w:rsidR="00157B28" w:rsidRDefault="00157B28" w:rsidP="00157B28">
      <w:pPr>
        <w:spacing w:after="0" w:line="276" w:lineRule="auto"/>
        <w:contextualSpacing/>
        <w:jc w:val="center"/>
        <w:rPr>
          <w:rFonts w:ascii="Tahoma" w:hAnsi="Tahoma" w:cs="Tahoma"/>
          <w:b/>
          <w:bCs/>
          <w:sz w:val="24"/>
          <w:szCs w:val="24"/>
        </w:rPr>
      </w:pPr>
    </w:p>
    <w:p w14:paraId="2D76A239" w14:textId="77777777" w:rsidR="00157B28" w:rsidRPr="00157B28" w:rsidRDefault="00157B28" w:rsidP="00157B28">
      <w:pPr>
        <w:spacing w:after="0" w:line="276" w:lineRule="auto"/>
        <w:contextualSpacing/>
        <w:jc w:val="center"/>
        <w:rPr>
          <w:rFonts w:ascii="Tahoma" w:hAnsi="Tahoma" w:cs="Tahoma"/>
          <w:b/>
          <w:bCs/>
          <w:sz w:val="24"/>
          <w:szCs w:val="24"/>
        </w:rPr>
      </w:pPr>
    </w:p>
    <w:p w14:paraId="784EC0DF" w14:textId="5516B7CA" w:rsidR="00157B28" w:rsidRPr="00157B28" w:rsidRDefault="00157B28" w:rsidP="00157B28">
      <w:pPr>
        <w:spacing w:after="0" w:line="276" w:lineRule="auto"/>
        <w:contextualSpacing/>
        <w:jc w:val="center"/>
        <w:rPr>
          <w:rFonts w:ascii="Tahoma" w:hAnsi="Tahoma" w:cs="Tahoma"/>
          <w:b/>
          <w:bCs/>
          <w:sz w:val="24"/>
          <w:szCs w:val="24"/>
        </w:rPr>
      </w:pPr>
      <w:r w:rsidRPr="00157B28">
        <w:rPr>
          <w:rFonts w:ascii="Tahoma" w:hAnsi="Tahoma" w:cs="Tahoma"/>
          <w:b/>
          <w:bCs/>
          <w:sz w:val="24"/>
          <w:szCs w:val="24"/>
        </w:rPr>
        <w:object w:dxaOrig="2369" w:dyaOrig="2407" w14:anchorId="35BE00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3pt" o:ole="" filled="t">
            <v:imagedata r:id="rId7" o:title=""/>
          </v:shape>
          <o:OLEObject Type="Embed" ProgID="CorelDraw.Graphic.9" ShapeID="_x0000_i1025" DrawAspect="Content" ObjectID="_1833964800" r:id="rId8"/>
        </w:object>
      </w:r>
    </w:p>
    <w:p w14:paraId="3934C59F" w14:textId="77777777" w:rsidR="00157B28" w:rsidRPr="00157B28" w:rsidRDefault="00157B28" w:rsidP="00157B28">
      <w:pPr>
        <w:spacing w:after="0" w:line="276" w:lineRule="auto"/>
        <w:contextualSpacing/>
        <w:jc w:val="center"/>
        <w:rPr>
          <w:rFonts w:ascii="Tahoma" w:hAnsi="Tahoma" w:cs="Tahoma"/>
          <w:b/>
          <w:bCs/>
          <w:sz w:val="24"/>
          <w:szCs w:val="24"/>
        </w:rPr>
      </w:pPr>
    </w:p>
    <w:p w14:paraId="426F2C3D" w14:textId="77777777" w:rsidR="00157B28" w:rsidRDefault="00157B28" w:rsidP="00157B28">
      <w:pPr>
        <w:spacing w:after="0" w:line="276" w:lineRule="auto"/>
        <w:contextualSpacing/>
        <w:jc w:val="center"/>
        <w:rPr>
          <w:rFonts w:ascii="Tahoma" w:hAnsi="Tahoma" w:cs="Tahoma"/>
          <w:b/>
          <w:bCs/>
          <w:sz w:val="24"/>
          <w:szCs w:val="24"/>
        </w:rPr>
      </w:pPr>
    </w:p>
    <w:p w14:paraId="41EC1026" w14:textId="77777777" w:rsidR="00157B28" w:rsidRPr="00157B28" w:rsidRDefault="00157B28" w:rsidP="00157B28">
      <w:pPr>
        <w:spacing w:after="0" w:line="276" w:lineRule="auto"/>
        <w:contextualSpacing/>
        <w:jc w:val="center"/>
        <w:rPr>
          <w:rFonts w:ascii="Tahoma" w:hAnsi="Tahoma" w:cs="Tahoma"/>
          <w:b/>
          <w:bCs/>
          <w:sz w:val="24"/>
          <w:szCs w:val="24"/>
        </w:rPr>
      </w:pPr>
    </w:p>
    <w:p w14:paraId="26B3095E" w14:textId="77777777" w:rsidR="00157B28" w:rsidRPr="00157B28" w:rsidRDefault="00157B28" w:rsidP="00157B28">
      <w:pPr>
        <w:spacing w:after="0" w:line="276" w:lineRule="auto"/>
        <w:contextualSpacing/>
        <w:jc w:val="center"/>
        <w:rPr>
          <w:rFonts w:ascii="Tahoma" w:hAnsi="Tahoma" w:cs="Tahoma"/>
          <w:b/>
          <w:bCs/>
          <w:sz w:val="24"/>
          <w:szCs w:val="24"/>
        </w:rPr>
      </w:pPr>
    </w:p>
    <w:p w14:paraId="6018162A" w14:textId="77777777" w:rsidR="00157B28" w:rsidRDefault="00157B28" w:rsidP="00157B28">
      <w:pPr>
        <w:spacing w:after="0" w:line="276" w:lineRule="auto"/>
        <w:contextualSpacing/>
        <w:jc w:val="center"/>
        <w:rPr>
          <w:rFonts w:ascii="Tahoma" w:hAnsi="Tahoma" w:cs="Tahoma"/>
          <w:b/>
          <w:bCs/>
          <w:sz w:val="24"/>
          <w:szCs w:val="24"/>
        </w:rPr>
      </w:pPr>
    </w:p>
    <w:p w14:paraId="70C683EE" w14:textId="77777777" w:rsidR="00157B28" w:rsidRDefault="00157B28" w:rsidP="00157B28">
      <w:pPr>
        <w:spacing w:after="0" w:line="276" w:lineRule="auto"/>
        <w:contextualSpacing/>
        <w:jc w:val="center"/>
        <w:rPr>
          <w:rFonts w:ascii="Tahoma" w:hAnsi="Tahoma" w:cs="Tahoma"/>
          <w:b/>
          <w:bCs/>
          <w:sz w:val="24"/>
          <w:szCs w:val="24"/>
        </w:rPr>
      </w:pPr>
    </w:p>
    <w:p w14:paraId="2346C6EF" w14:textId="171737DB" w:rsidR="00157B28" w:rsidRPr="00157B28" w:rsidRDefault="00157B28" w:rsidP="00157B28">
      <w:pPr>
        <w:spacing w:after="0" w:line="276" w:lineRule="auto"/>
        <w:contextualSpacing/>
        <w:jc w:val="center"/>
        <w:rPr>
          <w:rFonts w:ascii="Tahoma" w:hAnsi="Tahoma" w:cs="Tahoma"/>
          <w:b/>
          <w:bCs/>
          <w:sz w:val="24"/>
          <w:szCs w:val="24"/>
        </w:rPr>
      </w:pPr>
      <w:r w:rsidRPr="00157B28">
        <w:rPr>
          <w:rFonts w:ascii="Tahoma" w:hAnsi="Tahoma" w:cs="Tahoma"/>
          <w:b/>
          <w:bCs/>
          <w:sz w:val="24"/>
          <w:szCs w:val="24"/>
        </w:rPr>
        <w:t xml:space="preserve">SUBMISSION TO OFFICE OF HIGH COMMISSIONER ON HUMAN RIGHTS </w:t>
      </w:r>
    </w:p>
    <w:p w14:paraId="1F88016E" w14:textId="77777777" w:rsidR="00157B28" w:rsidRDefault="00157B28" w:rsidP="00157B28">
      <w:pPr>
        <w:spacing w:after="0" w:line="276" w:lineRule="auto"/>
        <w:contextualSpacing/>
        <w:jc w:val="center"/>
        <w:rPr>
          <w:rFonts w:ascii="Tahoma" w:hAnsi="Tahoma" w:cs="Tahoma"/>
          <w:b/>
          <w:bCs/>
          <w:sz w:val="24"/>
          <w:szCs w:val="24"/>
        </w:rPr>
      </w:pPr>
    </w:p>
    <w:p w14:paraId="294E15E7" w14:textId="77777777" w:rsidR="00157B28" w:rsidRPr="00157B28" w:rsidRDefault="00157B28" w:rsidP="00157B28">
      <w:pPr>
        <w:spacing w:after="0" w:line="276" w:lineRule="auto"/>
        <w:contextualSpacing/>
        <w:jc w:val="center"/>
        <w:rPr>
          <w:rFonts w:ascii="Tahoma" w:hAnsi="Tahoma" w:cs="Tahoma"/>
          <w:b/>
          <w:bCs/>
          <w:sz w:val="24"/>
          <w:szCs w:val="24"/>
        </w:rPr>
      </w:pPr>
    </w:p>
    <w:p w14:paraId="34346AFB" w14:textId="77777777" w:rsidR="00157B28" w:rsidRPr="00157B28" w:rsidRDefault="00157B28" w:rsidP="00157B28">
      <w:pPr>
        <w:spacing w:after="0" w:line="276" w:lineRule="auto"/>
        <w:contextualSpacing/>
        <w:jc w:val="center"/>
        <w:rPr>
          <w:rFonts w:ascii="Tahoma" w:hAnsi="Tahoma" w:cs="Tahoma"/>
          <w:b/>
          <w:bCs/>
          <w:sz w:val="24"/>
          <w:szCs w:val="24"/>
        </w:rPr>
      </w:pPr>
    </w:p>
    <w:p w14:paraId="35C757F8" w14:textId="77777777" w:rsidR="00157B28" w:rsidRPr="00157B28" w:rsidRDefault="00157B28" w:rsidP="00157B28">
      <w:pPr>
        <w:spacing w:after="0" w:line="276" w:lineRule="auto"/>
        <w:contextualSpacing/>
        <w:jc w:val="center"/>
        <w:rPr>
          <w:rFonts w:ascii="Tahoma" w:hAnsi="Tahoma" w:cs="Tahoma"/>
          <w:b/>
          <w:bCs/>
          <w:sz w:val="24"/>
          <w:szCs w:val="24"/>
        </w:rPr>
      </w:pPr>
    </w:p>
    <w:p w14:paraId="35895423" w14:textId="77777777" w:rsidR="00157B28" w:rsidRPr="00157B28" w:rsidRDefault="00157B28" w:rsidP="00157B28">
      <w:pPr>
        <w:spacing w:after="0" w:line="276" w:lineRule="auto"/>
        <w:contextualSpacing/>
        <w:jc w:val="center"/>
        <w:rPr>
          <w:rFonts w:ascii="Tahoma" w:hAnsi="Tahoma" w:cs="Tahoma"/>
          <w:b/>
          <w:bCs/>
          <w:sz w:val="24"/>
          <w:szCs w:val="24"/>
        </w:rPr>
      </w:pPr>
    </w:p>
    <w:p w14:paraId="63BFB065" w14:textId="3B869831" w:rsidR="00FE6D3A" w:rsidRPr="00157B28" w:rsidRDefault="00157B28" w:rsidP="00157B28">
      <w:pPr>
        <w:spacing w:after="0" w:line="276" w:lineRule="auto"/>
        <w:contextualSpacing/>
        <w:jc w:val="center"/>
        <w:rPr>
          <w:rFonts w:ascii="Tahoma" w:hAnsi="Tahoma" w:cs="Tahoma"/>
          <w:b/>
          <w:bCs/>
          <w:sz w:val="24"/>
          <w:szCs w:val="24"/>
        </w:rPr>
      </w:pPr>
      <w:r w:rsidRPr="00157B28">
        <w:rPr>
          <w:rFonts w:ascii="Tahoma" w:hAnsi="Tahoma" w:cs="Tahoma"/>
          <w:b/>
          <w:bCs/>
          <w:sz w:val="24"/>
          <w:szCs w:val="24"/>
        </w:rPr>
        <w:t>BEST PRACTICES ON UNIVERSAL PERIODIC REVIEW IMPLEMENTATION OF ACCEPTED RECOMMENDATIONS (2015–2025)</w:t>
      </w:r>
    </w:p>
    <w:p w14:paraId="4BDF05A2" w14:textId="77777777" w:rsidR="00FE6D3A" w:rsidRPr="00157B28" w:rsidRDefault="00FE6D3A" w:rsidP="00157B28">
      <w:pPr>
        <w:spacing w:after="0" w:line="276" w:lineRule="auto"/>
        <w:contextualSpacing/>
        <w:jc w:val="center"/>
        <w:rPr>
          <w:rFonts w:ascii="Tahoma" w:hAnsi="Tahoma" w:cs="Tahoma"/>
          <w:b/>
          <w:bCs/>
          <w:sz w:val="24"/>
          <w:szCs w:val="24"/>
        </w:rPr>
      </w:pPr>
    </w:p>
    <w:p w14:paraId="6C193D06" w14:textId="77777777" w:rsidR="00FE6D3A" w:rsidRPr="00157B28" w:rsidRDefault="00FE6D3A" w:rsidP="00157B28">
      <w:pPr>
        <w:spacing w:after="0" w:line="276" w:lineRule="auto"/>
        <w:contextualSpacing/>
        <w:jc w:val="center"/>
        <w:rPr>
          <w:rFonts w:ascii="Tahoma" w:hAnsi="Tahoma" w:cs="Tahoma"/>
          <w:sz w:val="24"/>
          <w:szCs w:val="24"/>
        </w:rPr>
      </w:pPr>
    </w:p>
    <w:p w14:paraId="1F470E2F" w14:textId="77777777" w:rsidR="00FE6D3A" w:rsidRPr="00157B28" w:rsidRDefault="00FE6D3A" w:rsidP="00157B28">
      <w:pPr>
        <w:spacing w:after="0" w:line="276" w:lineRule="auto"/>
        <w:contextualSpacing/>
        <w:jc w:val="center"/>
        <w:rPr>
          <w:rFonts w:ascii="Tahoma" w:hAnsi="Tahoma" w:cs="Tahoma"/>
          <w:sz w:val="24"/>
          <w:szCs w:val="24"/>
        </w:rPr>
      </w:pPr>
    </w:p>
    <w:p w14:paraId="75DC7F28" w14:textId="77777777" w:rsidR="00FE6D3A" w:rsidRPr="00157B28" w:rsidRDefault="00FE6D3A" w:rsidP="00157B28">
      <w:pPr>
        <w:spacing w:after="0" w:line="276" w:lineRule="auto"/>
        <w:contextualSpacing/>
        <w:jc w:val="center"/>
        <w:rPr>
          <w:rFonts w:ascii="Tahoma" w:hAnsi="Tahoma" w:cs="Tahoma"/>
          <w:sz w:val="24"/>
          <w:szCs w:val="24"/>
        </w:rPr>
      </w:pPr>
    </w:p>
    <w:p w14:paraId="27072602" w14:textId="77777777" w:rsidR="00FE6D3A" w:rsidRDefault="00FE6D3A" w:rsidP="00157B28">
      <w:pPr>
        <w:spacing w:after="0" w:line="276" w:lineRule="auto"/>
        <w:contextualSpacing/>
        <w:jc w:val="center"/>
        <w:rPr>
          <w:rFonts w:ascii="Tahoma" w:hAnsi="Tahoma" w:cs="Tahoma"/>
          <w:sz w:val="24"/>
          <w:szCs w:val="24"/>
        </w:rPr>
      </w:pPr>
    </w:p>
    <w:p w14:paraId="43E4D30A" w14:textId="77777777" w:rsidR="00157B28" w:rsidRDefault="00157B28" w:rsidP="00157B28">
      <w:pPr>
        <w:spacing w:after="0" w:line="276" w:lineRule="auto"/>
        <w:contextualSpacing/>
        <w:jc w:val="center"/>
        <w:rPr>
          <w:rFonts w:ascii="Tahoma" w:hAnsi="Tahoma" w:cs="Tahoma"/>
          <w:sz w:val="24"/>
          <w:szCs w:val="24"/>
        </w:rPr>
      </w:pPr>
    </w:p>
    <w:p w14:paraId="3BFED380" w14:textId="77777777" w:rsidR="00157B28" w:rsidRPr="00157B28" w:rsidRDefault="00157B28" w:rsidP="00157B28">
      <w:pPr>
        <w:spacing w:after="0" w:line="276" w:lineRule="auto"/>
        <w:contextualSpacing/>
        <w:jc w:val="center"/>
        <w:rPr>
          <w:rFonts w:ascii="Tahoma" w:hAnsi="Tahoma" w:cs="Tahoma"/>
          <w:sz w:val="24"/>
          <w:szCs w:val="24"/>
        </w:rPr>
      </w:pPr>
    </w:p>
    <w:p w14:paraId="5849D399" w14:textId="083A3B69" w:rsidR="00FE6D3A" w:rsidRPr="00157B28" w:rsidRDefault="00157B28" w:rsidP="00157B28">
      <w:pPr>
        <w:spacing w:after="0" w:line="276" w:lineRule="auto"/>
        <w:contextualSpacing/>
        <w:jc w:val="center"/>
        <w:rPr>
          <w:rFonts w:ascii="Tahoma" w:hAnsi="Tahoma" w:cs="Tahoma"/>
          <w:b/>
          <w:bCs/>
          <w:sz w:val="24"/>
          <w:szCs w:val="24"/>
        </w:rPr>
      </w:pPr>
      <w:r w:rsidRPr="00157B28">
        <w:rPr>
          <w:rFonts w:ascii="Tahoma" w:hAnsi="Tahoma" w:cs="Tahoma"/>
          <w:b/>
          <w:bCs/>
          <w:sz w:val="24"/>
          <w:szCs w:val="24"/>
        </w:rPr>
        <w:t>FEBRUARY</w:t>
      </w:r>
      <w:r w:rsidR="00FE6D3A" w:rsidRPr="00157B28">
        <w:rPr>
          <w:rFonts w:ascii="Tahoma" w:hAnsi="Tahoma" w:cs="Tahoma"/>
          <w:b/>
          <w:bCs/>
          <w:sz w:val="24"/>
          <w:szCs w:val="24"/>
        </w:rPr>
        <w:t xml:space="preserve"> 2026</w:t>
      </w:r>
    </w:p>
    <w:p w14:paraId="23476941" w14:textId="77777777" w:rsidR="00FE6D3A" w:rsidRPr="00157B28" w:rsidRDefault="00FE6D3A" w:rsidP="00157B28">
      <w:pPr>
        <w:spacing w:after="0" w:line="276" w:lineRule="auto"/>
        <w:contextualSpacing/>
        <w:rPr>
          <w:rFonts w:ascii="Tahoma" w:hAnsi="Tahoma" w:cs="Tahoma"/>
          <w:sz w:val="24"/>
          <w:szCs w:val="24"/>
        </w:rPr>
      </w:pPr>
    </w:p>
    <w:p w14:paraId="7F57DD15" w14:textId="77777777" w:rsidR="002B193B" w:rsidRPr="00157B28" w:rsidRDefault="002B193B" w:rsidP="00157B28">
      <w:pPr>
        <w:spacing w:after="0" w:line="276" w:lineRule="auto"/>
        <w:contextualSpacing/>
        <w:rPr>
          <w:rFonts w:ascii="Tahoma" w:hAnsi="Tahoma" w:cs="Tahoma"/>
          <w:b/>
          <w:sz w:val="24"/>
          <w:szCs w:val="24"/>
          <w:lang w:val="en-GB"/>
        </w:rPr>
      </w:pPr>
    </w:p>
    <w:p w14:paraId="103B0F52" w14:textId="77777777" w:rsidR="002B193B" w:rsidRPr="00157B28" w:rsidRDefault="002B193B" w:rsidP="00157B28">
      <w:pPr>
        <w:spacing w:after="0" w:line="276" w:lineRule="auto"/>
        <w:contextualSpacing/>
        <w:rPr>
          <w:rFonts w:ascii="Tahoma" w:hAnsi="Tahoma" w:cs="Tahoma"/>
          <w:b/>
          <w:sz w:val="24"/>
          <w:szCs w:val="24"/>
          <w:lang w:val="en-GB"/>
        </w:rPr>
      </w:pPr>
    </w:p>
    <w:p w14:paraId="358BEB73" w14:textId="77777777" w:rsidR="002B193B" w:rsidRPr="00157B28" w:rsidRDefault="002B193B" w:rsidP="00157B28">
      <w:pPr>
        <w:spacing w:after="0" w:line="276" w:lineRule="auto"/>
        <w:contextualSpacing/>
        <w:rPr>
          <w:rFonts w:ascii="Tahoma" w:hAnsi="Tahoma" w:cs="Tahoma"/>
          <w:b/>
          <w:sz w:val="24"/>
          <w:szCs w:val="24"/>
          <w:lang w:val="en-GB"/>
        </w:rPr>
      </w:pPr>
    </w:p>
    <w:p w14:paraId="044925B9" w14:textId="44C786D1" w:rsidR="00FE6D3A" w:rsidRPr="00157B28" w:rsidRDefault="00FE6D3A" w:rsidP="00157B28">
      <w:pPr>
        <w:spacing w:after="0" w:line="276" w:lineRule="auto"/>
        <w:contextualSpacing/>
        <w:jc w:val="center"/>
        <w:rPr>
          <w:rFonts w:ascii="Tahoma" w:hAnsi="Tahoma" w:cs="Tahoma"/>
          <w:b/>
          <w:sz w:val="24"/>
          <w:szCs w:val="24"/>
          <w:lang w:val="en-GB"/>
        </w:rPr>
      </w:pPr>
      <w:r w:rsidRPr="00157B28">
        <w:rPr>
          <w:rFonts w:ascii="Tahoma" w:hAnsi="Tahoma" w:cs="Tahoma"/>
          <w:b/>
          <w:sz w:val="24"/>
          <w:szCs w:val="24"/>
          <w:lang w:val="en-GB"/>
        </w:rPr>
        <w:t>H. B. House, Off Paul Kagame Road, Private Bag 378, Lilongwe 3, Malawi; Tel: 01 750 900; Fax 01 750 943; E-mail info@mhrcmw.org</w:t>
      </w:r>
    </w:p>
    <w:p w14:paraId="18C743FE" w14:textId="36DF906A" w:rsidR="00FE0601" w:rsidRPr="00157B28" w:rsidRDefault="00157B28" w:rsidP="00157B28">
      <w:pPr>
        <w:spacing w:after="0" w:line="276" w:lineRule="auto"/>
        <w:contextualSpacing/>
        <w:jc w:val="center"/>
        <w:rPr>
          <w:rFonts w:ascii="Tahoma" w:hAnsi="Tahoma" w:cs="Tahoma"/>
          <w:iCs/>
          <w:sz w:val="24"/>
          <w:szCs w:val="24"/>
        </w:rPr>
      </w:pPr>
      <w:r w:rsidRPr="00157B28">
        <w:rPr>
          <w:rFonts w:ascii="Tahoma" w:hAnsi="Tahoma" w:cs="Tahoma"/>
          <w:b/>
          <w:iCs/>
          <w:sz w:val="24"/>
          <w:szCs w:val="24"/>
        </w:rPr>
        <w:t>www</w:t>
      </w:r>
      <w:r w:rsidR="00FE6D3A" w:rsidRPr="00157B28">
        <w:rPr>
          <w:rFonts w:ascii="Tahoma" w:hAnsi="Tahoma" w:cs="Tahoma"/>
          <w:b/>
          <w:iCs/>
          <w:sz w:val="24"/>
          <w:szCs w:val="24"/>
        </w:rPr>
        <w:t xml:space="preserve">: </w:t>
      </w:r>
      <w:r w:rsidRPr="00157B28">
        <w:rPr>
          <w:rFonts w:ascii="Tahoma" w:hAnsi="Tahoma" w:cs="Tahoma"/>
          <w:b/>
          <w:iCs/>
          <w:sz w:val="24"/>
          <w:szCs w:val="24"/>
        </w:rPr>
        <w:t>mhrcmw.org</w:t>
      </w:r>
    </w:p>
    <w:p w14:paraId="5AEF8C48" w14:textId="77777777" w:rsidR="002B193B" w:rsidRPr="00157B28" w:rsidRDefault="002B193B" w:rsidP="00157B28">
      <w:pPr>
        <w:spacing w:after="0" w:line="276" w:lineRule="auto"/>
        <w:contextualSpacing/>
        <w:rPr>
          <w:rFonts w:ascii="Tahoma" w:hAnsi="Tahoma" w:cs="Tahoma"/>
          <w:sz w:val="24"/>
          <w:szCs w:val="24"/>
        </w:rPr>
      </w:pPr>
    </w:p>
    <w:p w14:paraId="1A9734B9" w14:textId="2DB6FDD0"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lastRenderedPageBreak/>
        <w:t>Preamble</w:t>
      </w:r>
    </w:p>
    <w:p w14:paraId="11828FF1" w14:textId="2BE79383"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The Malawi Human Rights Commission (MHRC) is a National Human Rights Institution (NHRI) established under Section 129 of the Constitution of the Republic of Malawi to promote and protect human rights in Malawi.</w:t>
      </w:r>
      <w:r>
        <w:rPr>
          <w:rFonts w:ascii="Tahoma" w:eastAsia="Times New Roman" w:hAnsi="Tahoma" w:cs="Tahoma"/>
          <w:sz w:val="24"/>
          <w:szCs w:val="24"/>
        </w:rPr>
        <w:t xml:space="preserve"> </w:t>
      </w:r>
      <w:r w:rsidRPr="00464CD3">
        <w:rPr>
          <w:rFonts w:ascii="Tahoma" w:eastAsia="Times New Roman" w:hAnsi="Tahoma" w:cs="Tahoma"/>
          <w:sz w:val="24"/>
          <w:szCs w:val="24"/>
        </w:rPr>
        <w:t>This submission outlines best practices in the implementation of accepted Universal Periodic Review (UPR) recommendations across the second (2015), third (2020), and fourth (2025) review cycles. The MHRC has:</w:t>
      </w:r>
    </w:p>
    <w:p w14:paraId="4CF659D0" w14:textId="77777777" w:rsidR="00464CD3" w:rsidRDefault="00464CD3" w:rsidP="00464CD3">
      <w:pPr>
        <w:pStyle w:val="ListParagraph"/>
        <w:numPr>
          <w:ilvl w:val="0"/>
          <w:numId w:val="26"/>
        </w:numPr>
        <w:spacing w:after="0" w:line="276" w:lineRule="auto"/>
        <w:ind w:left="284" w:hanging="218"/>
        <w:jc w:val="both"/>
        <w:rPr>
          <w:rFonts w:ascii="Tahoma" w:eastAsia="Times New Roman" w:hAnsi="Tahoma" w:cs="Tahoma"/>
          <w:sz w:val="24"/>
          <w:szCs w:val="24"/>
        </w:rPr>
      </w:pPr>
      <w:r w:rsidRPr="00464CD3">
        <w:rPr>
          <w:rFonts w:ascii="Tahoma" w:eastAsia="Times New Roman" w:hAnsi="Tahoma" w:cs="Tahoma"/>
          <w:sz w:val="24"/>
          <w:szCs w:val="24"/>
        </w:rPr>
        <w:t>Participated in all UPR cycles through alternative reporting and oral statements.</w:t>
      </w:r>
    </w:p>
    <w:p w14:paraId="099E11B9" w14:textId="77777777" w:rsidR="00464CD3" w:rsidRDefault="00464CD3" w:rsidP="00464CD3">
      <w:pPr>
        <w:pStyle w:val="ListParagraph"/>
        <w:numPr>
          <w:ilvl w:val="0"/>
          <w:numId w:val="26"/>
        </w:numPr>
        <w:spacing w:after="0" w:line="276" w:lineRule="auto"/>
        <w:ind w:left="284" w:hanging="218"/>
        <w:jc w:val="both"/>
        <w:rPr>
          <w:rFonts w:ascii="Tahoma" w:eastAsia="Times New Roman" w:hAnsi="Tahoma" w:cs="Tahoma"/>
          <w:sz w:val="24"/>
          <w:szCs w:val="24"/>
        </w:rPr>
      </w:pPr>
      <w:r w:rsidRPr="00464CD3">
        <w:rPr>
          <w:rFonts w:ascii="Tahoma" w:eastAsia="Times New Roman" w:hAnsi="Tahoma" w:cs="Tahoma"/>
          <w:sz w:val="24"/>
          <w:szCs w:val="24"/>
        </w:rPr>
        <w:t>Served on the National Mechanism for Implementation, Reporting and Follow-Up (NMIRF), led by the Ministry of Justice.</w:t>
      </w:r>
    </w:p>
    <w:p w14:paraId="342C377C" w14:textId="77777777" w:rsidR="00464CD3" w:rsidRDefault="00464CD3" w:rsidP="00464CD3">
      <w:pPr>
        <w:pStyle w:val="ListParagraph"/>
        <w:numPr>
          <w:ilvl w:val="0"/>
          <w:numId w:val="26"/>
        </w:numPr>
        <w:spacing w:after="0" w:line="276" w:lineRule="auto"/>
        <w:ind w:left="284" w:hanging="218"/>
        <w:jc w:val="both"/>
        <w:rPr>
          <w:rFonts w:ascii="Tahoma" w:eastAsia="Times New Roman" w:hAnsi="Tahoma" w:cs="Tahoma"/>
          <w:sz w:val="24"/>
          <w:szCs w:val="24"/>
        </w:rPr>
      </w:pPr>
      <w:r w:rsidRPr="00464CD3">
        <w:rPr>
          <w:rFonts w:ascii="Tahoma" w:eastAsia="Times New Roman" w:hAnsi="Tahoma" w:cs="Tahoma"/>
          <w:sz w:val="24"/>
          <w:szCs w:val="24"/>
        </w:rPr>
        <w:t>Conducted monitoring missions, public inquiries, investigations, and capacity-building interventions.</w:t>
      </w:r>
    </w:p>
    <w:p w14:paraId="77853A90" w14:textId="48FD3021" w:rsidR="00464CD3" w:rsidRPr="00464CD3" w:rsidRDefault="00464CD3" w:rsidP="00464CD3">
      <w:pPr>
        <w:pStyle w:val="ListParagraph"/>
        <w:numPr>
          <w:ilvl w:val="0"/>
          <w:numId w:val="26"/>
        </w:numPr>
        <w:spacing w:after="0" w:line="276" w:lineRule="auto"/>
        <w:ind w:left="284" w:hanging="218"/>
        <w:jc w:val="both"/>
        <w:rPr>
          <w:rFonts w:ascii="Tahoma" w:eastAsia="Times New Roman" w:hAnsi="Tahoma" w:cs="Tahoma"/>
          <w:sz w:val="24"/>
          <w:szCs w:val="24"/>
        </w:rPr>
      </w:pPr>
      <w:r w:rsidRPr="00464CD3">
        <w:rPr>
          <w:rFonts w:ascii="Tahoma" w:eastAsia="Times New Roman" w:hAnsi="Tahoma" w:cs="Tahoma"/>
          <w:sz w:val="24"/>
          <w:szCs w:val="24"/>
        </w:rPr>
        <w:t>Strengthened cooperation with Government, Parliament, civil society organisations, and development partners.</w:t>
      </w:r>
    </w:p>
    <w:p w14:paraId="4D24A1B8"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p>
    <w:p w14:paraId="115CEFFB"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Implementation of UPR Recommendations</w:t>
      </w:r>
    </w:p>
    <w:p w14:paraId="03F9F919"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Continuous capacity-building for NHRIs through structured training and workshops on required procedures and expected roles at each stage of the UPR process would enhance the effectiveness of NHRI participation and strengthen understanding of their mandate.</w:t>
      </w:r>
    </w:p>
    <w:p w14:paraId="27D5D50D" w14:textId="77777777" w:rsidR="00464CD3" w:rsidRPr="00464CD3" w:rsidRDefault="00464CD3" w:rsidP="00464CD3">
      <w:pPr>
        <w:spacing w:after="0" w:line="276" w:lineRule="auto"/>
        <w:contextualSpacing/>
        <w:jc w:val="both"/>
        <w:rPr>
          <w:rFonts w:ascii="Tahoma" w:eastAsia="Times New Roman" w:hAnsi="Tahoma" w:cs="Tahoma"/>
          <w:sz w:val="24"/>
          <w:szCs w:val="24"/>
        </w:rPr>
      </w:pPr>
    </w:p>
    <w:p w14:paraId="515B2A90"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Access to information remains a challenge despite the presence of desk officers in Government institutions. There should therefore be clear and deliberate recommendations requiring Government agencies to facilitate timely access to information for NHRIs.</w:t>
      </w:r>
    </w:p>
    <w:p w14:paraId="317CC429" w14:textId="77777777" w:rsidR="00464CD3" w:rsidRPr="00464CD3" w:rsidRDefault="00464CD3" w:rsidP="00464CD3">
      <w:pPr>
        <w:spacing w:after="0" w:line="276" w:lineRule="auto"/>
        <w:contextualSpacing/>
        <w:jc w:val="both"/>
        <w:rPr>
          <w:rFonts w:ascii="Tahoma" w:eastAsia="Times New Roman" w:hAnsi="Tahoma" w:cs="Tahoma"/>
          <w:sz w:val="24"/>
          <w:szCs w:val="24"/>
        </w:rPr>
      </w:pPr>
    </w:p>
    <w:p w14:paraId="1A7E1750"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Furthermore, a detailed participation framework for NHRIs—rather than last-minute inclusion in Government reporting processes—would strengthen NHRI independence, improve objectivity in reporting, and enhance the credibility of statements made during UPR processes.</w:t>
      </w:r>
    </w:p>
    <w:p w14:paraId="7251174D"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p>
    <w:p w14:paraId="2BF7CA81"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Advocacy and Awareness Raising at All Stages</w:t>
      </w:r>
    </w:p>
    <w:p w14:paraId="63545500"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The publication and dissemination of UPR recommendations by NHRIs promotes accountability among duty bearers and empowers rights holders to demand implementation. Awareness of UPR processes remains limited, even within some Government institutions.</w:t>
      </w:r>
    </w:p>
    <w:p w14:paraId="354DBF30" w14:textId="77777777" w:rsidR="00464CD3" w:rsidRPr="00464CD3" w:rsidRDefault="00464CD3" w:rsidP="00464CD3">
      <w:pPr>
        <w:spacing w:after="0" w:line="276" w:lineRule="auto"/>
        <w:contextualSpacing/>
        <w:jc w:val="both"/>
        <w:rPr>
          <w:rFonts w:ascii="Tahoma" w:eastAsia="Times New Roman" w:hAnsi="Tahoma" w:cs="Tahoma"/>
          <w:sz w:val="24"/>
          <w:szCs w:val="24"/>
        </w:rPr>
      </w:pPr>
    </w:p>
    <w:p w14:paraId="02AC5448"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Accordingly, NHRIs should play a leading role in public awareness-raising, ensuring clarity of mandates and supporting Government institutions to remain focused on implementation.</w:t>
      </w:r>
    </w:p>
    <w:p w14:paraId="2829F858"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p>
    <w:p w14:paraId="59C73BA1" w14:textId="1F594D31"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lastRenderedPageBreak/>
        <w:t>Role in Government-Led Consultations Prior to Reviews</w:t>
      </w:r>
    </w:p>
    <w:p w14:paraId="4B4772EB"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Clear recommendations directed specifically to NHRIs would improve collaboration with State actors and facilitate implementation. The MHRC serves on the National Steering Committee for UPR reporting, chaired by the Ministry of Justice, which enhances coordination and information-sharing.</w:t>
      </w:r>
    </w:p>
    <w:p w14:paraId="0F107CA3"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p>
    <w:p w14:paraId="7F400431" w14:textId="3FF30CAB"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Participation in Adoption of Reports</w:t>
      </w:r>
    </w:p>
    <w:p w14:paraId="55EDC782"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As a member of the National Steering Committee, the MHRC participates in drafting, validation, and adoption of Malawi’s national UPR report. This process should be further strengthened to ensure meaningful participation at all levels.</w:t>
      </w:r>
    </w:p>
    <w:p w14:paraId="1E0B9BDF"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p>
    <w:p w14:paraId="3E678517"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Examples of Best Practices by the MHRC</w:t>
      </w:r>
    </w:p>
    <w:p w14:paraId="02C61895" w14:textId="6A39DAFA"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1. Complaints Handling and Investigations</w:t>
      </w:r>
    </w:p>
    <w:p w14:paraId="04A9B6EB"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The MHRC has investigated over 500 cases and published reports on notable matters. For example, the Commission investigated allegations that women in Msundwe and M’bwatalika, Lilongwe, were raped by police officers during a 2020 security operation. The victims were assisted to access legal representation and were subsequently compensated by Government.</w:t>
      </w:r>
    </w:p>
    <w:p w14:paraId="7DDAFDFB"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p>
    <w:p w14:paraId="40CDD68B" w14:textId="4892A760"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2. Public Inquiries</w:t>
      </w:r>
    </w:p>
    <w:p w14:paraId="33AC5D6D"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The MHRC has conducted public inquiries on economic, social and cultural rights; child rights; access to justice; and allegations of “sex-for-fish” practices in Nkhotakota. These inquiries reached over five million people and contributed significantly to the promotion and protection of human rights.</w:t>
      </w:r>
    </w:p>
    <w:p w14:paraId="7688EAA6" w14:textId="77777777" w:rsidR="00464CD3" w:rsidRPr="00464CD3" w:rsidRDefault="00464CD3" w:rsidP="00464CD3">
      <w:pPr>
        <w:spacing w:after="0" w:line="276" w:lineRule="auto"/>
        <w:contextualSpacing/>
        <w:jc w:val="both"/>
        <w:rPr>
          <w:rFonts w:ascii="Tahoma" w:eastAsia="Times New Roman" w:hAnsi="Tahoma" w:cs="Tahoma"/>
          <w:sz w:val="24"/>
          <w:szCs w:val="24"/>
        </w:rPr>
      </w:pPr>
    </w:p>
    <w:p w14:paraId="4FBE3114" w14:textId="3D2BDFB2"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3. Monitoring Missions</w:t>
      </w:r>
    </w:p>
    <w:p w14:paraId="4E6DB04B"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Under its mandate to access places of detention without impediment, the MHRC conducts annual monitoring of prisons and other detention facilities. These missions have helped improve conditions for over 2,500 detainees. The Commission also conducts election and disaster-response monitoring missions.</w:t>
      </w:r>
    </w:p>
    <w:p w14:paraId="611119E4" w14:textId="77777777" w:rsidR="00464CD3" w:rsidRPr="00464CD3" w:rsidRDefault="00464CD3" w:rsidP="00464CD3">
      <w:pPr>
        <w:spacing w:after="0" w:line="276" w:lineRule="auto"/>
        <w:contextualSpacing/>
        <w:jc w:val="both"/>
        <w:rPr>
          <w:rFonts w:ascii="Tahoma" w:eastAsia="Times New Roman" w:hAnsi="Tahoma" w:cs="Tahoma"/>
          <w:sz w:val="24"/>
          <w:szCs w:val="24"/>
        </w:rPr>
      </w:pPr>
    </w:p>
    <w:p w14:paraId="74E22DB3" w14:textId="0FF46442"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4. Community Engagement and Sensitization</w:t>
      </w:r>
    </w:p>
    <w:p w14:paraId="240031ED"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The MHRC conducts annual awareness campaigns, including participation in the 16 Days of Activism Against Gender-Based Violence. In 2025 alone, the Commission reached over 5,000 people through campaigns addressing gender-based violence.</w:t>
      </w:r>
    </w:p>
    <w:p w14:paraId="36881B5A" w14:textId="77777777" w:rsidR="00464CD3" w:rsidRPr="00464CD3" w:rsidRDefault="00464CD3" w:rsidP="00464CD3">
      <w:pPr>
        <w:spacing w:after="0" w:line="276" w:lineRule="auto"/>
        <w:contextualSpacing/>
        <w:jc w:val="both"/>
        <w:rPr>
          <w:rFonts w:ascii="Tahoma" w:eastAsia="Times New Roman" w:hAnsi="Tahoma" w:cs="Tahoma"/>
          <w:sz w:val="24"/>
          <w:szCs w:val="24"/>
        </w:rPr>
      </w:pPr>
    </w:p>
    <w:p w14:paraId="1E8E25C3"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 xml:space="preserve">In addition, under its mandate in the Access to Information Act 2017, the MHRC has conducted awareness programmes in more than 15 district councils, engaged over 60 </w:t>
      </w:r>
      <w:r w:rsidRPr="00464CD3">
        <w:rPr>
          <w:rFonts w:ascii="Tahoma" w:eastAsia="Times New Roman" w:hAnsi="Tahoma" w:cs="Tahoma"/>
          <w:sz w:val="24"/>
          <w:szCs w:val="24"/>
        </w:rPr>
        <w:lastRenderedPageBreak/>
        <w:t>institutions, and organised multi-stakeholder commemorations of the International Day for Universal Access to Information over the past three years.</w:t>
      </w:r>
    </w:p>
    <w:p w14:paraId="4E4B6A0E" w14:textId="77777777" w:rsidR="00464CD3" w:rsidRPr="00464CD3" w:rsidRDefault="00464CD3" w:rsidP="00464CD3">
      <w:pPr>
        <w:spacing w:after="0" w:line="276" w:lineRule="auto"/>
        <w:contextualSpacing/>
        <w:jc w:val="both"/>
        <w:rPr>
          <w:rFonts w:ascii="Tahoma" w:eastAsia="Times New Roman" w:hAnsi="Tahoma" w:cs="Tahoma"/>
          <w:sz w:val="24"/>
          <w:szCs w:val="24"/>
        </w:rPr>
      </w:pPr>
    </w:p>
    <w:p w14:paraId="6216EFE2" w14:textId="247A5442"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5. Legislative and Policy Advocacy</w:t>
      </w:r>
    </w:p>
    <w:p w14:paraId="24FD98A8"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The MHRC engages with the Ministry of Justice and Parliament to advocate for the amendment or repeal of laws inconsistent with human rights standards. For instance, a new Prison Act was enacted in 2025 following sustained advocacy and consultations involving the MHRC and other stakeholders.</w:t>
      </w:r>
    </w:p>
    <w:p w14:paraId="2FD6198F" w14:textId="77777777" w:rsidR="00464CD3" w:rsidRPr="00464CD3" w:rsidRDefault="00464CD3" w:rsidP="00464CD3">
      <w:pPr>
        <w:spacing w:after="0" w:line="276" w:lineRule="auto"/>
        <w:contextualSpacing/>
        <w:jc w:val="both"/>
        <w:rPr>
          <w:rFonts w:ascii="Tahoma" w:eastAsia="Times New Roman" w:hAnsi="Tahoma" w:cs="Tahoma"/>
          <w:sz w:val="24"/>
          <w:szCs w:val="24"/>
        </w:rPr>
      </w:pPr>
    </w:p>
    <w:p w14:paraId="4FDD8F6A" w14:textId="03FF347B"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6. Strategic Litigation and Mediation</w:t>
      </w:r>
    </w:p>
    <w:p w14:paraId="01D3A8FB"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The MHRC participated in strategic litigation involving the sexual and reproductive health rights of abused minors, including a landmark case involving a minor who sued the Ministry of Health, Chileka One-Stop Centre, the Attorney General, and the MHRC. The case set important precedents regarding access to reproductive health services for abused minors.</w:t>
      </w:r>
    </w:p>
    <w:p w14:paraId="300665FF" w14:textId="77777777" w:rsidR="00464CD3" w:rsidRPr="00464CD3" w:rsidRDefault="00464CD3" w:rsidP="00464CD3">
      <w:pPr>
        <w:spacing w:after="0" w:line="276" w:lineRule="auto"/>
        <w:contextualSpacing/>
        <w:jc w:val="both"/>
        <w:rPr>
          <w:rFonts w:ascii="Tahoma" w:eastAsia="Times New Roman" w:hAnsi="Tahoma" w:cs="Tahoma"/>
          <w:sz w:val="24"/>
          <w:szCs w:val="24"/>
        </w:rPr>
      </w:pPr>
    </w:p>
    <w:p w14:paraId="5A51A61B" w14:textId="708D179D"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Cooperation Mechanisms</w:t>
      </w:r>
    </w:p>
    <w:p w14:paraId="7F15773F" w14:textId="6FCFE66E"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b/>
          <w:bCs/>
          <w:sz w:val="24"/>
          <w:szCs w:val="24"/>
        </w:rPr>
        <w:t xml:space="preserve">Membership in the NMIRF: </w:t>
      </w:r>
      <w:r w:rsidRPr="00464CD3">
        <w:rPr>
          <w:rFonts w:ascii="Tahoma" w:eastAsia="Times New Roman" w:hAnsi="Tahoma" w:cs="Tahoma"/>
          <w:sz w:val="24"/>
          <w:szCs w:val="24"/>
        </w:rPr>
        <w:t>The MHRC participates in preparing the National UPR Report under the leadership of the Ministry of Justice.</w:t>
      </w:r>
    </w:p>
    <w:p w14:paraId="2FAD2BCC" w14:textId="15C808AB"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b/>
          <w:bCs/>
          <w:sz w:val="24"/>
          <w:szCs w:val="24"/>
        </w:rPr>
        <w:t xml:space="preserve">Engagement with Parliament and Executive Agencies: </w:t>
      </w:r>
      <w:r w:rsidRPr="00464CD3">
        <w:rPr>
          <w:rFonts w:ascii="Tahoma" w:eastAsia="Times New Roman" w:hAnsi="Tahoma" w:cs="Tahoma"/>
          <w:sz w:val="24"/>
          <w:szCs w:val="24"/>
        </w:rPr>
        <w:t>The MHRC submits annual human rights reports to Parliament and appears before parliamentary committees on thematic issues.</w:t>
      </w:r>
    </w:p>
    <w:p w14:paraId="4735ED78" w14:textId="6BD451CD"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b/>
          <w:bCs/>
          <w:sz w:val="24"/>
          <w:szCs w:val="24"/>
        </w:rPr>
        <w:t xml:space="preserve">Partnerships with Civil Society: </w:t>
      </w:r>
      <w:r w:rsidRPr="00464CD3">
        <w:rPr>
          <w:rFonts w:ascii="Tahoma" w:eastAsia="Times New Roman" w:hAnsi="Tahoma" w:cs="Tahoma"/>
          <w:sz w:val="24"/>
          <w:szCs w:val="24"/>
        </w:rPr>
        <w:t>The MHRC collaborates with organizations such as Centre for Human Rights and Rehabilitation, Centre for the Development of People, Youth and Society, and Malawi Network of Older Persons’ Organizations during preparation of alternative UPR reports.</w:t>
      </w:r>
    </w:p>
    <w:p w14:paraId="7AE3E9C9"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b/>
          <w:bCs/>
          <w:sz w:val="24"/>
          <w:szCs w:val="24"/>
        </w:rPr>
        <w:t xml:space="preserve">Collaboration with Development Partners: </w:t>
      </w:r>
      <w:r w:rsidRPr="00464CD3">
        <w:rPr>
          <w:rFonts w:ascii="Tahoma" w:eastAsia="Times New Roman" w:hAnsi="Tahoma" w:cs="Tahoma"/>
          <w:sz w:val="24"/>
          <w:szCs w:val="24"/>
        </w:rPr>
        <w:t>The Commission works closely with partners including UNDP, UN Women, USAID, and diplomatic missions.</w:t>
      </w:r>
    </w:p>
    <w:p w14:paraId="148CB204"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p>
    <w:p w14:paraId="74960FCD"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This multi-stakeholder approach promotes accountability and sustained follow-up on UPR recommendations.</w:t>
      </w:r>
    </w:p>
    <w:p w14:paraId="3BE92F32" w14:textId="77777777" w:rsidR="00464CD3" w:rsidRPr="00464CD3" w:rsidRDefault="00464CD3" w:rsidP="00464CD3">
      <w:pPr>
        <w:spacing w:after="0" w:line="276" w:lineRule="auto"/>
        <w:contextualSpacing/>
        <w:jc w:val="both"/>
        <w:rPr>
          <w:rFonts w:ascii="Tahoma" w:eastAsia="Times New Roman" w:hAnsi="Tahoma" w:cs="Tahoma"/>
          <w:sz w:val="24"/>
          <w:szCs w:val="24"/>
        </w:rPr>
      </w:pPr>
    </w:p>
    <w:p w14:paraId="7BC47796" w14:textId="77777777" w:rsidR="00464CD3" w:rsidRPr="00464CD3" w:rsidRDefault="00464CD3" w:rsidP="00464CD3">
      <w:pPr>
        <w:spacing w:after="0" w:line="276" w:lineRule="auto"/>
        <w:contextualSpacing/>
        <w:jc w:val="both"/>
        <w:rPr>
          <w:rFonts w:ascii="Tahoma" w:eastAsia="Times New Roman" w:hAnsi="Tahoma" w:cs="Tahoma"/>
          <w:sz w:val="24"/>
          <w:szCs w:val="24"/>
        </w:rPr>
      </w:pPr>
      <w:r w:rsidRPr="00464CD3">
        <w:rPr>
          <w:rFonts w:ascii="Tahoma" w:eastAsia="Times New Roman" w:hAnsi="Tahoma" w:cs="Tahoma"/>
          <w:sz w:val="24"/>
          <w:szCs w:val="24"/>
        </w:rPr>
        <w:t>Submitted by</w:t>
      </w:r>
    </w:p>
    <w:p w14:paraId="3B2CC14F"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p>
    <w:p w14:paraId="3F00CB71"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Winston Mwafulirwa</w:t>
      </w:r>
    </w:p>
    <w:p w14:paraId="1C897C6E" w14:textId="77777777" w:rsidR="00464CD3" w:rsidRPr="00464CD3" w:rsidRDefault="00464CD3" w:rsidP="00464CD3">
      <w:pPr>
        <w:spacing w:after="0" w:line="276" w:lineRule="auto"/>
        <w:contextualSpacing/>
        <w:jc w:val="both"/>
        <w:rPr>
          <w:rFonts w:ascii="Tahoma" w:eastAsia="Times New Roman" w:hAnsi="Tahoma" w:cs="Tahoma"/>
          <w:b/>
          <w:bCs/>
          <w:sz w:val="24"/>
          <w:szCs w:val="24"/>
        </w:rPr>
      </w:pPr>
      <w:r w:rsidRPr="00464CD3">
        <w:rPr>
          <w:rFonts w:ascii="Tahoma" w:eastAsia="Times New Roman" w:hAnsi="Tahoma" w:cs="Tahoma"/>
          <w:b/>
          <w:bCs/>
          <w:sz w:val="24"/>
          <w:szCs w:val="24"/>
        </w:rPr>
        <w:t>Deputy Executive Secretary</w:t>
      </w:r>
    </w:p>
    <w:p w14:paraId="3F1325A1" w14:textId="61773B49" w:rsidR="00A90470" w:rsidRPr="0028031B" w:rsidRDefault="00464CD3" w:rsidP="00464CD3">
      <w:pPr>
        <w:spacing w:after="0" w:line="276" w:lineRule="auto"/>
        <w:contextualSpacing/>
        <w:jc w:val="both"/>
        <w:rPr>
          <w:rFonts w:ascii="Tahoma" w:hAnsi="Tahoma" w:cs="Tahoma"/>
          <w:b/>
          <w:bCs/>
          <w:sz w:val="24"/>
          <w:szCs w:val="24"/>
        </w:rPr>
      </w:pPr>
      <w:r w:rsidRPr="00464CD3">
        <w:rPr>
          <w:rFonts w:ascii="Tahoma" w:eastAsia="Times New Roman" w:hAnsi="Tahoma" w:cs="Tahoma"/>
          <w:b/>
          <w:bCs/>
          <w:sz w:val="24"/>
          <w:szCs w:val="24"/>
        </w:rPr>
        <w:t>Malawi Human Rights Commission</w:t>
      </w:r>
    </w:p>
    <w:sectPr w:rsidR="00A90470" w:rsidRPr="0028031B" w:rsidSect="00157B28">
      <w:footerReference w:type="default" r:id="rId9"/>
      <w:pgSz w:w="12240" w:h="15840"/>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3B7EB" w14:textId="77777777" w:rsidR="009116DB" w:rsidRDefault="009116DB" w:rsidP="00A743CA">
      <w:pPr>
        <w:spacing w:after="0" w:line="240" w:lineRule="auto"/>
      </w:pPr>
      <w:r>
        <w:separator/>
      </w:r>
    </w:p>
  </w:endnote>
  <w:endnote w:type="continuationSeparator" w:id="0">
    <w:p w14:paraId="747684F9" w14:textId="77777777" w:rsidR="009116DB" w:rsidRDefault="009116DB" w:rsidP="00A74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1051"/>
      <w:docPartObj>
        <w:docPartGallery w:val="Page Numbers (Bottom of Page)"/>
        <w:docPartUnique/>
      </w:docPartObj>
    </w:sdtPr>
    <w:sdtEndPr>
      <w:rPr>
        <w:noProof/>
      </w:rPr>
    </w:sdtEndPr>
    <w:sdtContent>
      <w:p w14:paraId="0DC9DA00" w14:textId="1B10644D" w:rsidR="00A743CA" w:rsidRDefault="00A743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2EECEE" w14:textId="77777777" w:rsidR="00A743CA" w:rsidRDefault="00A74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4D36B" w14:textId="77777777" w:rsidR="009116DB" w:rsidRDefault="009116DB" w:rsidP="00A743CA">
      <w:pPr>
        <w:spacing w:after="0" w:line="240" w:lineRule="auto"/>
      </w:pPr>
      <w:r>
        <w:separator/>
      </w:r>
    </w:p>
  </w:footnote>
  <w:footnote w:type="continuationSeparator" w:id="0">
    <w:p w14:paraId="4A37C0A1" w14:textId="77777777" w:rsidR="009116DB" w:rsidRDefault="009116DB" w:rsidP="00A743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779D"/>
    <w:multiLevelType w:val="multilevel"/>
    <w:tmpl w:val="3628E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967DD"/>
    <w:multiLevelType w:val="multilevel"/>
    <w:tmpl w:val="B4D02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2118F"/>
    <w:multiLevelType w:val="multilevel"/>
    <w:tmpl w:val="BFF0F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5A2F62"/>
    <w:multiLevelType w:val="multilevel"/>
    <w:tmpl w:val="EE16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7009B2"/>
    <w:multiLevelType w:val="multilevel"/>
    <w:tmpl w:val="2FC88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3D2994"/>
    <w:multiLevelType w:val="hybridMultilevel"/>
    <w:tmpl w:val="C37C11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6C0501"/>
    <w:multiLevelType w:val="multilevel"/>
    <w:tmpl w:val="393E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D7300"/>
    <w:multiLevelType w:val="multilevel"/>
    <w:tmpl w:val="4326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2308C9"/>
    <w:multiLevelType w:val="multilevel"/>
    <w:tmpl w:val="5A24A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76535"/>
    <w:multiLevelType w:val="hybridMultilevel"/>
    <w:tmpl w:val="C6B8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B35FF9"/>
    <w:multiLevelType w:val="multilevel"/>
    <w:tmpl w:val="4740C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65FAE"/>
    <w:multiLevelType w:val="multilevel"/>
    <w:tmpl w:val="B2E8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3C435C"/>
    <w:multiLevelType w:val="multilevel"/>
    <w:tmpl w:val="D75E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17412A"/>
    <w:multiLevelType w:val="hybridMultilevel"/>
    <w:tmpl w:val="3F4EE510"/>
    <w:lvl w:ilvl="0" w:tplc="360CF134">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4697B11"/>
    <w:multiLevelType w:val="multilevel"/>
    <w:tmpl w:val="0000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8B2C40"/>
    <w:multiLevelType w:val="hybridMultilevel"/>
    <w:tmpl w:val="C37C11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A7C0AD8"/>
    <w:multiLevelType w:val="hybridMultilevel"/>
    <w:tmpl w:val="5FA4B3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4E607A0"/>
    <w:multiLevelType w:val="multilevel"/>
    <w:tmpl w:val="8948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65247F"/>
    <w:multiLevelType w:val="multilevel"/>
    <w:tmpl w:val="C558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731A2F"/>
    <w:multiLevelType w:val="multilevel"/>
    <w:tmpl w:val="5184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2B3F7B"/>
    <w:multiLevelType w:val="multilevel"/>
    <w:tmpl w:val="0412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40692B"/>
    <w:multiLevelType w:val="multilevel"/>
    <w:tmpl w:val="D66E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E057CA"/>
    <w:multiLevelType w:val="multilevel"/>
    <w:tmpl w:val="6954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E66100"/>
    <w:multiLevelType w:val="multilevel"/>
    <w:tmpl w:val="25E4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9A0A1D"/>
    <w:multiLevelType w:val="multilevel"/>
    <w:tmpl w:val="5556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7B746D"/>
    <w:multiLevelType w:val="hybridMultilevel"/>
    <w:tmpl w:val="C37C1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3439490">
    <w:abstractNumId w:val="25"/>
  </w:num>
  <w:num w:numId="2" w16cid:durableId="1807700289">
    <w:abstractNumId w:val="11"/>
  </w:num>
  <w:num w:numId="3" w16cid:durableId="1045720247">
    <w:abstractNumId w:val="19"/>
  </w:num>
  <w:num w:numId="4" w16cid:durableId="55980914">
    <w:abstractNumId w:val="2"/>
  </w:num>
  <w:num w:numId="5" w16cid:durableId="1521966416">
    <w:abstractNumId w:val="17"/>
  </w:num>
  <w:num w:numId="6" w16cid:durableId="1690791482">
    <w:abstractNumId w:val="6"/>
  </w:num>
  <w:num w:numId="7" w16cid:durableId="1289505654">
    <w:abstractNumId w:val="21"/>
  </w:num>
  <w:num w:numId="8" w16cid:durableId="408502675">
    <w:abstractNumId w:val="8"/>
  </w:num>
  <w:num w:numId="9" w16cid:durableId="1142695347">
    <w:abstractNumId w:val="14"/>
  </w:num>
  <w:num w:numId="10" w16cid:durableId="337461251">
    <w:abstractNumId w:val="4"/>
  </w:num>
  <w:num w:numId="11" w16cid:durableId="528840988">
    <w:abstractNumId w:val="0"/>
  </w:num>
  <w:num w:numId="12" w16cid:durableId="1292400417">
    <w:abstractNumId w:val="20"/>
  </w:num>
  <w:num w:numId="13" w16cid:durableId="107893731">
    <w:abstractNumId w:val="22"/>
  </w:num>
  <w:num w:numId="14" w16cid:durableId="578901570">
    <w:abstractNumId w:val="1"/>
  </w:num>
  <w:num w:numId="15" w16cid:durableId="1162621180">
    <w:abstractNumId w:val="18"/>
  </w:num>
  <w:num w:numId="16" w16cid:durableId="319696658">
    <w:abstractNumId w:val="24"/>
  </w:num>
  <w:num w:numId="17" w16cid:durableId="1900282266">
    <w:abstractNumId w:val="23"/>
  </w:num>
  <w:num w:numId="18" w16cid:durableId="1260792762">
    <w:abstractNumId w:val="10"/>
  </w:num>
  <w:num w:numId="19" w16cid:durableId="102188283">
    <w:abstractNumId w:val="12"/>
  </w:num>
  <w:num w:numId="20" w16cid:durableId="1809128177">
    <w:abstractNumId w:val="7"/>
  </w:num>
  <w:num w:numId="21" w16cid:durableId="922877990">
    <w:abstractNumId w:val="3"/>
  </w:num>
  <w:num w:numId="22" w16cid:durableId="1302074327">
    <w:abstractNumId w:val="5"/>
  </w:num>
  <w:num w:numId="23" w16cid:durableId="1476723146">
    <w:abstractNumId w:val="15"/>
  </w:num>
  <w:num w:numId="24" w16cid:durableId="1037663978">
    <w:abstractNumId w:val="13"/>
  </w:num>
  <w:num w:numId="25" w16cid:durableId="521436929">
    <w:abstractNumId w:val="9"/>
  </w:num>
  <w:num w:numId="26" w16cid:durableId="11670962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6E7"/>
    <w:rsid w:val="000428B5"/>
    <w:rsid w:val="000860A8"/>
    <w:rsid w:val="001522AC"/>
    <w:rsid w:val="00157B28"/>
    <w:rsid w:val="00197D3A"/>
    <w:rsid w:val="001A0C9C"/>
    <w:rsid w:val="0028031B"/>
    <w:rsid w:val="002B193B"/>
    <w:rsid w:val="00345AD6"/>
    <w:rsid w:val="00396158"/>
    <w:rsid w:val="00432F9F"/>
    <w:rsid w:val="00464CD3"/>
    <w:rsid w:val="006010BE"/>
    <w:rsid w:val="007166E7"/>
    <w:rsid w:val="00892D05"/>
    <w:rsid w:val="009116DB"/>
    <w:rsid w:val="00933C78"/>
    <w:rsid w:val="00A743CA"/>
    <w:rsid w:val="00A90470"/>
    <w:rsid w:val="00C31DF3"/>
    <w:rsid w:val="00C5278A"/>
    <w:rsid w:val="00CC5C1E"/>
    <w:rsid w:val="00DC6188"/>
    <w:rsid w:val="00EA51B7"/>
    <w:rsid w:val="00F12FE4"/>
    <w:rsid w:val="00F8069E"/>
    <w:rsid w:val="00FE0601"/>
    <w:rsid w:val="00FE6D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EB750"/>
  <w15:chartTrackingRefBased/>
  <w15:docId w15:val="{1E56BD9B-9B25-4E60-BFE5-10D9C047A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66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66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66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66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66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66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6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6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6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6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66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66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66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66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6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6E7"/>
    <w:rPr>
      <w:rFonts w:eastAsiaTheme="majorEastAsia" w:cstheme="majorBidi"/>
      <w:color w:val="272727" w:themeColor="text1" w:themeTint="D8"/>
    </w:rPr>
  </w:style>
  <w:style w:type="paragraph" w:styleId="Title">
    <w:name w:val="Title"/>
    <w:basedOn w:val="Normal"/>
    <w:next w:val="Normal"/>
    <w:link w:val="TitleChar"/>
    <w:uiPriority w:val="10"/>
    <w:qFormat/>
    <w:rsid w:val="00716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6E7"/>
    <w:pPr>
      <w:spacing w:before="160"/>
      <w:jc w:val="center"/>
    </w:pPr>
    <w:rPr>
      <w:i/>
      <w:iCs/>
      <w:color w:val="404040" w:themeColor="text1" w:themeTint="BF"/>
    </w:rPr>
  </w:style>
  <w:style w:type="character" w:customStyle="1" w:styleId="QuoteChar">
    <w:name w:val="Quote Char"/>
    <w:basedOn w:val="DefaultParagraphFont"/>
    <w:link w:val="Quote"/>
    <w:uiPriority w:val="29"/>
    <w:rsid w:val="007166E7"/>
    <w:rPr>
      <w:i/>
      <w:iCs/>
      <w:color w:val="404040" w:themeColor="text1" w:themeTint="BF"/>
    </w:rPr>
  </w:style>
  <w:style w:type="paragraph" w:styleId="ListParagraph">
    <w:name w:val="List Paragraph"/>
    <w:basedOn w:val="Normal"/>
    <w:uiPriority w:val="34"/>
    <w:qFormat/>
    <w:rsid w:val="007166E7"/>
    <w:pPr>
      <w:ind w:left="720"/>
      <w:contextualSpacing/>
    </w:pPr>
  </w:style>
  <w:style w:type="character" w:styleId="IntenseEmphasis">
    <w:name w:val="Intense Emphasis"/>
    <w:basedOn w:val="DefaultParagraphFont"/>
    <w:uiPriority w:val="21"/>
    <w:qFormat/>
    <w:rsid w:val="007166E7"/>
    <w:rPr>
      <w:i/>
      <w:iCs/>
      <w:color w:val="2F5496" w:themeColor="accent1" w:themeShade="BF"/>
    </w:rPr>
  </w:style>
  <w:style w:type="paragraph" w:styleId="IntenseQuote">
    <w:name w:val="Intense Quote"/>
    <w:basedOn w:val="Normal"/>
    <w:next w:val="Normal"/>
    <w:link w:val="IntenseQuoteChar"/>
    <w:uiPriority w:val="30"/>
    <w:qFormat/>
    <w:rsid w:val="007166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66E7"/>
    <w:rPr>
      <w:i/>
      <w:iCs/>
      <w:color w:val="2F5496" w:themeColor="accent1" w:themeShade="BF"/>
    </w:rPr>
  </w:style>
  <w:style w:type="character" w:styleId="IntenseReference">
    <w:name w:val="Intense Reference"/>
    <w:basedOn w:val="DefaultParagraphFont"/>
    <w:uiPriority w:val="32"/>
    <w:qFormat/>
    <w:rsid w:val="007166E7"/>
    <w:rPr>
      <w:b/>
      <w:bCs/>
      <w:smallCaps/>
      <w:color w:val="2F5496" w:themeColor="accent1" w:themeShade="BF"/>
      <w:spacing w:val="5"/>
    </w:rPr>
  </w:style>
  <w:style w:type="character" w:styleId="Hyperlink">
    <w:name w:val="Hyperlink"/>
    <w:basedOn w:val="DefaultParagraphFont"/>
    <w:uiPriority w:val="99"/>
    <w:unhideWhenUsed/>
    <w:rsid w:val="00FE6D3A"/>
    <w:rPr>
      <w:color w:val="0563C1" w:themeColor="hyperlink"/>
      <w:u w:val="single"/>
    </w:rPr>
  </w:style>
  <w:style w:type="character" w:styleId="UnresolvedMention">
    <w:name w:val="Unresolved Mention"/>
    <w:basedOn w:val="DefaultParagraphFont"/>
    <w:uiPriority w:val="99"/>
    <w:semiHidden/>
    <w:unhideWhenUsed/>
    <w:rsid w:val="00FE6D3A"/>
    <w:rPr>
      <w:color w:val="605E5C"/>
      <w:shd w:val="clear" w:color="auto" w:fill="E1DFDD"/>
    </w:rPr>
  </w:style>
  <w:style w:type="paragraph" w:styleId="Header">
    <w:name w:val="header"/>
    <w:basedOn w:val="Normal"/>
    <w:link w:val="HeaderChar"/>
    <w:uiPriority w:val="99"/>
    <w:unhideWhenUsed/>
    <w:rsid w:val="00A74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3CA"/>
  </w:style>
  <w:style w:type="paragraph" w:styleId="Footer">
    <w:name w:val="footer"/>
    <w:basedOn w:val="Normal"/>
    <w:link w:val="FooterChar"/>
    <w:uiPriority w:val="99"/>
    <w:unhideWhenUsed/>
    <w:rsid w:val="00A74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Malawi - Malawi Human Rights Commission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E7E6207F-BFD6-4134-A1BA-BE46E1C48F54}"/>
</file>

<file path=customXml/itemProps2.xml><?xml version="1.0" encoding="utf-8"?>
<ds:datastoreItem xmlns:ds="http://schemas.openxmlformats.org/officeDocument/2006/customXml" ds:itemID="{8C5991F6-B60D-428F-93E3-1BA211C996BA}"/>
</file>

<file path=customXml/itemProps3.xml><?xml version="1.0" encoding="utf-8"?>
<ds:datastoreItem xmlns:ds="http://schemas.openxmlformats.org/officeDocument/2006/customXml" ds:itemID="{FA4D64B6-E412-4B3B-853E-C8F0B0A53DA2}"/>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Jamila Madukani</dc:creator>
  <cp:keywords/>
  <dc:description/>
  <cp:lastModifiedBy>Zione Ngondo</cp:lastModifiedBy>
  <cp:revision>3</cp:revision>
  <dcterms:created xsi:type="dcterms:W3CDTF">2026-02-27T18:03:00Z</dcterms:created>
  <dcterms:modified xsi:type="dcterms:W3CDTF">2026-03-02T12:54:00Z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