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8BDDB" w14:textId="77777777" w:rsidR="00962BE2" w:rsidRPr="00CB28BE" w:rsidRDefault="00962BE2" w:rsidP="00962BE2">
      <w:pPr>
        <w:spacing w:after="0" w:line="240" w:lineRule="auto"/>
        <w:jc w:val="both"/>
        <w:rPr>
          <w:rFonts w:ascii="Calibri" w:hAnsi="Calibri" w:cs="Calibri"/>
          <w:u w:val="single"/>
        </w:rPr>
      </w:pPr>
      <w:r w:rsidRPr="00CB6A48">
        <w:rPr>
          <w:rFonts w:ascii="Calibri" w:hAnsi="Calibri" w:cs="Calibri"/>
          <w:u w:val="single"/>
        </w:rPr>
        <w:t>New Zealand</w:t>
      </w:r>
      <w:r>
        <w:rPr>
          <w:rFonts w:ascii="Calibri" w:hAnsi="Calibri" w:cs="Calibri"/>
          <w:u w:val="single"/>
        </w:rPr>
        <w:t xml:space="preserve"> (</w:t>
      </w:r>
      <w:r w:rsidRPr="00CB28BE">
        <w:rPr>
          <w:rFonts w:ascii="Calibri" w:hAnsi="Calibri" w:cs="Calibri"/>
          <w:u w:val="single"/>
        </w:rPr>
        <w:t>Human Rights Commission)</w:t>
      </w:r>
    </w:p>
    <w:p w14:paraId="727B8E2D" w14:textId="77777777" w:rsidR="00B30218" w:rsidRPr="00B30218" w:rsidRDefault="00B30218" w:rsidP="00B30218"/>
    <w:p w14:paraId="090A37DB" w14:textId="77777777" w:rsidR="00B30218" w:rsidRPr="00B30218" w:rsidRDefault="00B30218" w:rsidP="00B30218">
      <w:r w:rsidRPr="00B30218">
        <w:rPr>
          <w:b/>
          <w:bCs/>
        </w:rPr>
        <w:t>UPR 3</w:t>
      </w:r>
      <w:r w:rsidRPr="00B30218">
        <w:rPr>
          <w:b/>
          <w:bCs/>
          <w:vertAlign w:val="superscript"/>
        </w:rPr>
        <w:t>rd</w:t>
      </w:r>
      <w:r w:rsidRPr="00B30218">
        <w:rPr>
          <w:b/>
          <w:bCs/>
        </w:rPr>
        <w:t> cycle / New Zealand's 2018 review</w:t>
      </w:r>
    </w:p>
    <w:p w14:paraId="680D886D" w14:textId="77777777" w:rsidR="00B30218" w:rsidRPr="00B30218" w:rsidRDefault="00B30218" w:rsidP="00B30218"/>
    <w:p w14:paraId="6A379C74" w14:textId="77777777" w:rsidR="00B30218" w:rsidRPr="00B30218" w:rsidRDefault="00B30218" w:rsidP="00B30218">
      <w:pPr>
        <w:numPr>
          <w:ilvl w:val="0"/>
          <w:numId w:val="1"/>
        </w:numPr>
      </w:pPr>
      <w:r w:rsidRPr="00B30218">
        <w:t>At the UPR pre-session in December 2018, the Commission presented a statement and engaged with States’ Permanent Missions to the UN Office in Geneva. As a result, a large majority of the Commission’s 78 recommendations were reflected in the UNHRCs UPR Working Group’s draft report on New Zealand, including recommendations in new areas such as SOGIESC rights, climate change, business and human rights, and a national plan of action for the UN Declaration on the Rights of Indigenous Peoples (UNDRIP).</w:t>
      </w:r>
    </w:p>
    <w:p w14:paraId="727A0CB1" w14:textId="77777777" w:rsidR="00B30218" w:rsidRPr="00B30218" w:rsidRDefault="00B30218" w:rsidP="00B30218">
      <w:pPr>
        <w:numPr>
          <w:ilvl w:val="0"/>
          <w:numId w:val="1"/>
        </w:numPr>
      </w:pPr>
      <w:r w:rsidRPr="00B30218">
        <w:t>This indicates that the Commission’s submissions and pre-session advocacy work had a demonstrable impact and influence on the eventual UPR recommendations issued by the UNHRC UPR Working Group in January 2019.</w:t>
      </w:r>
    </w:p>
    <w:p w14:paraId="4F45DA7C" w14:textId="77777777" w:rsidR="00B30218" w:rsidRPr="00B30218" w:rsidRDefault="00B30218" w:rsidP="00B30218">
      <w:pPr>
        <w:numPr>
          <w:ilvl w:val="0"/>
          <w:numId w:val="1"/>
        </w:numPr>
      </w:pPr>
      <w:r w:rsidRPr="00B30218">
        <w:t>A UPR in country pre-session was held in October 2018 in Wellington, the first time an event of this kind has been held in New Zealand. The pre-session itself was moderated by UPR Info and attended by diplomatic representatives from 32 embassies who heard from, and had dialogue with, a panel of 13 civil society and NGOs covering a wide range of human rights issues. Around 60 civil society observers also attended and participated in an open session following the dialogue.</w:t>
      </w:r>
      <w:r w:rsidRPr="00B30218">
        <w:rPr>
          <w:rFonts w:ascii="Arial" w:hAnsi="Arial" w:cs="Arial"/>
        </w:rPr>
        <w:t>  </w:t>
      </w:r>
      <w:r w:rsidRPr="00B30218">
        <w:t>In the week leading up to the pre-session, UPR Info and the HRC carried out training sessions in Auckland, Wellington and Christchurch to assist NGOs and civil society representatives to participate effectively in the pre-session process.</w:t>
      </w:r>
    </w:p>
    <w:p w14:paraId="45DBAE5F" w14:textId="77777777" w:rsidR="00B30218" w:rsidRPr="00B30218" w:rsidRDefault="00B30218" w:rsidP="00B30218">
      <w:pPr>
        <w:numPr>
          <w:ilvl w:val="0"/>
          <w:numId w:val="1"/>
        </w:numPr>
      </w:pPr>
      <w:r w:rsidRPr="00B30218">
        <w:t>The Commission produced a video statement by the Chief Commissioner to UNHRC for screening at the formal adoption of the UPR recommendations on New Zealand at the 41st session of UNHRC. The advance copy of the Government’s adoption statement to the Human Rights Council informed the Government’s position on each of the UPR recommendations. Out of the 194 recommendations, 160 were agreed and 34 noted.</w:t>
      </w:r>
    </w:p>
    <w:p w14:paraId="17BD5EDC" w14:textId="77777777" w:rsidR="00B30218" w:rsidRPr="00B30218" w:rsidRDefault="00B30218" w:rsidP="00B30218"/>
    <w:p w14:paraId="56ECEA6C" w14:textId="77777777" w:rsidR="00B30218" w:rsidRPr="00B30218" w:rsidRDefault="00B30218" w:rsidP="00B30218">
      <w:r w:rsidRPr="00B30218">
        <w:rPr>
          <w:b/>
          <w:bCs/>
        </w:rPr>
        <w:t>UPR 4</w:t>
      </w:r>
      <w:r w:rsidRPr="00B30218">
        <w:rPr>
          <w:b/>
          <w:bCs/>
          <w:vertAlign w:val="superscript"/>
        </w:rPr>
        <w:t>th</w:t>
      </w:r>
      <w:r w:rsidRPr="00B30218">
        <w:rPr>
          <w:b/>
          <w:bCs/>
        </w:rPr>
        <w:t> cycle / New Zealand's 2024 review</w:t>
      </w:r>
    </w:p>
    <w:p w14:paraId="59EA1C88" w14:textId="77777777" w:rsidR="00B30218" w:rsidRPr="00B30218" w:rsidRDefault="00B30218" w:rsidP="00B30218"/>
    <w:p w14:paraId="05556B72" w14:textId="77777777" w:rsidR="00B30218" w:rsidRPr="00B30218" w:rsidRDefault="00B30218" w:rsidP="00B30218">
      <w:pPr>
        <w:numPr>
          <w:ilvl w:val="0"/>
          <w:numId w:val="2"/>
        </w:numPr>
      </w:pPr>
      <w:r w:rsidRPr="00B30218">
        <w:t xml:space="preserve">Following the success of the in-country pre-session in 2018, we held another pre-session in March 2024. Information about this session can be found here: </w:t>
      </w:r>
      <w:hyperlink r:id="rId7" w:tooltip="https://tikatangata.org.nz/our-work/wellington-upr-presession-presentations-7-march-2024" w:history="1">
        <w:r w:rsidRPr="00B30218">
          <w:rPr>
            <w:rStyle w:val="Hyperlink"/>
          </w:rPr>
          <w:t>https://tikatangata.org.nz/our-work/wellington-upr-presession-presentations-7-</w:t>
        </w:r>
        <w:r w:rsidRPr="00B30218">
          <w:rPr>
            <w:rStyle w:val="Hyperlink"/>
          </w:rPr>
          <w:lastRenderedPageBreak/>
          <w:t>march-2024</w:t>
        </w:r>
      </w:hyperlink>
      <w:r w:rsidRPr="00B30218">
        <w:t>. Over 15 groups made presentations to diplomats on a range of issues.</w:t>
      </w:r>
    </w:p>
    <w:p w14:paraId="3907A651" w14:textId="77777777" w:rsidR="00B30218" w:rsidRPr="00B30218" w:rsidRDefault="00B30218" w:rsidP="00B30218">
      <w:pPr>
        <w:numPr>
          <w:ilvl w:val="0"/>
          <w:numId w:val="2"/>
        </w:numPr>
      </w:pPr>
      <w:r w:rsidRPr="00B30218">
        <w:t>The UPR resulted in 259 wide-ranging recommendations for New Zealand, addressing key areas such as Te Tiriti and indigenous rights, redress and reparations for Royal Commission inquiries into historical abuses and the Christchurch terrorist attacks, inclusive education, and modern slavery legislation.</w:t>
      </w:r>
    </w:p>
    <w:p w14:paraId="75844A36" w14:textId="77777777" w:rsidR="00B30218" w:rsidRPr="00B30218" w:rsidRDefault="00B30218" w:rsidP="00B30218">
      <w:pPr>
        <w:numPr>
          <w:ilvl w:val="0"/>
          <w:numId w:val="2"/>
        </w:numPr>
      </w:pPr>
      <w:r w:rsidRPr="00B30218">
        <w:t>The Commission had many meetings with diplomats in Geneva and with the NZ missions back in NZ in the lead up to the review.</w:t>
      </w:r>
    </w:p>
    <w:p w14:paraId="6F20032F" w14:textId="77777777" w:rsidR="00B30218" w:rsidRPr="00B30218" w:rsidRDefault="00B30218" w:rsidP="00B30218">
      <w:pPr>
        <w:numPr>
          <w:ilvl w:val="0"/>
          <w:numId w:val="2"/>
        </w:numPr>
      </w:pPr>
      <w:r w:rsidRPr="00B30218">
        <w:t xml:space="preserve">Information about the review can be found here </w:t>
      </w:r>
      <w:hyperlink r:id="rId8" w:tooltip="https://tikatangata.org.nz/our-work/upr" w:history="1">
        <w:r w:rsidRPr="00B30218">
          <w:rPr>
            <w:rStyle w:val="Hyperlink"/>
          </w:rPr>
          <w:t>https://tikatangata.org.nz/our-work/upr</w:t>
        </w:r>
      </w:hyperlink>
    </w:p>
    <w:p w14:paraId="3A270ECC" w14:textId="77777777" w:rsidR="00B30218" w:rsidRPr="00B30218" w:rsidRDefault="00B30218" w:rsidP="00B30218"/>
    <w:p w14:paraId="076F712B" w14:textId="77777777" w:rsidR="00B30218" w:rsidRPr="00B30218" w:rsidRDefault="00B30218" w:rsidP="00B30218">
      <w:r w:rsidRPr="00B30218">
        <w:rPr>
          <w:b/>
          <w:bCs/>
        </w:rPr>
        <w:t>Improvements:</w:t>
      </w:r>
    </w:p>
    <w:p w14:paraId="595535EB" w14:textId="77777777" w:rsidR="00B30218" w:rsidRPr="00B30218" w:rsidRDefault="00B30218" w:rsidP="00B30218"/>
    <w:p w14:paraId="35025429" w14:textId="77777777" w:rsidR="00B30218" w:rsidRPr="00B30218" w:rsidRDefault="00B30218" w:rsidP="00B30218">
      <w:pPr>
        <w:numPr>
          <w:ilvl w:val="0"/>
          <w:numId w:val="3"/>
        </w:numPr>
      </w:pPr>
      <w:r w:rsidRPr="00B30218">
        <w:t>In New Zealand, the UPR mechanism is a useful tool that generally enjoys broad support across government and civil society groups that work in the international human rights monitoring space. The UPR process promotes scrutiny of the progressive realisation of peoples’ rights in New Zealand, and, when the state stalls or introduces measures which cause these rights to regress, the UPR provides a useful tool to monitor and track these changes. </w:t>
      </w:r>
    </w:p>
    <w:p w14:paraId="35636FED" w14:textId="77777777" w:rsidR="00B30218" w:rsidRPr="00B30218" w:rsidRDefault="00B30218" w:rsidP="00B30218">
      <w:pPr>
        <w:numPr>
          <w:ilvl w:val="0"/>
          <w:numId w:val="3"/>
        </w:numPr>
      </w:pPr>
      <w:r w:rsidRPr="00B30218">
        <w:t>We note that in 2021, the Government endorsed New Zealand’s Inter-Ministerial National Mechanism on human rights. The National Mechanism aims to improve agency cooperation and the consistency and effectiveness of international human rights reporting processes. It includes: a Governance Group of deputy chief executives of public sector agencies that lead work under international human rights treaties;  the Human Rights Monitor (</w:t>
      </w:r>
      <w:hyperlink r:id="rId9" w:history="1">
        <w:r w:rsidRPr="00B30218">
          <w:rPr>
            <w:rStyle w:val="Hyperlink"/>
          </w:rPr>
          <w:t>https://humanrights.govt.nz</w:t>
        </w:r>
      </w:hyperlink>
      <w:r w:rsidRPr="00B30218">
        <w:t>), a web-based monitoring tool recording UN recommendations and tracking implementation progress; guidelines for public sector agencies on reporting, implementation and follow-up under international human rights mechanisms. All UPR recommendations from the 2024 review have been loaded into the online monitor, which is updated to show what actions have been taking to implement the recommendations.</w:t>
      </w:r>
    </w:p>
    <w:p w14:paraId="42C9B86E" w14:textId="77777777" w:rsidR="00B30218" w:rsidRPr="00B30218" w:rsidRDefault="00B30218" w:rsidP="00B30218"/>
    <w:p w14:paraId="4FB52BED" w14:textId="77777777" w:rsidR="00B30218" w:rsidRPr="00B30218" w:rsidRDefault="00B30218" w:rsidP="00B30218">
      <w:pPr>
        <w:numPr>
          <w:ilvl w:val="0"/>
          <w:numId w:val="3"/>
        </w:numPr>
      </w:pPr>
      <w:r w:rsidRPr="00B30218">
        <w:t xml:space="preserve">In general, the UPR process can be inaccessible for many people and communities and can be difficult to understand and engage with. Civil society engagement is often limited to organisations who are familiar with the process </w:t>
      </w:r>
      <w:r w:rsidRPr="00B30218">
        <w:lastRenderedPageBreak/>
        <w:t>having participated previously and/or have the time and resourcing to engage. These barriers are compounded for Indigenous groups who wish to participate. </w:t>
      </w:r>
    </w:p>
    <w:p w14:paraId="74630660" w14:textId="77777777" w:rsidR="00B30218" w:rsidRPr="00B30218" w:rsidRDefault="00B30218" w:rsidP="00B30218">
      <w:pPr>
        <w:numPr>
          <w:ilvl w:val="0"/>
          <w:numId w:val="3"/>
        </w:numPr>
      </w:pPr>
      <w:r w:rsidRPr="00B30218">
        <w:t>The mechanism could be further optimised for meaningful participation, by New Zealand and Pacific CSOs in particular, through greater opportunity for hybrid participation in the local time zone. The cost of travel to, and accommodation in, Geneva is prohibitively expensive for most New Zealand CSOs and those across the Asia Pacific region. The complexity of navigating the unfamiliar UN system is also a significant barrier. Better resourcing for creating simple, more easily accessible templates and guidance for participation, as well as virtual workshops that accommodate for regional time zones, would support better engagement from civil society organisations and communities. The Commission values the opportunity to participate in the Geneva pre-sessions. As an NHRI, the Commission does what it can to support civil society organisations to be involved in the UPR process however we are also constrained by our capacity and resourcing.  </w:t>
      </w:r>
    </w:p>
    <w:sectPr w:rsidR="00B30218" w:rsidRPr="00B302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72440" w14:textId="77777777" w:rsidR="00962BE2" w:rsidRDefault="00962BE2" w:rsidP="00962BE2">
      <w:pPr>
        <w:spacing w:after="0" w:line="240" w:lineRule="auto"/>
      </w:pPr>
      <w:r>
        <w:separator/>
      </w:r>
    </w:p>
  </w:endnote>
  <w:endnote w:type="continuationSeparator" w:id="0">
    <w:p w14:paraId="6E14D871" w14:textId="77777777" w:rsidR="00962BE2" w:rsidRDefault="00962BE2" w:rsidP="00962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AAA83" w14:textId="77777777" w:rsidR="00962BE2" w:rsidRDefault="00962BE2" w:rsidP="00962BE2">
      <w:pPr>
        <w:spacing w:after="0" w:line="240" w:lineRule="auto"/>
      </w:pPr>
      <w:r>
        <w:separator/>
      </w:r>
    </w:p>
  </w:footnote>
  <w:footnote w:type="continuationSeparator" w:id="0">
    <w:p w14:paraId="52966BBA" w14:textId="77777777" w:rsidR="00962BE2" w:rsidRDefault="00962BE2" w:rsidP="00962B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40FEF"/>
    <w:multiLevelType w:val="multilevel"/>
    <w:tmpl w:val="036A4E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85457FE"/>
    <w:multiLevelType w:val="multilevel"/>
    <w:tmpl w:val="0374DE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59E2DDF"/>
    <w:multiLevelType w:val="multilevel"/>
    <w:tmpl w:val="06E25E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909849736">
    <w:abstractNumId w:val="2"/>
  </w:num>
  <w:num w:numId="2" w16cid:durableId="2131512003">
    <w:abstractNumId w:val="1"/>
  </w:num>
  <w:num w:numId="3" w16cid:durableId="874578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218"/>
    <w:rsid w:val="00026C0F"/>
    <w:rsid w:val="0047568F"/>
    <w:rsid w:val="006345AD"/>
    <w:rsid w:val="00962BE2"/>
    <w:rsid w:val="00A52BD8"/>
    <w:rsid w:val="00B30218"/>
    <w:rsid w:val="00CA5F64"/>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1FEDC0"/>
  <w15:chartTrackingRefBased/>
  <w15:docId w15:val="{51263E83-F7C9-4319-96C6-175329B2C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02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02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02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02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02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02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02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02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02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02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02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02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02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02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02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02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02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0218"/>
    <w:rPr>
      <w:rFonts w:eastAsiaTheme="majorEastAsia" w:cstheme="majorBidi"/>
      <w:color w:val="272727" w:themeColor="text1" w:themeTint="D8"/>
    </w:rPr>
  </w:style>
  <w:style w:type="paragraph" w:styleId="Title">
    <w:name w:val="Title"/>
    <w:basedOn w:val="Normal"/>
    <w:next w:val="Normal"/>
    <w:link w:val="TitleChar"/>
    <w:uiPriority w:val="10"/>
    <w:qFormat/>
    <w:rsid w:val="00B302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02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02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02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0218"/>
    <w:pPr>
      <w:spacing w:before="160"/>
      <w:jc w:val="center"/>
    </w:pPr>
    <w:rPr>
      <w:i/>
      <w:iCs/>
      <w:color w:val="404040" w:themeColor="text1" w:themeTint="BF"/>
    </w:rPr>
  </w:style>
  <w:style w:type="character" w:customStyle="1" w:styleId="QuoteChar">
    <w:name w:val="Quote Char"/>
    <w:basedOn w:val="DefaultParagraphFont"/>
    <w:link w:val="Quote"/>
    <w:uiPriority w:val="29"/>
    <w:rsid w:val="00B30218"/>
    <w:rPr>
      <w:i/>
      <w:iCs/>
      <w:color w:val="404040" w:themeColor="text1" w:themeTint="BF"/>
    </w:rPr>
  </w:style>
  <w:style w:type="paragraph" w:styleId="ListParagraph">
    <w:name w:val="List Paragraph"/>
    <w:basedOn w:val="Normal"/>
    <w:uiPriority w:val="34"/>
    <w:qFormat/>
    <w:rsid w:val="00B30218"/>
    <w:pPr>
      <w:ind w:left="720"/>
      <w:contextualSpacing/>
    </w:pPr>
  </w:style>
  <w:style w:type="character" w:styleId="IntenseEmphasis">
    <w:name w:val="Intense Emphasis"/>
    <w:basedOn w:val="DefaultParagraphFont"/>
    <w:uiPriority w:val="21"/>
    <w:qFormat/>
    <w:rsid w:val="00B30218"/>
    <w:rPr>
      <w:i/>
      <w:iCs/>
      <w:color w:val="0F4761" w:themeColor="accent1" w:themeShade="BF"/>
    </w:rPr>
  </w:style>
  <w:style w:type="paragraph" w:styleId="IntenseQuote">
    <w:name w:val="Intense Quote"/>
    <w:basedOn w:val="Normal"/>
    <w:next w:val="Normal"/>
    <w:link w:val="IntenseQuoteChar"/>
    <w:uiPriority w:val="30"/>
    <w:qFormat/>
    <w:rsid w:val="00B302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0218"/>
    <w:rPr>
      <w:i/>
      <w:iCs/>
      <w:color w:val="0F4761" w:themeColor="accent1" w:themeShade="BF"/>
    </w:rPr>
  </w:style>
  <w:style w:type="character" w:styleId="IntenseReference">
    <w:name w:val="Intense Reference"/>
    <w:basedOn w:val="DefaultParagraphFont"/>
    <w:uiPriority w:val="32"/>
    <w:qFormat/>
    <w:rsid w:val="00B30218"/>
    <w:rPr>
      <w:b/>
      <w:bCs/>
      <w:smallCaps/>
      <w:color w:val="0F4761" w:themeColor="accent1" w:themeShade="BF"/>
      <w:spacing w:val="5"/>
    </w:rPr>
  </w:style>
  <w:style w:type="character" w:styleId="Hyperlink">
    <w:name w:val="Hyperlink"/>
    <w:basedOn w:val="DefaultParagraphFont"/>
    <w:uiPriority w:val="99"/>
    <w:unhideWhenUsed/>
    <w:rsid w:val="00B30218"/>
    <w:rPr>
      <w:color w:val="467886" w:themeColor="hyperlink"/>
      <w:u w:val="single"/>
    </w:rPr>
  </w:style>
  <w:style w:type="character" w:styleId="UnresolvedMention">
    <w:name w:val="Unresolved Mention"/>
    <w:basedOn w:val="DefaultParagraphFont"/>
    <w:uiPriority w:val="99"/>
    <w:semiHidden/>
    <w:unhideWhenUsed/>
    <w:rsid w:val="00B30218"/>
    <w:rPr>
      <w:color w:val="605E5C"/>
      <w:shd w:val="clear" w:color="auto" w:fill="E1DFDD"/>
    </w:rPr>
  </w:style>
  <w:style w:type="paragraph" w:styleId="Header">
    <w:name w:val="header"/>
    <w:basedOn w:val="Normal"/>
    <w:link w:val="HeaderChar"/>
    <w:uiPriority w:val="99"/>
    <w:unhideWhenUsed/>
    <w:rsid w:val="00962B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BE2"/>
  </w:style>
  <w:style w:type="paragraph" w:styleId="Footer">
    <w:name w:val="footer"/>
    <w:basedOn w:val="Normal"/>
    <w:link w:val="FooterChar"/>
    <w:uiPriority w:val="99"/>
    <w:unhideWhenUsed/>
    <w:rsid w:val="00962B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s%3A%2F%2Ftikatangata.org.nz%2Four-work%2Fupr&amp;data=05%7C02%7Cjeroen.klok%40un.org%7C3363c4353b37412e0eab08de735aff7e%7C0f9e35db544f4f60bdcc5ea416e6dc70%7C0%7C0%7C639075031830489029%7CUnknown%7CTWFpbGZsb3d8eyJFbXB0eU1hcGkiOnRydWUsIlYiOiIwLjAuMDAwMCIsIlAiOiJXaW4zMiIsIkFOIjoiTWFpbCIsIldUIjoyfQ%3D%3D%7C0%7C%7C%7C&amp;sdata=qBbMARnJAJKjOp1VtUcuXX9FOwl0kfTh2TETs2rMICY%3D&amp;reserved=0"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eur02.safelinks.protection.outlook.com/?url=https%3A%2F%2Ftikatangata.org.nz%2Four-work%2Fwellington-upr-presession-presentations-7-march-2024&amp;data=05%7C02%7Cjeroen.klok%40un.org%7C3363c4353b37412e0eab08de735aff7e%7C0f9e35db544f4f60bdcc5ea416e6dc70%7C0%7C0%7C639075031830459320%7CUnknown%7CTWFpbGZsb3d8eyJFbXB0eU1hcGkiOnRydWUsIlYiOiIwLjAuMDAwMCIsIlAiOiJXaW4zMiIsIkFOIjoiTWFpbCIsIldUIjoyfQ%3D%3D%7C0%7C%7C%7C&amp;sdata=dEdrBjrhgtGfqMqfJfUJfbuwmRG%2BqAhQu3OeYb7%2F5Qo%3D&amp;reserved=0"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ur02.safelinks.protection.outlook.com/?url=https%3A%2F%2Fhumanrights.govt.nz%2F&amp;data=05%7C02%7Cjeroen.klok%40un.org%7C3363c4353b37412e0eab08de735aff7e%7C0f9e35db544f4f60bdcc5ea416e6dc70%7C0%7C0%7C639075031830507850%7CUnknown%7CTWFpbGZsb3d8eyJFbXB0eU1hcGkiOnRydWUsIlYiOiIwLjAuMDAwMCIsIlAiOiJXaW4zMiIsIkFOIjoiTWFpbCIsIldUIjoyfQ%3D%3D%7C0%7C%7C%7C&amp;sdata=SPxoo4eHZVQTABduH8aU4CA3gle%2F98oqVGZXLDPDVYA%3D&amp;reserved=0"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New Zealand - Human Rights Commission</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D271FA82-2288-43E3-861D-57589535BED4}"/>
</file>

<file path=customXml/itemProps2.xml><?xml version="1.0" encoding="utf-8"?>
<ds:datastoreItem xmlns:ds="http://schemas.openxmlformats.org/officeDocument/2006/customXml" ds:itemID="{66C8B772-168F-4821-9DD7-3E5165DDFBE2}"/>
</file>

<file path=customXml/itemProps3.xml><?xml version="1.0" encoding="utf-8"?>
<ds:datastoreItem xmlns:ds="http://schemas.openxmlformats.org/officeDocument/2006/customXml" ds:itemID="{CC3ACE1B-F5C6-4B6B-BBFC-2EED9F535B28}"/>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1037</Words>
  <Characters>5917</Characters>
  <Application>Microsoft Office Word</Application>
  <DocSecurity>0</DocSecurity>
  <Lines>49</Lines>
  <Paragraphs>13</Paragraphs>
  <ScaleCrop>false</ScaleCrop>
  <Company/>
  <LinksUpToDate>false</LinksUpToDate>
  <CharactersWithSpaces>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Klok</dc:creator>
  <cp:keywords/>
  <dc:description/>
  <cp:lastModifiedBy>Jeroen Klok</cp:lastModifiedBy>
  <cp:revision>2</cp:revision>
  <dcterms:created xsi:type="dcterms:W3CDTF">2026-02-26T10:42:00Z</dcterms:created>
  <dcterms:modified xsi:type="dcterms:W3CDTF">2026-03-10T14:41:00Z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