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4728" w14:textId="77777777" w:rsidR="002A6ABE" w:rsidRDefault="00A668A3">
      <w:pPr>
        <w:spacing w:line="240" w:lineRule="auto"/>
      </w:pPr>
      <w:r>
        <w:t>_________________________________________________________________________</w:t>
      </w:r>
    </w:p>
    <w:p w14:paraId="3F05B667" w14:textId="77777777" w:rsidR="002A6ABE" w:rsidRDefault="002A6ABE">
      <w:pPr>
        <w:spacing w:line="240" w:lineRule="auto"/>
        <w:jc w:val="center"/>
      </w:pPr>
    </w:p>
    <w:p w14:paraId="59336469" w14:textId="77777777" w:rsidR="002A6ABE" w:rsidRDefault="00A668A3">
      <w:pPr>
        <w:spacing w:line="240" w:lineRule="auto"/>
        <w:jc w:val="center"/>
        <w:rPr>
          <w:b/>
          <w:bCs/>
        </w:rPr>
      </w:pPr>
      <w:r>
        <w:rPr>
          <w:b/>
          <w:bCs/>
        </w:rPr>
        <w:t>Response of the Commission on Human Rights of the Philippines (CHRP)</w:t>
      </w:r>
    </w:p>
    <w:p w14:paraId="239FE591" w14:textId="77777777" w:rsidR="002A6ABE" w:rsidRDefault="00A668A3">
      <w:pPr>
        <w:spacing w:line="240" w:lineRule="auto"/>
        <w:jc w:val="center"/>
        <w:rPr>
          <w:b/>
          <w:bCs/>
        </w:rPr>
      </w:pPr>
      <w:r>
        <w:rPr>
          <w:b/>
          <w:bCs/>
        </w:rPr>
        <w:t xml:space="preserve">on good practices during the third and fourth Universal Periodic Review (UPR) Cycle </w:t>
      </w:r>
    </w:p>
    <w:p w14:paraId="4836A1D9" w14:textId="77777777" w:rsidR="002A6ABE" w:rsidRDefault="00A668A3">
      <w:pPr>
        <w:spacing w:line="240" w:lineRule="auto"/>
        <w:jc w:val="center"/>
        <w:rPr>
          <w:b/>
          <w:bCs/>
        </w:rPr>
      </w:pPr>
      <w:r>
        <w:rPr>
          <w:b/>
          <w:bCs/>
        </w:rPr>
        <w:t>and ideas for the fifth cycle innovations</w:t>
      </w:r>
    </w:p>
    <w:p w14:paraId="72EBE82E" w14:textId="77777777" w:rsidR="002A6ABE" w:rsidRDefault="002A6ABE">
      <w:pPr>
        <w:spacing w:line="240" w:lineRule="auto"/>
        <w:jc w:val="center"/>
        <w:rPr>
          <w:b/>
          <w:bCs/>
        </w:rPr>
      </w:pPr>
    </w:p>
    <w:p w14:paraId="5F37318F" w14:textId="77777777" w:rsidR="002A6ABE" w:rsidRDefault="00A3199F">
      <w:pPr>
        <w:spacing w:line="240" w:lineRule="auto"/>
        <w:jc w:val="center"/>
        <w:rPr>
          <w:b/>
          <w:bCs/>
        </w:rPr>
      </w:pPr>
      <w:r>
        <w:rPr>
          <w:b/>
          <w:bCs/>
        </w:rPr>
        <w:t>February</w:t>
      </w:r>
      <w:r w:rsidR="00A668A3">
        <w:rPr>
          <w:b/>
          <w:bCs/>
        </w:rPr>
        <w:t xml:space="preserve"> 2026</w:t>
      </w:r>
    </w:p>
    <w:p w14:paraId="637516BC" w14:textId="77777777" w:rsidR="002A6ABE" w:rsidRDefault="00A668A3">
      <w:pPr>
        <w:spacing w:line="240" w:lineRule="auto"/>
      </w:pPr>
      <w:r>
        <w:t>_________________________________________________________________________</w:t>
      </w:r>
    </w:p>
    <w:p w14:paraId="1DF617B2" w14:textId="77777777" w:rsidR="002A6ABE" w:rsidRDefault="002A6ABE">
      <w:pPr>
        <w:spacing w:line="240" w:lineRule="auto"/>
        <w:jc w:val="both"/>
      </w:pPr>
    </w:p>
    <w:p w14:paraId="04F7C2A3" w14:textId="77777777" w:rsidR="002A6ABE" w:rsidRDefault="00A668A3">
      <w:pPr>
        <w:spacing w:line="259" w:lineRule="auto"/>
        <w:jc w:val="both"/>
      </w:pPr>
      <w:r>
        <w:t>The CHRP is the National Human Rights Institution (NHRI) of the Philippines. We are an independent office created under the 1987 Philippine Constitution and established on 5 May 1987 by virtue of Executive Order No. 163. We derive our mandates from the 1987 Philippine Constitution and the other laws that have also entrusted other roles to us to protect and promote human rights and the human dignity of every Filipino in the Philippines and abroad. We are an “A” accredited NHRI in compliance with the Paris Principles.</w:t>
      </w:r>
    </w:p>
    <w:p w14:paraId="2FF298D2" w14:textId="77777777" w:rsidR="002A6ABE" w:rsidRDefault="00C53FB6" w:rsidP="00C53FB6">
      <w:pPr>
        <w:tabs>
          <w:tab w:val="left" w:pos="3165"/>
        </w:tabs>
        <w:spacing w:line="259" w:lineRule="auto"/>
        <w:jc w:val="both"/>
      </w:pPr>
      <w:r>
        <w:tab/>
      </w:r>
    </w:p>
    <w:p w14:paraId="08DD6D36" w14:textId="77777777" w:rsidR="002A6ABE" w:rsidRDefault="00A668A3">
      <w:pPr>
        <w:spacing w:line="240" w:lineRule="auto"/>
        <w:jc w:val="both"/>
        <w:rPr>
          <w:i/>
          <w:iCs/>
        </w:rPr>
      </w:pPr>
      <w:r>
        <w:rPr>
          <w:i/>
          <w:iCs/>
        </w:rPr>
        <w:t>I. Please provide concrete examples of good, promising, and innovative practices by your NHRI during the third and fourth UPR cycle (and their impact, if possible).</w:t>
      </w:r>
    </w:p>
    <w:p w14:paraId="31B35795" w14:textId="77777777" w:rsidR="002A6ABE" w:rsidRDefault="002A6ABE">
      <w:pPr>
        <w:spacing w:line="240" w:lineRule="auto"/>
        <w:jc w:val="both"/>
      </w:pPr>
    </w:p>
    <w:p w14:paraId="4833B3FD" w14:textId="77777777" w:rsidR="00C53FB6" w:rsidRDefault="00A668A3" w:rsidP="00C53FB6">
      <w:pPr>
        <w:numPr>
          <w:ilvl w:val="0"/>
          <w:numId w:val="1"/>
        </w:numPr>
        <w:spacing w:line="240" w:lineRule="auto"/>
        <w:ind w:left="540"/>
        <w:jc w:val="both"/>
      </w:pPr>
      <w:r>
        <w:t>The CHRP has always been active in the UPR process. It submitted reports to all four cycles, conducted consultations with civil society and government agencies, published a handbook</w:t>
      </w:r>
      <w:r w:rsidR="00C53FB6">
        <w:rPr>
          <w:vertAlign w:val="superscript"/>
        </w:rPr>
        <w:endnoteReference w:id="1"/>
      </w:r>
      <w:r w:rsidR="00C53FB6">
        <w:t xml:space="preserve"> to document the processes of the first and second cycles, held briefings with the diplomatic community, and engaged in interactive dialogues. </w:t>
      </w:r>
    </w:p>
    <w:p w14:paraId="5D222FAC" w14:textId="77777777" w:rsidR="00C53FB6" w:rsidRDefault="00C53FB6">
      <w:pPr>
        <w:spacing w:line="240" w:lineRule="auto"/>
        <w:ind w:left="720"/>
        <w:jc w:val="both"/>
      </w:pPr>
    </w:p>
    <w:p w14:paraId="038BB0EE" w14:textId="77777777" w:rsidR="00C53FB6" w:rsidRDefault="00C53FB6" w:rsidP="00C53FB6">
      <w:pPr>
        <w:numPr>
          <w:ilvl w:val="0"/>
          <w:numId w:val="1"/>
        </w:numPr>
        <w:spacing w:line="240" w:lineRule="auto"/>
        <w:ind w:left="540"/>
        <w:jc w:val="both"/>
      </w:pPr>
      <w:r>
        <w:t>Before the third cycle, the CHRP participated for the first time in UPR Info’s Pre-Sessions in Geneva. The sessions enabled National Human Rights Institutions (NHRIs) and Civil Society Organizations (CSOs) to brief recommending States about the human rights situation in the Philippines, along with a brief overview of the situation of sectoral rights such as the rights of women, children, migrant workers, and persons with disabilities.</w:t>
      </w:r>
      <w:r>
        <w:rPr>
          <w:vertAlign w:val="superscript"/>
        </w:rPr>
        <w:endnoteReference w:id="2"/>
      </w:r>
      <w:r>
        <w:t xml:space="preserve"> It also gave a chance for CHRP to speak with specific member States and their embassies to carry pertinent recommendations during the interactive dialogue. Before the fourth cycle review, the CHRP participated in the Training Course for NHRIs on International Human Rights Mechanisms organized by the Global Alliance of NHRIs (GANHRI).</w:t>
      </w:r>
      <w:r>
        <w:rPr>
          <w:vertAlign w:val="superscript"/>
        </w:rPr>
        <w:endnoteReference w:id="3"/>
      </w:r>
    </w:p>
    <w:p w14:paraId="53DF8DBB" w14:textId="77777777" w:rsidR="00C53FB6" w:rsidRDefault="00C53FB6">
      <w:pPr>
        <w:spacing w:line="240" w:lineRule="auto"/>
        <w:ind w:left="720"/>
        <w:jc w:val="both"/>
      </w:pPr>
    </w:p>
    <w:p w14:paraId="424D2EA7" w14:textId="77777777" w:rsidR="00C53FB6" w:rsidRDefault="00C53FB6" w:rsidP="00C53FB6">
      <w:pPr>
        <w:numPr>
          <w:ilvl w:val="0"/>
          <w:numId w:val="1"/>
        </w:numPr>
        <w:spacing w:line="240" w:lineRule="auto"/>
        <w:ind w:left="540"/>
        <w:jc w:val="both"/>
      </w:pPr>
      <w:r>
        <w:t>During the third and fourth cycles, the CHRP initiated a live webcast of both the interactive dialogue and the adoption of the UPR outcomes. For the third cycle, live webcasts in the CHRP premises drew various stakeholders, including civil society partners, human rights advocates, the diplomatic community, and the media. For the fourth cycle, a social media campaign</w:t>
      </w:r>
      <w:r>
        <w:rPr>
          <w:vertAlign w:val="superscript"/>
        </w:rPr>
        <w:endnoteReference w:id="4"/>
      </w:r>
      <w:r>
        <w:t xml:space="preserve"> amplified the visibility of the UPR process on the CHRP social media pages. The webcasts provided space for the participants to observe and give informed reactions on the proceedings and to increase their appreciation of the review process. </w:t>
      </w:r>
    </w:p>
    <w:p w14:paraId="71B1F668" w14:textId="77777777" w:rsidR="00C53FB6" w:rsidRDefault="00C53FB6">
      <w:pPr>
        <w:spacing w:line="240" w:lineRule="auto"/>
        <w:ind w:left="720"/>
        <w:jc w:val="both"/>
      </w:pPr>
    </w:p>
    <w:p w14:paraId="5346E2AD" w14:textId="77777777" w:rsidR="00C53FB6" w:rsidRDefault="00C53FB6" w:rsidP="00C53FB6">
      <w:pPr>
        <w:numPr>
          <w:ilvl w:val="0"/>
          <w:numId w:val="1"/>
        </w:numPr>
        <w:spacing w:line="240" w:lineRule="auto"/>
        <w:ind w:left="540"/>
        <w:jc w:val="both"/>
      </w:pPr>
      <w:r>
        <w:t>The CHRP has consistently reminded the government of its human rights obligations in accordance with the 1987 Philippine Constitution and the Paris Principles. Following the adoption of the third and fourth cycle recommendations, it issued policy advisories that guided duty-bearers in implementing their obligations and rights-holders in reclaiming their rights.</w:t>
      </w:r>
      <w:r>
        <w:rPr>
          <w:vertAlign w:val="superscript"/>
        </w:rPr>
        <w:endnoteReference w:id="5"/>
      </w:r>
      <w:r>
        <w:t xml:space="preserve"> These advisories promote the UPR process and underscore the latter’s </w:t>
      </w:r>
      <w:r>
        <w:lastRenderedPageBreak/>
        <w:t>importance to human rights advocacy, as it enables every UN member country an opportunity to declare the actions it has taken for the protection and promotion of human rights.</w:t>
      </w:r>
      <w:r>
        <w:rPr>
          <w:vertAlign w:val="superscript"/>
        </w:rPr>
        <w:endnoteReference w:id="6"/>
      </w:r>
      <w:r>
        <w:t xml:space="preserve"> For the third cycle, along with submitting an NHRI final report, the CHRP also issued an advisory during the mid-term of the review cycle,</w:t>
      </w:r>
      <w:r>
        <w:rPr>
          <w:vertAlign w:val="superscript"/>
        </w:rPr>
        <w:endnoteReference w:id="7"/>
      </w:r>
      <w:r>
        <w:t xml:space="preserve"> encouraging the State to submit a mid-term report. For the fourth cycle, the CHRP has drafted its own mid-term report, currently under review by the CHRP Commission en Banc.</w:t>
      </w:r>
    </w:p>
    <w:p w14:paraId="4BC98D32" w14:textId="77777777" w:rsidR="00C53FB6" w:rsidRDefault="00C53FB6">
      <w:pPr>
        <w:spacing w:line="240" w:lineRule="auto"/>
        <w:ind w:left="720"/>
        <w:jc w:val="both"/>
      </w:pPr>
    </w:p>
    <w:p w14:paraId="0E3A85EB" w14:textId="77777777" w:rsidR="00C53FB6" w:rsidRDefault="00C53FB6" w:rsidP="00C53FB6">
      <w:pPr>
        <w:numPr>
          <w:ilvl w:val="0"/>
          <w:numId w:val="1"/>
        </w:numPr>
        <w:spacing w:line="240" w:lineRule="auto"/>
        <w:ind w:left="540"/>
        <w:jc w:val="both"/>
      </w:pPr>
      <w:r>
        <w:t>Domestically, the UPR has enabled the CHRP and CSOs to come together and develop comprehensive priority recommendations (covering economic, social, cultural, civil, and political rights and the rights of various marginalized, disadvantaged, and vulnerable sectors) grounded in national and local experiences. Before the fourth cycle of the UPR, the CHRP and the Council for People’s Development and Governance (CPDG), with support from the Office of the High Commissioner for Human Rights (OHCHR) Manila, formulated joint recommendations</w:t>
      </w:r>
      <w:r>
        <w:rPr>
          <w:vertAlign w:val="superscript"/>
        </w:rPr>
        <w:endnoteReference w:id="8"/>
      </w:r>
      <w:r>
        <w:t xml:space="preserve"> which were shared with the diplomatic community in the Philippines; the diplomatic community through this CHRP-CSO engagement were requested to brief their respective capitals and Permanent Missions in Geneva ahead of the interactive dialogue with the Philippine government in November 2022.</w:t>
      </w:r>
    </w:p>
    <w:p w14:paraId="32E7EBD8" w14:textId="77777777" w:rsidR="00C53FB6" w:rsidRDefault="00C53FB6">
      <w:pPr>
        <w:spacing w:line="240" w:lineRule="auto"/>
        <w:ind w:left="720"/>
        <w:jc w:val="both"/>
      </w:pPr>
    </w:p>
    <w:p w14:paraId="064F7AB0" w14:textId="77777777" w:rsidR="00C53FB6" w:rsidRDefault="00C53FB6" w:rsidP="00C53FB6">
      <w:pPr>
        <w:numPr>
          <w:ilvl w:val="0"/>
          <w:numId w:val="1"/>
        </w:numPr>
        <w:spacing w:line="240" w:lineRule="auto"/>
        <w:ind w:left="540"/>
        <w:jc w:val="both"/>
      </w:pPr>
      <w:r>
        <w:t xml:space="preserve">Since the adoption of the fourth cycle recommendations, the CHRP, OHCHR, and CSOs have monitored the government's implementation progress, developing clear, measurable, and practical indicators to track advancements, identify gaps, and ensure accountability across institutions. From 2023 through the first half of 2025, a series of workshops and consultations were conducted with CSOs to develop structural, process, and outcome indicators addressing thematic and general human rights concerns under the accepted and noted recommendations. These indicators are evidence-based, community-informed, and aligned with international human rights standards. </w:t>
      </w:r>
    </w:p>
    <w:p w14:paraId="322274C6" w14:textId="77777777" w:rsidR="00C53FB6" w:rsidRDefault="00C53FB6">
      <w:pPr>
        <w:spacing w:line="240" w:lineRule="auto"/>
        <w:ind w:left="720"/>
        <w:jc w:val="both"/>
      </w:pPr>
    </w:p>
    <w:p w14:paraId="6EE6AAAA" w14:textId="77777777" w:rsidR="00C53FB6" w:rsidRDefault="00C53FB6" w:rsidP="00C53FB6">
      <w:pPr>
        <w:numPr>
          <w:ilvl w:val="0"/>
          <w:numId w:val="1"/>
        </w:numPr>
        <w:spacing w:line="240" w:lineRule="auto"/>
        <w:ind w:left="540"/>
        <w:jc w:val="both"/>
      </w:pPr>
      <w:r>
        <w:t>The indicators were presented to the Philippine government, where civil society stressed the urgency of pressing human rights concerns affecting human rights defenders, women, children, farmers, fisherfolk, workers (including migrant workers), persons with disabilities, Indigenous Peoples, and LGBTQIA+ individuals, among others. The indicators are designed to be practical and adaptable, enabling government agencies to integrate them into existing implementation, monitoring, reporting, and follow-up mechanisms, and even influence improvements to the country’s National Mechanism for Implementation, Reporting, and Follow-up (NMIRF). The indicators were also presented to the diplomatic community, representing the member States who provided recommendations during the review, as we urge them to apply pressure on the State to act on the supported and noted recommendations.</w:t>
      </w:r>
    </w:p>
    <w:p w14:paraId="222E3AB0" w14:textId="77777777" w:rsidR="00C53FB6" w:rsidRDefault="00C53FB6">
      <w:pPr>
        <w:spacing w:line="240" w:lineRule="auto"/>
        <w:jc w:val="both"/>
      </w:pPr>
    </w:p>
    <w:p w14:paraId="628E4063" w14:textId="77777777" w:rsidR="00C53FB6" w:rsidRDefault="00C53FB6">
      <w:pPr>
        <w:spacing w:line="240" w:lineRule="auto"/>
        <w:jc w:val="both"/>
        <w:rPr>
          <w:i/>
          <w:iCs/>
        </w:rPr>
      </w:pPr>
      <w:r>
        <w:rPr>
          <w:i/>
          <w:iCs/>
        </w:rPr>
        <w:t>II. For the upcoming fifth cycle, please provide suggested innovations that could realistically be introduced regarding NHRI engagement at all stages of the cycle.</w:t>
      </w:r>
    </w:p>
    <w:p w14:paraId="0648F6A0" w14:textId="77777777" w:rsidR="00C53FB6" w:rsidRDefault="00C53FB6">
      <w:pPr>
        <w:spacing w:line="240" w:lineRule="auto"/>
        <w:jc w:val="both"/>
      </w:pPr>
    </w:p>
    <w:p w14:paraId="382A17BD" w14:textId="77777777" w:rsidR="00C53FB6" w:rsidRDefault="00C53FB6" w:rsidP="00C53FB6">
      <w:pPr>
        <w:widowControl w:val="0"/>
        <w:numPr>
          <w:ilvl w:val="0"/>
          <w:numId w:val="1"/>
        </w:numPr>
        <w:spacing w:line="240" w:lineRule="auto"/>
        <w:ind w:left="540"/>
        <w:jc w:val="both"/>
      </w:pPr>
      <w:r>
        <w:t xml:space="preserve">NHRIs and CSOs have modest or limited financial resources to engage physically in the UPR interactive dialogues in Geneva. The UPR Pre-sessions by UPR Info provided a platform for NHRIs and CSOs to directly speak to </w:t>
      </w:r>
      <w:r w:rsidR="0064368C">
        <w:t>r</w:t>
      </w:r>
      <w:r>
        <w:t xml:space="preserve">ecommending States about the current human rights situation in the State under review. The UPR pre-sessions can be officially recognized as a parallel process to the UPR to increase engagement by recommending States, NHRIs, CSOs, and even States under review. Pre-sessions can be adapted and organized at the country-level, in a hybrid format to invite extensive participation from the Missions in Geneva and capitals of recommending States.  </w:t>
      </w:r>
    </w:p>
    <w:p w14:paraId="41DD8FAB" w14:textId="77777777" w:rsidR="00C53FB6" w:rsidRDefault="00C53FB6">
      <w:pPr>
        <w:widowControl w:val="0"/>
        <w:spacing w:line="240" w:lineRule="auto"/>
        <w:ind w:left="720"/>
        <w:jc w:val="both"/>
      </w:pPr>
    </w:p>
    <w:p w14:paraId="6BDD5D13" w14:textId="77777777" w:rsidR="002A6ABE" w:rsidRDefault="00C53FB6" w:rsidP="00C53FB6">
      <w:pPr>
        <w:widowControl w:val="0"/>
        <w:numPr>
          <w:ilvl w:val="0"/>
          <w:numId w:val="1"/>
        </w:numPr>
        <w:spacing w:line="240" w:lineRule="auto"/>
        <w:ind w:left="540"/>
        <w:jc w:val="both"/>
      </w:pPr>
      <w:r>
        <w:t xml:space="preserve">On the assessment of progress of implementation of UPR Recommendations, qualitative and quantitative methods can be utilized, such as the UPR Info’s Implementation Recommendation Index (IRI), which aggregates stakeholder feedback to indicate how </w:t>
      </w:r>
      <w:r>
        <w:lastRenderedPageBreak/>
        <w:t>well the Philippines is fulfilling its commitments.</w:t>
      </w:r>
      <w:r>
        <w:rPr>
          <w:vertAlign w:val="superscript"/>
        </w:rPr>
        <w:endnoteReference w:id="9"/>
      </w:r>
      <w:r>
        <w:t xml:space="preserve"> The expanded index accounts for differing opinions across four implementation categories as suggested by the UPR: not implemented (score of 0), in the process of being implemented (score of 0.33), partially implemented (score of 0.75), and fully implemented (score of 1). The "in the process of being implemented" stage reflects early steps underway, such as initiating legislation that has yet to be enacted. Partial implementation indicates more substantial progress, though full implementation is not complete. The average of these scores is translated into overall implementation classifications as Not Implemented (0–0.32), In the Process of Being Implemented (0.33–0.65), Partially Implemented (0.66–0.74), and Implemented (0.75–1). Through this method, the CHRP was able to identify that the implementation of the fourth cycle UPR recommendations by the Philippines has been mixed, characterized by some progressive reforms, but also with significant gaps and challenges, as documented by the Commission, civil society, and monitoring mechanisms of the UN and international organizations.</w:t>
      </w:r>
      <w:r>
        <w:rPr>
          <w:vertAlign w:val="superscript"/>
        </w:rPr>
        <w:endnoteReference w:id="10"/>
      </w:r>
      <w:r>
        <w:t xml:space="preserve"> </w:t>
      </w:r>
      <w:r w:rsidR="00A668A3">
        <w:t>The UPR itself can recommend to stakeholders a methodology for qualitative and quantitative analysis of recommendations to systematically monitor the progress of implementation.</w:t>
      </w:r>
    </w:p>
    <w:p w14:paraId="0A35E12A" w14:textId="77777777" w:rsidR="002A6ABE" w:rsidRDefault="002A6ABE">
      <w:pPr>
        <w:widowControl w:val="0"/>
        <w:spacing w:line="240" w:lineRule="auto"/>
        <w:jc w:val="both"/>
      </w:pPr>
    </w:p>
    <w:p w14:paraId="500BB716" w14:textId="77777777" w:rsidR="002A6ABE" w:rsidRDefault="00A668A3" w:rsidP="00C53FB6">
      <w:pPr>
        <w:widowControl w:val="0"/>
        <w:numPr>
          <w:ilvl w:val="0"/>
          <w:numId w:val="1"/>
        </w:numPr>
        <w:spacing w:line="240" w:lineRule="auto"/>
        <w:ind w:left="540"/>
        <w:jc w:val="both"/>
      </w:pPr>
      <w:r>
        <w:t>It is important to support NHRI and CSO engagement throughout the whole cycle: from preparation, UPR Working Group session, Human Rights Council adoption of reports, to the national process of follow-up and implementation, including midterm reporting. OHCHR can provide technical and resource support to NHRIs and CSOs and can facilitate the gathering of stakeholders for regular follow-up, formulation of joint recommendations, and development of indicators for implementation, monitoring, reporting, and follow-up mechanisms. NHRI could also benefit from peer learning exercises with other NHRIs, NMIRFs, and CSOs from other countries to learn about their strategies in effectively engaging with the UPR and in monitoring activities.</w:t>
      </w:r>
    </w:p>
    <w:p w14:paraId="6C7BB4FC" w14:textId="77777777" w:rsidR="002A6ABE" w:rsidRDefault="002A6ABE">
      <w:pPr>
        <w:widowControl w:val="0"/>
        <w:spacing w:line="240" w:lineRule="auto"/>
        <w:ind w:left="720"/>
        <w:jc w:val="both"/>
      </w:pPr>
    </w:p>
    <w:p w14:paraId="60DB1A43" w14:textId="77777777" w:rsidR="002A6ABE" w:rsidRDefault="00A668A3" w:rsidP="00C53FB6">
      <w:pPr>
        <w:widowControl w:val="0"/>
        <w:numPr>
          <w:ilvl w:val="0"/>
          <w:numId w:val="1"/>
        </w:numPr>
        <w:spacing w:line="240" w:lineRule="auto"/>
        <w:ind w:left="540"/>
        <w:jc w:val="both"/>
      </w:pPr>
      <w:r>
        <w:t xml:space="preserve">The NHRI and CSOs can support the mainstreaming process through popularization of UPR recommendations, engaging with the national government, and putting pressure on the government to act. NHRIs can facilitate increased exposure of the UPR process through activities such as indicator-setting, live webcasts, and social media visibility campaigns. Such activities provide space for rights–holders to observe and give informed reactions on the proceedings and increase their appreciation of the </w:t>
      </w:r>
      <w:r w:rsidR="000D64CD">
        <w:t>process.</w:t>
      </w:r>
      <w:r>
        <w:t xml:space="preserve"> </w:t>
      </w:r>
    </w:p>
    <w:p w14:paraId="508B59C6" w14:textId="77777777" w:rsidR="002A6ABE" w:rsidRDefault="002A6ABE">
      <w:pPr>
        <w:widowControl w:val="0"/>
        <w:spacing w:line="240" w:lineRule="auto"/>
        <w:jc w:val="both"/>
      </w:pPr>
    </w:p>
    <w:sectPr w:rsidR="002A6ABE" w:rsidSect="00C53FB6">
      <w:headerReference w:type="default" r:id="rId8"/>
      <w:headerReference w:type="first" r:id="rId9"/>
      <w:pgSz w:w="11906" w:h="16838" w:code="9"/>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EB09F" w14:textId="77777777" w:rsidR="000E2A94" w:rsidRDefault="000E2A94">
      <w:pPr>
        <w:spacing w:line="240" w:lineRule="auto"/>
      </w:pPr>
      <w:r>
        <w:separator/>
      </w:r>
    </w:p>
  </w:endnote>
  <w:endnote w:type="continuationSeparator" w:id="0">
    <w:p w14:paraId="7BAB180E" w14:textId="77777777" w:rsidR="000E2A94" w:rsidRDefault="000E2A94">
      <w:pPr>
        <w:spacing w:line="240" w:lineRule="auto"/>
      </w:pPr>
      <w:r>
        <w:continuationSeparator/>
      </w:r>
    </w:p>
  </w:endnote>
  <w:endnote w:id="1">
    <w:p w14:paraId="5D6E7B1E" w14:textId="77777777" w:rsidR="00C53FB6" w:rsidRDefault="00C53FB6">
      <w:pPr>
        <w:spacing w:line="240" w:lineRule="auto"/>
        <w:rPr>
          <w:rFonts w:ascii="Calibri" w:eastAsia="Calibri" w:hAnsi="Calibri" w:cs="Calibri"/>
          <w:i/>
          <w:iCs/>
          <w:sz w:val="16"/>
          <w:szCs w:val="16"/>
        </w:rPr>
      </w:pPr>
      <w:r>
        <w:rPr>
          <w:vertAlign w:val="superscript"/>
        </w:rPr>
        <w:endnoteRef/>
      </w:r>
      <w:r w:rsidR="000D64CD">
        <w:rPr>
          <w:sz w:val="20"/>
          <w:szCs w:val="20"/>
        </w:rPr>
        <w:t xml:space="preserve"> </w:t>
      </w:r>
      <w:r>
        <w:rPr>
          <w:rFonts w:ascii="Calibri" w:eastAsia="Calibri" w:hAnsi="Calibri" w:cs="Calibri"/>
          <w:sz w:val="16"/>
          <w:szCs w:val="16"/>
        </w:rPr>
        <w:t xml:space="preserve">Commission on Human Rights of the Philippines, Handbook on the UPR Process of the 1st and 2nd Cycle Re view, </w:t>
      </w:r>
      <w:r>
        <w:rPr>
          <w:rFonts w:ascii="Calibri" w:eastAsia="Calibri" w:hAnsi="Calibri" w:cs="Calibri"/>
          <w:i/>
          <w:iCs/>
          <w:sz w:val="16"/>
          <w:szCs w:val="16"/>
        </w:rPr>
        <w:t xml:space="preserve">file available with </w:t>
      </w:r>
      <w:r w:rsidR="000D64CD">
        <w:rPr>
          <w:rFonts w:ascii="Calibri" w:eastAsia="Calibri" w:hAnsi="Calibri" w:cs="Calibri"/>
          <w:i/>
          <w:iCs/>
          <w:sz w:val="16"/>
          <w:szCs w:val="16"/>
        </w:rPr>
        <w:t>CHRP</w:t>
      </w:r>
    </w:p>
  </w:endnote>
  <w:endnote w:id="2">
    <w:p w14:paraId="72761632" w14:textId="77777777" w:rsidR="00C53FB6" w:rsidRPr="00B8282D" w:rsidRDefault="00C53FB6">
      <w:pPr>
        <w:spacing w:line="240" w:lineRule="auto"/>
        <w:rPr>
          <w:rFonts w:ascii="Calibri" w:eastAsia="Calibri" w:hAnsi="Calibri" w:cs="Calibri"/>
          <w:i/>
          <w:iCs/>
          <w:sz w:val="16"/>
          <w:szCs w:val="16"/>
        </w:rPr>
      </w:pPr>
      <w:r>
        <w:rPr>
          <w:vertAlign w:val="superscript"/>
        </w:rPr>
        <w:endnoteRef/>
      </w:r>
      <w:r>
        <w:rPr>
          <w:sz w:val="20"/>
          <w:szCs w:val="20"/>
        </w:rPr>
        <w:t xml:space="preserve"> </w:t>
      </w:r>
      <w:r>
        <w:rPr>
          <w:rFonts w:ascii="Calibri" w:eastAsia="Calibri" w:hAnsi="Calibri" w:cs="Calibri"/>
          <w:sz w:val="16"/>
          <w:szCs w:val="16"/>
        </w:rPr>
        <w:t xml:space="preserve">Commission on Human Rights of the Philippines, Statement, UPR Pre-Session of the Philippines, 4 April 2017, </w:t>
      </w:r>
      <w:r>
        <w:rPr>
          <w:rFonts w:ascii="Calibri" w:eastAsia="Calibri" w:hAnsi="Calibri" w:cs="Calibri"/>
          <w:i/>
          <w:iCs/>
          <w:sz w:val="16"/>
          <w:szCs w:val="16"/>
        </w:rPr>
        <w:t xml:space="preserve">available at </w:t>
      </w:r>
      <w:r w:rsidRPr="00B8282D">
        <w:rPr>
          <w:rFonts w:ascii="Calibri" w:eastAsia="Calibri" w:hAnsi="Calibri" w:cs="Calibri"/>
          <w:i/>
          <w:iCs/>
          <w:sz w:val="16"/>
          <w:szCs w:val="16"/>
          <w:u w:val="single"/>
        </w:rPr>
        <w:t>https://chr.gov.ph/chr-resource/hra-and-policy-papers-5th-commission-2017/</w:t>
      </w:r>
    </w:p>
  </w:endnote>
  <w:endnote w:id="3">
    <w:p w14:paraId="373E765F" w14:textId="77777777" w:rsidR="00C53FB6" w:rsidRDefault="00C53FB6">
      <w:pPr>
        <w:spacing w:line="240" w:lineRule="auto"/>
        <w:rPr>
          <w:rFonts w:ascii="Calibri" w:eastAsia="Calibri" w:hAnsi="Calibri" w:cs="Calibri"/>
          <w:i/>
          <w:iCs/>
          <w:sz w:val="16"/>
          <w:szCs w:val="16"/>
        </w:rPr>
      </w:pPr>
      <w:r>
        <w:rPr>
          <w:vertAlign w:val="superscript"/>
        </w:rPr>
        <w:endnoteRef/>
      </w:r>
      <w:r>
        <w:rPr>
          <w:sz w:val="20"/>
          <w:szCs w:val="20"/>
        </w:rPr>
        <w:t xml:space="preserve"> </w:t>
      </w:r>
      <w:r>
        <w:rPr>
          <w:rFonts w:ascii="Calibri" w:eastAsia="Calibri" w:hAnsi="Calibri" w:cs="Calibri"/>
          <w:sz w:val="16"/>
          <w:szCs w:val="16"/>
        </w:rPr>
        <w:t xml:space="preserve">Global Alliance of National Human Rights Institutions, 2022 Training Course for NHRIs on International Human Rights Mechanisms, </w:t>
      </w:r>
      <w:r>
        <w:rPr>
          <w:rFonts w:ascii="Calibri" w:eastAsia="Calibri" w:hAnsi="Calibri" w:cs="Calibri"/>
          <w:i/>
          <w:iCs/>
          <w:sz w:val="16"/>
          <w:szCs w:val="16"/>
        </w:rPr>
        <w:t>available at</w:t>
      </w:r>
      <w:r>
        <w:rPr>
          <w:rFonts w:ascii="Calibri" w:eastAsia="Calibri" w:hAnsi="Calibri" w:cs="Calibri"/>
          <w:sz w:val="16"/>
          <w:szCs w:val="16"/>
        </w:rPr>
        <w:t xml:space="preserve"> </w:t>
      </w:r>
      <w:r w:rsidRPr="00B8282D">
        <w:rPr>
          <w:rFonts w:ascii="Calibri" w:eastAsia="Calibri" w:hAnsi="Calibri" w:cs="Calibri"/>
          <w:sz w:val="16"/>
          <w:szCs w:val="16"/>
          <w:u w:val="single"/>
        </w:rPr>
        <w:t>https://ganhri.org/event/2022-nhri-training-course/</w:t>
      </w:r>
      <w:r w:rsidRPr="00B8282D">
        <w:rPr>
          <w:rFonts w:ascii="Calibri" w:eastAsia="Calibri" w:hAnsi="Calibri" w:cs="Calibri"/>
          <w:i/>
          <w:iCs/>
          <w:sz w:val="16"/>
          <w:szCs w:val="16"/>
        </w:rPr>
        <w:t xml:space="preserve"> </w:t>
      </w:r>
      <w:r>
        <w:rPr>
          <w:rFonts w:ascii="Calibri" w:eastAsia="Calibri" w:hAnsi="Calibri" w:cs="Calibri"/>
          <w:sz w:val="16"/>
          <w:szCs w:val="16"/>
        </w:rPr>
        <w:t>(last accessed 27 January 2026)</w:t>
      </w:r>
      <w:r>
        <w:rPr>
          <w:rFonts w:ascii="Calibri" w:eastAsia="Calibri" w:hAnsi="Calibri" w:cs="Calibri"/>
          <w:i/>
          <w:iCs/>
          <w:sz w:val="16"/>
          <w:szCs w:val="16"/>
        </w:rPr>
        <w:t xml:space="preserve"> </w:t>
      </w:r>
    </w:p>
  </w:endnote>
  <w:endnote w:id="4">
    <w:p w14:paraId="724FFE3D" w14:textId="77777777" w:rsidR="00C53FB6" w:rsidRDefault="00C53FB6">
      <w:pPr>
        <w:spacing w:line="240" w:lineRule="auto"/>
        <w:rPr>
          <w:rFonts w:ascii="Calibri" w:eastAsia="Calibri" w:hAnsi="Calibri" w:cs="Calibri"/>
          <w:i/>
          <w:iCs/>
          <w:sz w:val="16"/>
          <w:szCs w:val="16"/>
        </w:rPr>
      </w:pPr>
      <w:r>
        <w:rPr>
          <w:vertAlign w:val="superscript"/>
        </w:rPr>
        <w:endnoteRef/>
      </w:r>
      <w:r>
        <w:rPr>
          <w:sz w:val="20"/>
          <w:szCs w:val="20"/>
        </w:rPr>
        <w:t xml:space="preserve"> </w:t>
      </w:r>
      <w:r>
        <w:rPr>
          <w:rFonts w:ascii="Calibri" w:eastAsia="Calibri" w:hAnsi="Calibri" w:cs="Calibri"/>
          <w:sz w:val="16"/>
          <w:szCs w:val="16"/>
        </w:rPr>
        <w:t xml:space="preserve">Commission on Human Rights of the Philippines, Facebook, 2022, </w:t>
      </w:r>
      <w:r>
        <w:rPr>
          <w:rFonts w:ascii="Calibri" w:eastAsia="Calibri" w:hAnsi="Calibri" w:cs="Calibri"/>
          <w:i/>
          <w:iCs/>
          <w:sz w:val="16"/>
          <w:szCs w:val="16"/>
        </w:rPr>
        <w:t xml:space="preserve">available at </w:t>
      </w:r>
      <w:r w:rsidRPr="00B8282D">
        <w:rPr>
          <w:rFonts w:ascii="Calibri" w:eastAsia="Calibri" w:hAnsi="Calibri" w:cs="Calibri"/>
          <w:sz w:val="16"/>
          <w:szCs w:val="16"/>
          <w:u w:val="single"/>
        </w:rPr>
        <w:t>https://www.facebook.com/share/p/1RPm1Y9Dng/</w:t>
      </w:r>
      <w:r>
        <w:rPr>
          <w:rFonts w:ascii="Calibri" w:eastAsia="Calibri" w:hAnsi="Calibri" w:cs="Calibri"/>
          <w:sz w:val="16"/>
          <w:szCs w:val="16"/>
        </w:rPr>
        <w:t xml:space="preserve"> (last accessed 26 January 2026)</w:t>
      </w:r>
    </w:p>
  </w:endnote>
  <w:endnote w:id="5">
    <w:p w14:paraId="01D9614D" w14:textId="77777777" w:rsidR="00C53FB6" w:rsidRDefault="00C53FB6">
      <w:pPr>
        <w:spacing w:line="240" w:lineRule="auto"/>
        <w:rPr>
          <w:rFonts w:ascii="Calibri" w:eastAsia="Calibri" w:hAnsi="Calibri" w:cs="Calibri"/>
          <w:i/>
          <w:iCs/>
          <w:sz w:val="16"/>
          <w:szCs w:val="16"/>
        </w:rPr>
      </w:pPr>
      <w:r>
        <w:rPr>
          <w:vertAlign w:val="superscript"/>
        </w:rPr>
        <w:endnoteRef/>
      </w:r>
      <w:r>
        <w:rPr>
          <w:sz w:val="20"/>
          <w:szCs w:val="20"/>
        </w:rPr>
        <w:t xml:space="preserve"> </w:t>
      </w:r>
      <w:r>
        <w:rPr>
          <w:rFonts w:ascii="Calibri" w:eastAsia="Calibri" w:hAnsi="Calibri" w:cs="Calibri"/>
          <w:sz w:val="16"/>
          <w:szCs w:val="16"/>
        </w:rPr>
        <w:t xml:space="preserve">Commission on Human Rights of the Philippines, Human Rights Advisory on the Accepted and Noted Recommendations by the Philippines during the Fourth Cycle of the Universal Periodic Review, [CHR (VI) A2023-005], (5 December 2023), </w:t>
      </w:r>
      <w:r>
        <w:rPr>
          <w:rFonts w:ascii="Calibri" w:eastAsia="Calibri" w:hAnsi="Calibri" w:cs="Calibri"/>
          <w:i/>
          <w:iCs/>
          <w:sz w:val="16"/>
          <w:szCs w:val="16"/>
        </w:rPr>
        <w:t>file available with CHRP</w:t>
      </w:r>
    </w:p>
  </w:endnote>
  <w:endnote w:id="6">
    <w:p w14:paraId="0B767342" w14:textId="77777777" w:rsidR="00C53FB6" w:rsidRDefault="00C53FB6">
      <w:pPr>
        <w:spacing w:line="240" w:lineRule="auto"/>
        <w:rPr>
          <w:rFonts w:ascii="Calibri" w:eastAsia="Calibri" w:hAnsi="Calibri" w:cs="Calibri"/>
          <w:i/>
          <w:iCs/>
          <w:sz w:val="16"/>
          <w:szCs w:val="16"/>
        </w:rPr>
      </w:pPr>
      <w:r>
        <w:rPr>
          <w:vertAlign w:val="superscript"/>
        </w:rPr>
        <w:endnoteRef/>
      </w:r>
      <w:r>
        <w:rPr>
          <w:sz w:val="20"/>
          <w:szCs w:val="20"/>
        </w:rPr>
        <w:t xml:space="preserve"> </w:t>
      </w:r>
      <w:r>
        <w:rPr>
          <w:rFonts w:ascii="Calibri" w:eastAsia="Calibri" w:hAnsi="Calibri" w:cs="Calibri"/>
          <w:sz w:val="16"/>
          <w:szCs w:val="16"/>
        </w:rPr>
        <w:t xml:space="preserve">Commission on Human Rights of the Philippines, Human Rights Advisory on the Accepted and Noted Recommendations by the Philippines during the Third Cycle of the Universal Periodic Review, [CHR (V) A2018-001], (29 January 2018), </w:t>
      </w:r>
      <w:r>
        <w:rPr>
          <w:rFonts w:ascii="Calibri" w:eastAsia="Calibri" w:hAnsi="Calibri" w:cs="Calibri"/>
          <w:i/>
          <w:iCs/>
          <w:sz w:val="16"/>
          <w:szCs w:val="16"/>
        </w:rPr>
        <w:t xml:space="preserve">available at </w:t>
      </w:r>
      <w:r w:rsidRPr="00B8282D">
        <w:rPr>
          <w:rFonts w:ascii="Calibri" w:eastAsia="Calibri" w:hAnsi="Calibri" w:cs="Calibri"/>
          <w:sz w:val="16"/>
          <w:szCs w:val="16"/>
          <w:u w:val="single"/>
        </w:rPr>
        <w:t>https://chr.gov.ph/2018/policy-advisory/human-rights-advisory-on-the-accepted-and-noted-recommendations-by-the-philippines-during-the-third-cycle-of-the-universal-periodic-review-chr-a2018-001/</w:t>
      </w:r>
    </w:p>
  </w:endnote>
  <w:endnote w:id="7">
    <w:p w14:paraId="5A306BDE" w14:textId="77777777" w:rsidR="00C53FB6" w:rsidRDefault="00C53FB6">
      <w:pPr>
        <w:spacing w:line="240" w:lineRule="auto"/>
        <w:rPr>
          <w:rFonts w:ascii="Calibri" w:eastAsia="Calibri" w:hAnsi="Calibri" w:cs="Calibri"/>
          <w:i/>
          <w:iCs/>
          <w:sz w:val="16"/>
          <w:szCs w:val="16"/>
        </w:rPr>
      </w:pPr>
      <w:r>
        <w:rPr>
          <w:vertAlign w:val="superscript"/>
        </w:rPr>
        <w:endnoteRef/>
      </w:r>
      <w:r>
        <w:rPr>
          <w:sz w:val="20"/>
          <w:szCs w:val="20"/>
        </w:rPr>
        <w:t xml:space="preserve"> </w:t>
      </w:r>
      <w:r>
        <w:rPr>
          <w:rFonts w:ascii="Calibri" w:eastAsia="Calibri" w:hAnsi="Calibri" w:cs="Calibri"/>
          <w:sz w:val="16"/>
          <w:szCs w:val="16"/>
        </w:rPr>
        <w:t xml:space="preserve">Commission on Human Rights of the Philippines, Advisory on Follow-up to the Accepted Recommendations by the Philippines during the Third Cycle of the Universal Periodic Review, [CHR (V) A2020-019], 19 August 2020, </w:t>
      </w:r>
      <w:r>
        <w:rPr>
          <w:rFonts w:ascii="Calibri" w:eastAsia="Calibri" w:hAnsi="Calibri" w:cs="Calibri"/>
          <w:i/>
          <w:iCs/>
          <w:sz w:val="16"/>
          <w:szCs w:val="16"/>
        </w:rPr>
        <w:t>file copy available with CHRP</w:t>
      </w:r>
    </w:p>
  </w:endnote>
  <w:endnote w:id="8">
    <w:p w14:paraId="0EA6F9A9" w14:textId="77777777" w:rsidR="00C53FB6" w:rsidRDefault="00C53FB6">
      <w:pPr>
        <w:spacing w:line="240" w:lineRule="auto"/>
        <w:rPr>
          <w:rFonts w:ascii="Calibri" w:eastAsia="Calibri" w:hAnsi="Calibri" w:cs="Calibri"/>
          <w:i/>
          <w:iCs/>
          <w:sz w:val="16"/>
          <w:szCs w:val="16"/>
        </w:rPr>
      </w:pPr>
      <w:r>
        <w:rPr>
          <w:vertAlign w:val="superscript"/>
        </w:rPr>
        <w:endnoteRef/>
      </w:r>
      <w:r>
        <w:rPr>
          <w:sz w:val="20"/>
          <w:szCs w:val="20"/>
        </w:rPr>
        <w:t xml:space="preserve"> </w:t>
      </w:r>
      <w:r>
        <w:rPr>
          <w:rFonts w:ascii="Calibri" w:eastAsia="Calibri" w:hAnsi="Calibri" w:cs="Calibri"/>
          <w:sz w:val="16"/>
          <w:szCs w:val="16"/>
        </w:rPr>
        <w:t xml:space="preserve">Commission on Human Rights, Joint Recommendations of the Commission on Human Rights and Civil Society Organizations to the United Nations Universal Periodic Review (4th Cycle), September 2022, </w:t>
      </w:r>
      <w:r>
        <w:rPr>
          <w:rFonts w:ascii="Calibri" w:eastAsia="Calibri" w:hAnsi="Calibri" w:cs="Calibri"/>
          <w:i/>
          <w:iCs/>
          <w:sz w:val="16"/>
          <w:szCs w:val="16"/>
        </w:rPr>
        <w:t>file available with CHRP</w:t>
      </w:r>
    </w:p>
  </w:endnote>
  <w:endnote w:id="9">
    <w:p w14:paraId="36C480AB" w14:textId="77777777" w:rsidR="00C53FB6" w:rsidRDefault="00C53FB6">
      <w:pPr>
        <w:spacing w:line="240" w:lineRule="auto"/>
        <w:rPr>
          <w:rFonts w:ascii="Georgia" w:eastAsia="Georgia" w:hAnsi="Georgia" w:cs="Georgia"/>
          <w:sz w:val="20"/>
          <w:szCs w:val="20"/>
        </w:rPr>
      </w:pPr>
      <w:r>
        <w:rPr>
          <w:vertAlign w:val="superscript"/>
        </w:rPr>
        <w:endnoteRef/>
      </w:r>
      <w:r>
        <w:rPr>
          <w:rFonts w:ascii="Georgia" w:eastAsia="Georgia" w:hAnsi="Georgia" w:cs="Georgia"/>
          <w:sz w:val="21"/>
          <w:szCs w:val="21"/>
        </w:rPr>
        <w:t xml:space="preserve"> </w:t>
      </w:r>
      <w:r>
        <w:rPr>
          <w:rFonts w:ascii="Calibri" w:eastAsia="Calibri" w:hAnsi="Calibri" w:cs="Calibri"/>
          <w:sz w:val="16"/>
          <w:szCs w:val="16"/>
        </w:rPr>
        <w:t xml:space="preserve">UPR info, </w:t>
      </w:r>
      <w:r>
        <w:rPr>
          <w:rFonts w:ascii="Calibri" w:eastAsia="Calibri" w:hAnsi="Calibri" w:cs="Calibri"/>
          <w:i/>
          <w:iCs/>
          <w:sz w:val="16"/>
          <w:szCs w:val="16"/>
        </w:rPr>
        <w:t>On the road to implementation</w:t>
      </w:r>
      <w:r>
        <w:rPr>
          <w:rFonts w:ascii="Calibri" w:eastAsia="Calibri" w:hAnsi="Calibri" w:cs="Calibri"/>
          <w:sz w:val="16"/>
          <w:szCs w:val="16"/>
        </w:rPr>
        <w:t xml:space="preserve">, (Oct. 2012), </w:t>
      </w:r>
      <w:r>
        <w:rPr>
          <w:rFonts w:ascii="Calibri" w:eastAsia="Calibri" w:hAnsi="Calibri" w:cs="Calibri"/>
          <w:i/>
          <w:iCs/>
          <w:sz w:val="16"/>
          <w:szCs w:val="16"/>
        </w:rPr>
        <w:t xml:space="preserve">available at </w:t>
      </w:r>
      <w:r w:rsidRPr="00B8282D">
        <w:rPr>
          <w:rFonts w:ascii="Calibri" w:eastAsia="Calibri" w:hAnsi="Calibri" w:cs="Calibri"/>
          <w:sz w:val="16"/>
          <w:szCs w:val="16"/>
          <w:u w:val="single"/>
        </w:rPr>
        <w:t xml:space="preserve">https://upr-info.org/sites/default/files/documents/2012-10/2012_on_the_road_to_implementation.pdf </w:t>
      </w:r>
    </w:p>
  </w:endnote>
  <w:endnote w:id="10">
    <w:p w14:paraId="2B88E369" w14:textId="77777777" w:rsidR="00C53FB6" w:rsidRDefault="00C53FB6">
      <w:pPr>
        <w:spacing w:line="240" w:lineRule="auto"/>
        <w:rPr>
          <w:rFonts w:ascii="Calibri" w:eastAsia="Calibri" w:hAnsi="Calibri" w:cs="Calibri"/>
          <w:sz w:val="16"/>
          <w:szCs w:val="16"/>
        </w:rPr>
      </w:pPr>
      <w:r>
        <w:rPr>
          <w:vertAlign w:val="superscript"/>
        </w:rPr>
        <w:endnoteRef/>
      </w:r>
      <w:r>
        <w:rPr>
          <w:rFonts w:ascii="Calibri" w:eastAsia="Calibri" w:hAnsi="Calibri" w:cs="Calibri"/>
          <w:sz w:val="20"/>
          <w:szCs w:val="20"/>
        </w:rPr>
        <w:t xml:space="preserve"> </w:t>
      </w:r>
      <w:r>
        <w:rPr>
          <w:rFonts w:ascii="Calibri" w:eastAsia="Calibri" w:hAnsi="Calibri" w:cs="Calibri"/>
          <w:sz w:val="16"/>
          <w:szCs w:val="16"/>
        </w:rPr>
        <w:t xml:space="preserve">Office of the United Nations High Commissioner for Human Rights (OHCHR), Philippines Office, </w:t>
      </w:r>
      <w:r>
        <w:rPr>
          <w:rFonts w:ascii="Calibri" w:eastAsia="Calibri" w:hAnsi="Calibri" w:cs="Calibri"/>
          <w:i/>
          <w:iCs/>
          <w:sz w:val="16"/>
          <w:szCs w:val="16"/>
        </w:rPr>
        <w:t xml:space="preserve">available at </w:t>
      </w:r>
      <w:r w:rsidRPr="00B8282D">
        <w:rPr>
          <w:rFonts w:ascii="Calibri" w:eastAsia="Calibri" w:hAnsi="Calibri" w:cs="Calibri"/>
          <w:sz w:val="16"/>
          <w:szCs w:val="16"/>
          <w:u w:val="single"/>
        </w:rPr>
        <w:t>https://www.ohchr.org/en/countries/philippines</w:t>
      </w:r>
      <w:r w:rsidRPr="00B8282D">
        <w:rPr>
          <w:rFonts w:ascii="Calibri" w:eastAsia="Calibri" w:hAnsi="Calibri" w:cs="Calibri"/>
          <w:sz w:val="16"/>
          <w:szCs w:val="16"/>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2A9F201C-0FFD-4754-9C44-A66992F5F12F}"/>
  </w:font>
  <w:font w:name="Calibri">
    <w:panose1 w:val="020F0502020204030204"/>
    <w:charset w:val="00"/>
    <w:family w:val="swiss"/>
    <w:pitch w:val="variable"/>
    <w:sig w:usb0="E4002EFF" w:usb1="C200247B" w:usb2="00000009" w:usb3="00000000" w:csb0="000001FF" w:csb1="00000000"/>
    <w:embedRegular r:id="rId2" w:fontKey="{F077BF4D-CC95-40CF-810C-BC3B3F4495C2}"/>
    <w:embedItalic r:id="rId3" w:fontKey="{E84A1A22-AEB6-4434-97E0-3F10D783CF8A}"/>
  </w:font>
  <w:font w:name="Georgia">
    <w:panose1 w:val="02040502050405020303"/>
    <w:charset w:val="00"/>
    <w:family w:val="roman"/>
    <w:pitch w:val="variable"/>
    <w:sig w:usb0="00000287" w:usb1="00000000" w:usb2="00000000" w:usb3="00000000" w:csb0="0000009F" w:csb1="00000000"/>
    <w:embedRegular r:id="rId4" w:fontKey="{37B5CAD1-B922-4CD0-B837-B30B2146104D}"/>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5" w:fontKey="{B55EE045-8BA4-4D10-B002-A4B791DE68A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8E22A" w14:textId="77777777" w:rsidR="000E2A94" w:rsidRDefault="000E2A94">
      <w:pPr>
        <w:spacing w:line="240" w:lineRule="auto"/>
      </w:pPr>
      <w:r>
        <w:separator/>
      </w:r>
    </w:p>
  </w:footnote>
  <w:footnote w:type="continuationSeparator" w:id="0">
    <w:p w14:paraId="6C446748" w14:textId="77777777" w:rsidR="000E2A94" w:rsidRDefault="000E2A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107BE" w14:textId="77777777" w:rsidR="002A6ABE" w:rsidRDefault="002A6ABE">
    <w:pPr>
      <w:jc w:val="center"/>
      <w:rPr>
        <w:rFonts w:ascii="Georgia" w:eastAsia="Georgia" w:hAnsi="Georgia" w:cs="Georgia"/>
        <w:sz w:val="24"/>
        <w:szCs w:val="24"/>
      </w:rPr>
    </w:pPr>
  </w:p>
  <w:p w14:paraId="1272E43C" w14:textId="77777777" w:rsidR="002A6ABE" w:rsidRDefault="002A6ABE">
    <w:pPr>
      <w:jc w:val="center"/>
      <w:rPr>
        <w:rFonts w:ascii="Georgia" w:eastAsia="Georgia" w:hAnsi="Georgia" w:cs="Georgia"/>
        <w:sz w:val="24"/>
        <w:szCs w:val="24"/>
      </w:rPr>
    </w:pPr>
  </w:p>
  <w:p w14:paraId="5CAA8DF6" w14:textId="77777777" w:rsidR="002A6ABE" w:rsidRDefault="002A6ABE">
    <w:pPr>
      <w:jc w:val="center"/>
      <w:rPr>
        <w:rFonts w:ascii="Georgia" w:eastAsia="Georgia" w:hAnsi="Georgia" w:cs="Georgia"/>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DDA27" w14:textId="77777777" w:rsidR="002A6ABE" w:rsidRDefault="00A668A3">
    <w:pPr>
      <w:jc w:val="center"/>
    </w:pPr>
    <w:r>
      <w:rPr>
        <w:rFonts w:ascii="Georgia" w:eastAsia="Georgia" w:hAnsi="Georgia" w:cs="Georgia"/>
        <w:noProof/>
        <w:sz w:val="24"/>
        <w:szCs w:val="24"/>
      </w:rPr>
      <w:drawing>
        <wp:inline distT="114300" distB="114300" distL="114300" distR="114300" wp14:anchorId="248E257D" wp14:editId="7C40ECB2">
          <wp:extent cx="3451786" cy="1404938"/>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12238" b="12238"/>
                  <a:stretch>
                    <a:fillRect/>
                  </a:stretch>
                </pic:blipFill>
                <pic:spPr>
                  <a:xfrm>
                    <a:off x="0" y="0"/>
                    <a:ext cx="3451786" cy="140493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943E2D"/>
    <w:multiLevelType w:val="multilevel"/>
    <w:tmpl w:val="25E891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41736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ABE"/>
    <w:rsid w:val="00035AF6"/>
    <w:rsid w:val="000C69C5"/>
    <w:rsid w:val="000D64CD"/>
    <w:rsid w:val="000E2A94"/>
    <w:rsid w:val="00230634"/>
    <w:rsid w:val="002A6ABE"/>
    <w:rsid w:val="0064368C"/>
    <w:rsid w:val="007313FC"/>
    <w:rsid w:val="00A3199F"/>
    <w:rsid w:val="00A668A3"/>
    <w:rsid w:val="00B13066"/>
    <w:rsid w:val="00B8282D"/>
    <w:rsid w:val="00C53FB6"/>
    <w:rsid w:val="00D81DA7"/>
  </w:rsids>
  <m:mathPr>
    <m:mathFont m:val="Cambria Math"/>
    <m:brkBin m:val="before"/>
    <m:brkBinSub m:val="--"/>
    <m:smallFrac m:val="0"/>
    <m:dispDef/>
    <m:lMargin m:val="0"/>
    <m:rMargin m:val="0"/>
    <m:defJc m:val="centerGroup"/>
    <m:wrapIndent m:val="1440"/>
    <m:intLim m:val="subSup"/>
    <m:naryLim m:val="undOvr"/>
  </m:mathPr>
  <w:themeFontLang w:val="en-P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C317D"/>
  <w15:docId w15:val="{D4839128-85B2-4345-9F0E-33D981A95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PH"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53F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FB6"/>
    <w:rPr>
      <w:rFonts w:ascii="Segoe UI" w:hAnsi="Segoe UI" w:cs="Segoe UI"/>
      <w:sz w:val="18"/>
      <w:szCs w:val="18"/>
    </w:rPr>
  </w:style>
  <w:style w:type="paragraph" w:styleId="EndnoteText">
    <w:name w:val="endnote text"/>
    <w:basedOn w:val="Normal"/>
    <w:link w:val="EndnoteTextChar"/>
    <w:uiPriority w:val="99"/>
    <w:semiHidden/>
    <w:unhideWhenUsed/>
    <w:rsid w:val="00C53FB6"/>
    <w:pPr>
      <w:spacing w:line="240" w:lineRule="auto"/>
    </w:pPr>
    <w:rPr>
      <w:sz w:val="20"/>
      <w:szCs w:val="20"/>
    </w:rPr>
  </w:style>
  <w:style w:type="character" w:customStyle="1" w:styleId="EndnoteTextChar">
    <w:name w:val="Endnote Text Char"/>
    <w:basedOn w:val="DefaultParagraphFont"/>
    <w:link w:val="EndnoteText"/>
    <w:uiPriority w:val="99"/>
    <w:semiHidden/>
    <w:rsid w:val="00C53FB6"/>
    <w:rPr>
      <w:sz w:val="20"/>
      <w:szCs w:val="20"/>
    </w:rPr>
  </w:style>
  <w:style w:type="paragraph" w:styleId="FootnoteText">
    <w:name w:val="footnote text"/>
    <w:basedOn w:val="Normal"/>
    <w:link w:val="FootnoteTextChar"/>
    <w:uiPriority w:val="99"/>
    <w:semiHidden/>
    <w:unhideWhenUsed/>
    <w:rsid w:val="00C53FB6"/>
    <w:pPr>
      <w:spacing w:line="240" w:lineRule="auto"/>
    </w:pPr>
    <w:rPr>
      <w:sz w:val="20"/>
      <w:szCs w:val="20"/>
    </w:rPr>
  </w:style>
  <w:style w:type="character" w:customStyle="1" w:styleId="FootnoteTextChar">
    <w:name w:val="Footnote Text Char"/>
    <w:basedOn w:val="DefaultParagraphFont"/>
    <w:link w:val="FootnoteText"/>
    <w:uiPriority w:val="99"/>
    <w:semiHidden/>
    <w:rsid w:val="00C53FB6"/>
    <w:rPr>
      <w:sz w:val="20"/>
      <w:szCs w:val="20"/>
    </w:rPr>
  </w:style>
  <w:style w:type="character" w:styleId="EndnoteReference">
    <w:name w:val="endnote reference"/>
    <w:basedOn w:val="DefaultParagraphFont"/>
    <w:uiPriority w:val="99"/>
    <w:semiHidden/>
    <w:unhideWhenUsed/>
    <w:rsid w:val="00C53FB6"/>
    <w:rPr>
      <w:vertAlign w:val="superscript"/>
    </w:rPr>
  </w:style>
  <w:style w:type="character" w:styleId="FootnoteReference">
    <w:name w:val="footnote reference"/>
    <w:basedOn w:val="DefaultParagraphFont"/>
    <w:uiPriority w:val="99"/>
    <w:semiHidden/>
    <w:unhideWhenUsed/>
    <w:rsid w:val="00C53FB6"/>
    <w:rPr>
      <w:vertAlign w:val="superscript"/>
    </w:rPr>
  </w:style>
  <w:style w:type="character" w:styleId="Hyperlink">
    <w:name w:val="Hyperlink"/>
    <w:basedOn w:val="DefaultParagraphFont"/>
    <w:uiPriority w:val="99"/>
    <w:unhideWhenUsed/>
    <w:rsid w:val="00C53FB6"/>
    <w:rPr>
      <w:color w:val="0000FF" w:themeColor="hyperlink"/>
      <w:u w:val="single"/>
    </w:rPr>
  </w:style>
  <w:style w:type="character" w:styleId="UnresolvedMention">
    <w:name w:val="Unresolved Mention"/>
    <w:basedOn w:val="DefaultParagraphFont"/>
    <w:uiPriority w:val="99"/>
    <w:semiHidden/>
    <w:unhideWhenUsed/>
    <w:rsid w:val="00C53FB6"/>
    <w:rPr>
      <w:color w:val="605E5C"/>
      <w:shd w:val="clear" w:color="auto" w:fill="E1DFDD"/>
    </w:rPr>
  </w:style>
  <w:style w:type="paragraph" w:styleId="Header">
    <w:name w:val="header"/>
    <w:basedOn w:val="Normal"/>
    <w:link w:val="HeaderChar"/>
    <w:uiPriority w:val="99"/>
    <w:unhideWhenUsed/>
    <w:rsid w:val="000D64CD"/>
    <w:pPr>
      <w:tabs>
        <w:tab w:val="center" w:pos="4680"/>
        <w:tab w:val="right" w:pos="9360"/>
      </w:tabs>
      <w:spacing w:line="240" w:lineRule="auto"/>
    </w:pPr>
  </w:style>
  <w:style w:type="character" w:customStyle="1" w:styleId="HeaderChar">
    <w:name w:val="Header Char"/>
    <w:basedOn w:val="DefaultParagraphFont"/>
    <w:link w:val="Header"/>
    <w:uiPriority w:val="99"/>
    <w:rsid w:val="000D64CD"/>
  </w:style>
  <w:style w:type="paragraph" w:styleId="Footer">
    <w:name w:val="footer"/>
    <w:basedOn w:val="Normal"/>
    <w:link w:val="FooterChar"/>
    <w:uiPriority w:val="99"/>
    <w:unhideWhenUsed/>
    <w:rsid w:val="000D64CD"/>
    <w:pPr>
      <w:tabs>
        <w:tab w:val="center" w:pos="4680"/>
        <w:tab w:val="right" w:pos="9360"/>
      </w:tabs>
      <w:spacing w:line="240" w:lineRule="auto"/>
    </w:pPr>
  </w:style>
  <w:style w:type="character" w:customStyle="1" w:styleId="FooterChar">
    <w:name w:val="Footer Char"/>
    <w:basedOn w:val="DefaultParagraphFont"/>
    <w:link w:val="Footer"/>
    <w:uiPriority w:val="99"/>
    <w:rsid w:val="000D6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Philippines - Commission on Human Rights of the Philippines</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77575A9A-3BB6-4C05-A15F-1F7F7F8266CD}">
  <ds:schemaRefs>
    <ds:schemaRef ds:uri="http://schemas.openxmlformats.org/officeDocument/2006/bibliography"/>
  </ds:schemaRefs>
</ds:datastoreItem>
</file>

<file path=customXml/itemProps2.xml><?xml version="1.0" encoding="utf-8"?>
<ds:datastoreItem xmlns:ds="http://schemas.openxmlformats.org/officeDocument/2006/customXml" ds:itemID="{72328515-D1CE-4CE0-837B-94F36820EF50}"/>
</file>

<file path=customXml/itemProps3.xml><?xml version="1.0" encoding="utf-8"?>
<ds:datastoreItem xmlns:ds="http://schemas.openxmlformats.org/officeDocument/2006/customXml" ds:itemID="{A3DF21C2-B194-4F84-BFF0-285160B0F543}"/>
</file>

<file path=customXml/itemProps4.xml><?xml version="1.0" encoding="utf-8"?>
<ds:datastoreItem xmlns:ds="http://schemas.openxmlformats.org/officeDocument/2006/customXml" ds:itemID="{B172CBE3-68A9-440E-A549-96058A55851A}"/>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20</TotalTime>
  <Pages>3</Pages>
  <Words>1448</Words>
  <Characters>8258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CHR-106</cp:lastModifiedBy>
  <cp:revision>6</cp:revision>
  <dcterms:created xsi:type="dcterms:W3CDTF">2026-01-27T00:38:00Z</dcterms:created>
  <dcterms:modified xsi:type="dcterms:W3CDTF">2026-03-02T13:13:00Z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