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6D4D" w14:textId="02EA2621" w:rsidR="00507C84" w:rsidRPr="00507C84" w:rsidRDefault="00507C84" w:rsidP="00507C84">
      <w:pPr>
        <w:pStyle w:val="Default"/>
        <w:jc w:val="both"/>
        <w:rPr>
          <w:rFonts w:ascii="Times New Roman" w:hAnsi="Times New Roman" w:cstheme="minorBidi"/>
          <w:b/>
          <w:bCs/>
          <w:color w:val="auto"/>
          <w:lang w:val="en-US"/>
        </w:rPr>
      </w:pPr>
      <w:r w:rsidRPr="00507C84">
        <w:rPr>
          <w:rFonts w:ascii="Times New Roman" w:hAnsi="Times New Roman" w:cstheme="minorBidi"/>
          <w:b/>
          <w:bCs/>
          <w:color w:val="auto"/>
          <w:lang w:val="en-US"/>
        </w:rPr>
        <w:t xml:space="preserve">Venezuela (Defensoría del Pueblo) </w:t>
      </w:r>
    </w:p>
    <w:p w14:paraId="5477E8DC" w14:textId="77777777" w:rsidR="00507C84" w:rsidRDefault="00507C84" w:rsidP="00CF469C">
      <w:pPr>
        <w:tabs>
          <w:tab w:val="center" w:pos="4252"/>
          <w:tab w:val="right" w:pos="8504"/>
        </w:tabs>
        <w:spacing w:line="276" w:lineRule="auto"/>
        <w:jc w:val="both"/>
        <w:rPr>
          <w:rFonts w:ascii="Times New Roman" w:hAnsi="Times New Roman"/>
          <w:sz w:val="24"/>
          <w:szCs w:val="24"/>
        </w:rPr>
      </w:pPr>
    </w:p>
    <w:p w14:paraId="3D7F74EA" w14:textId="4557CD9D" w:rsidR="00507C84" w:rsidRPr="00CF469C" w:rsidRDefault="00507C84" w:rsidP="00CF469C">
      <w:pPr>
        <w:tabs>
          <w:tab w:val="center" w:pos="4252"/>
          <w:tab w:val="right" w:pos="8504"/>
        </w:tabs>
        <w:spacing w:line="276" w:lineRule="auto"/>
        <w:jc w:val="both"/>
        <w:rPr>
          <w:rFonts w:ascii="Times New Roman" w:hAnsi="Times New Roman"/>
          <w:sz w:val="24"/>
          <w:szCs w:val="24"/>
        </w:rPr>
      </w:pPr>
      <w:r w:rsidRPr="00CF469C">
        <w:rPr>
          <w:rFonts w:ascii="Times New Roman" w:hAnsi="Times New Roman"/>
          <w:sz w:val="24"/>
          <w:szCs w:val="24"/>
        </w:rPr>
        <w:t>First, after the third cycle of the Universal Periodic Review, a workshop was designed to publicize the results of this evaluation, the main recommendations and the challenges in terms of public policies related to human rights for the period 2022-2025. That is why the Ombudsman's Office has implemented different activities to strengthen the institutions of the Venezuelan State for the protection of human rights, focusing on community proximity and attention to the most vulnerable sectors.</w:t>
      </w:r>
    </w:p>
    <w:p w14:paraId="5DB50FAB" w14:textId="77777777" w:rsidR="00507C84" w:rsidRPr="00507C84" w:rsidRDefault="00507C84" w:rsidP="00281FC5">
      <w:pPr>
        <w:tabs>
          <w:tab w:val="center" w:pos="4252"/>
          <w:tab w:val="right" w:pos="8504"/>
        </w:tabs>
        <w:spacing w:line="276" w:lineRule="auto"/>
        <w:jc w:val="both"/>
        <w:rPr>
          <w:rFonts w:ascii="Times New Roman" w:hAnsi="Times New Roman"/>
          <w:iCs/>
          <w:sz w:val="24"/>
          <w:szCs w:val="24"/>
        </w:rPr>
      </w:pPr>
      <w:r w:rsidRPr="00CF469C">
        <w:rPr>
          <w:rFonts w:ascii="Times New Roman" w:hAnsi="Times New Roman"/>
          <w:sz w:val="24"/>
          <w:szCs w:val="24"/>
        </w:rPr>
        <w:t xml:space="preserve">This workshop was given to officials of public institutions: Police Forces (Bolivarian National Police, different state and municipal police, Scientific, Criminal and Criminal Investigations Corps) and the Bolivarian National Armed Forces; </w:t>
      </w:r>
      <w:r w:rsidRPr="00CF469C">
        <w:rPr>
          <w:rFonts w:ascii="Times New Roman" w:hAnsi="Times New Roman"/>
          <w:iCs/>
          <w:sz w:val="24"/>
          <w:szCs w:val="24"/>
        </w:rPr>
        <w:t>institutions of health care, education, children, the elderly and, also, students</w:t>
      </w:r>
      <w:r w:rsidRPr="00CF469C">
        <w:rPr>
          <w:rFonts w:ascii="Times New Roman" w:hAnsi="Times New Roman"/>
          <w:sz w:val="24"/>
          <w:szCs w:val="24"/>
        </w:rPr>
        <w:t xml:space="preserve"> of universities (</w:t>
      </w:r>
      <w:r w:rsidRPr="00CF469C">
        <w:rPr>
          <w:rFonts w:ascii="Times New Roman" w:hAnsi="Times New Roman"/>
          <w:iCs/>
          <w:sz w:val="24"/>
          <w:szCs w:val="24"/>
        </w:rPr>
        <w:t>Simón Rodríguez National Experimental University, National Polytechnic Experimental University of the Bolivarian National Armed Forces, National Experimental University of Security and Bolivarian University of Venezuela); to organizations and individuals from civil society and communities.</w:t>
      </w:r>
    </w:p>
    <w:p w14:paraId="06270B16" w14:textId="77777777" w:rsidR="00507C84" w:rsidRPr="00507C84" w:rsidRDefault="00507C84" w:rsidP="00281FC5">
      <w:pPr>
        <w:spacing w:after="0" w:line="276" w:lineRule="auto"/>
        <w:ind w:right="219"/>
        <w:jc w:val="both"/>
        <w:rPr>
          <w:rFonts w:ascii="Times New Roman" w:hAnsi="Times New Roman"/>
          <w:iCs/>
          <w:sz w:val="24"/>
          <w:szCs w:val="24"/>
        </w:rPr>
      </w:pPr>
      <w:r w:rsidRPr="00CF469C">
        <w:rPr>
          <w:rFonts w:ascii="Times New Roman" w:hAnsi="Times New Roman"/>
          <w:iCs/>
          <w:sz w:val="24"/>
          <w:szCs w:val="24"/>
        </w:rPr>
        <w:t>Also in terms of advocacy, a presentation was designed to publicize the scope of the Universal Periodic Review (UPR), its procedures and mechanisms for participation, and was disseminated among civil society organizations in order to encourage them to prepare their respective alternative reports. At this point, it is worth highlighting the realization of more than five thousand (5,000) dissemination activities, organized and executed from the sixty-three (63) headquarters of the Ombudsman's Office: twenty-four (24) headquarters of State Delegated Ombudsman's Offices; nine (9) sub-headquarters of State Delegated Ombudsmen's Offices; and thirty (30) Municipal Ombudsmen's Offices, involving forty-eight (48) civil associations for the promotion and defense of human rights. This presentation, in the format of a Practical Guide, contemplates the definition, structure, evaluation design and scope of the Universal Periodic Review, as well as the reports that are examined, the possibility of participation of social organizations and the criteria for the preparation of alternative reports.</w:t>
      </w:r>
    </w:p>
    <w:p w14:paraId="22E0F70D" w14:textId="77777777" w:rsidR="00507C84" w:rsidRPr="00507C84" w:rsidRDefault="00507C84" w:rsidP="003F4EF5">
      <w:pPr>
        <w:spacing w:after="0" w:line="240" w:lineRule="auto"/>
        <w:ind w:right="219"/>
        <w:jc w:val="both"/>
        <w:rPr>
          <w:rFonts w:ascii="Times New Roman" w:hAnsi="Times New Roman"/>
          <w:iCs/>
          <w:sz w:val="24"/>
          <w:szCs w:val="24"/>
        </w:rPr>
      </w:pPr>
    </w:p>
    <w:p w14:paraId="2B728012" w14:textId="77777777" w:rsidR="00507C84" w:rsidRPr="00507C84" w:rsidRDefault="00507C84" w:rsidP="00CF469C">
      <w:pPr>
        <w:tabs>
          <w:tab w:val="center" w:pos="4252"/>
          <w:tab w:val="right" w:pos="8504"/>
        </w:tabs>
        <w:spacing w:line="276" w:lineRule="auto"/>
        <w:jc w:val="both"/>
        <w:rPr>
          <w:rFonts w:ascii="Times New Roman" w:hAnsi="Times New Roman"/>
          <w:iCs/>
          <w:sz w:val="24"/>
          <w:szCs w:val="24"/>
        </w:rPr>
      </w:pPr>
      <w:r w:rsidRPr="00CF469C">
        <w:rPr>
          <w:rFonts w:ascii="Times New Roman" w:hAnsi="Times New Roman"/>
          <w:iCs/>
          <w:sz w:val="24"/>
          <w:szCs w:val="24"/>
        </w:rPr>
        <w:t>Of the recommendations accepted by the Venezuelan State in 2022, there are 31 that directly impact the mandate of the Ombudsman's Office in its powers to promote, monitor, and defend human rights. During the period 2022-2025, its application was addressed through coordination with other human rights institutions, with technical support from United Nations agencies, accompaniment with social movements, attention to complaints, complaints and petitions from citizens, special commissions and inspections of public and private institutions providing services related to human rights and specific population sectors.</w:t>
      </w:r>
    </w:p>
    <w:p w14:paraId="62A7FDEA" w14:textId="77777777" w:rsidR="00507C84" w:rsidRPr="00CF469C" w:rsidRDefault="00507C84" w:rsidP="00CF469C">
      <w:pPr>
        <w:spacing w:line="276" w:lineRule="auto"/>
        <w:jc w:val="both"/>
        <w:rPr>
          <w:rFonts w:ascii="Times New Roman" w:hAnsi="Times New Roman"/>
          <w:sz w:val="24"/>
          <w:szCs w:val="24"/>
        </w:rPr>
      </w:pPr>
      <w:r w:rsidRPr="00794ECC">
        <w:rPr>
          <w:rFonts w:ascii="Times New Roman" w:hAnsi="Times New Roman"/>
          <w:sz w:val="24"/>
          <w:szCs w:val="24"/>
        </w:rPr>
        <w:t xml:space="preserve">A noteworthy fact is the updating of more than one hundred and forty-two (142) guidelines for the action of the ombudsman under the principle of the progressivity of human rights, both to address the phase of the registration of the hearing form, the substantiation of the files and for the execution of the monitoring work in the different institutions for the protection and respect of human rights.  </w:t>
      </w:r>
    </w:p>
    <w:p w14:paraId="61C4EFDE" w14:textId="77777777" w:rsidR="00507C84" w:rsidRPr="00507C84" w:rsidRDefault="00507C84" w:rsidP="00CF469C">
      <w:pPr>
        <w:tabs>
          <w:tab w:val="center" w:pos="4252"/>
          <w:tab w:val="right" w:pos="8504"/>
        </w:tabs>
        <w:spacing w:line="276" w:lineRule="auto"/>
        <w:jc w:val="both"/>
        <w:rPr>
          <w:rFonts w:ascii="Times New Roman" w:hAnsi="Times New Roman"/>
          <w:iCs/>
          <w:sz w:val="24"/>
          <w:szCs w:val="24"/>
        </w:rPr>
      </w:pPr>
      <w:r w:rsidRPr="00CF469C">
        <w:rPr>
          <w:rFonts w:ascii="Times New Roman" w:hAnsi="Times New Roman"/>
          <w:iCs/>
          <w:sz w:val="24"/>
          <w:szCs w:val="24"/>
        </w:rPr>
        <w:lastRenderedPageBreak/>
        <w:t>In addition, in the inspections carried out on public institutions, attention was paid to the specific recommendations made in the areas of health, education (its different levels and modalities), communication and information, human mobility, access to public services (drinking water, electricity, transportation, domestic gas, food distribution, identification, gasoline supply, telephone, among others). These inspections in turn result in recommendations from the Ombudsman's Office to State institutions and entities, which are monitored in their compliance year after year.</w:t>
      </w:r>
    </w:p>
    <w:p w14:paraId="5B330D22" w14:textId="77777777" w:rsidR="00507C84" w:rsidRPr="00794ECC" w:rsidRDefault="00507C84" w:rsidP="00CF469C">
      <w:pPr>
        <w:spacing w:line="276" w:lineRule="auto"/>
        <w:jc w:val="both"/>
        <w:rPr>
          <w:rFonts w:ascii="Times New Roman" w:eastAsia="Times New Roman" w:hAnsi="Times New Roman"/>
          <w:sz w:val="24"/>
          <w:szCs w:val="24"/>
        </w:rPr>
      </w:pPr>
      <w:r w:rsidRPr="00794ECC">
        <w:rPr>
          <w:rFonts w:ascii="Times New Roman" w:hAnsi="Times New Roman"/>
          <w:iCs/>
          <w:sz w:val="24"/>
          <w:szCs w:val="24"/>
        </w:rPr>
        <w:t xml:space="preserve">Special attention was given to the recommendation to verify non-discrimination policies towards especially vulnerable population groups such as children, the elderly and people with disabilities. In this regard, </w:t>
      </w:r>
      <w:r w:rsidRPr="00794ECC">
        <w:rPr>
          <w:rFonts w:ascii="Times New Roman" w:eastAsia="Times New Roman" w:hAnsi="Times New Roman"/>
          <w:sz w:val="24"/>
          <w:szCs w:val="24"/>
        </w:rPr>
        <w:t xml:space="preserve">the Ombudsman's Office registered a total of one thousand fifty-nine (1,059) inspection visits to verify compliance with equality and non-discrimination policies: </w:t>
      </w:r>
    </w:p>
    <w:p w14:paraId="508BCA5C" w14:textId="77777777" w:rsidR="00507C84" w:rsidRPr="00507C84" w:rsidRDefault="00507C84" w:rsidP="00CF469C">
      <w:pPr>
        <w:spacing w:line="276" w:lineRule="auto"/>
        <w:jc w:val="both"/>
        <w:rPr>
          <w:rFonts w:ascii="Times New Roman" w:hAnsi="Times New Roman"/>
          <w:iCs/>
          <w:sz w:val="24"/>
          <w:szCs w:val="24"/>
        </w:rPr>
      </w:pPr>
      <w:r w:rsidRPr="00446E0D">
        <w:rPr>
          <w:rFonts w:ascii="Times New Roman" w:hAnsi="Times New Roman"/>
          <w:iCs/>
          <w:sz w:val="24"/>
          <w:szCs w:val="24"/>
        </w:rPr>
        <w:t xml:space="preserve">In 2022: one hundred and twenty-four (124) visits, fifty-five (55) to geriatric centers and sixty-nine (69) visits to child and adolescent care entities. In 2023: one hundred and ninety-seven (197) visits, one hundred and sixty-three (163) visits to geriatric centers and thirty-four (34) visits to child and adolescent care entities. In the year 2024: three hundred and seventy-seven (377) visits, two hundred and three (203) visits to geriatric centers and one hundred and seventy-four (174) visits to child and adolescent care entities. In the year 2025: Three hundred and sixty-one (361) visits, two hundred and twenty-seven (227) to geriatric centers and one hundred and thirty-four (134) to entities that care for children and adolescents. </w:t>
      </w:r>
    </w:p>
    <w:p w14:paraId="1DDF12AD" w14:textId="77777777" w:rsidR="00507C84" w:rsidRPr="00507C84" w:rsidRDefault="00507C84" w:rsidP="00CF469C">
      <w:pPr>
        <w:spacing w:line="276" w:lineRule="auto"/>
        <w:jc w:val="both"/>
        <w:rPr>
          <w:rFonts w:ascii="Times New Roman" w:hAnsi="Times New Roman"/>
          <w:iCs/>
          <w:sz w:val="24"/>
          <w:szCs w:val="24"/>
        </w:rPr>
      </w:pPr>
      <w:r w:rsidRPr="00446E0D">
        <w:rPr>
          <w:rFonts w:ascii="Times New Roman" w:hAnsi="Times New Roman"/>
          <w:iCs/>
          <w:sz w:val="24"/>
          <w:szCs w:val="24"/>
        </w:rPr>
        <w:t>In addition, and in the same sense of prevention of discrimination, one hundred and seventy-two (172) workshops have been facilitated for officials of the public administration and security forces, to promote respect for and protection of Afro-Venezuelan sectors and prevent their discrimination.</w:t>
      </w:r>
    </w:p>
    <w:p w14:paraId="11DC35DE" w14:textId="77777777" w:rsidR="00507C84" w:rsidRPr="00507C84" w:rsidRDefault="00507C84" w:rsidP="00CF469C">
      <w:pPr>
        <w:spacing w:line="276" w:lineRule="auto"/>
        <w:jc w:val="both"/>
        <w:rPr>
          <w:rFonts w:ascii="Times New Roman" w:hAnsi="Times New Roman"/>
          <w:iCs/>
          <w:sz w:val="24"/>
          <w:szCs w:val="24"/>
        </w:rPr>
      </w:pPr>
      <w:r w:rsidRPr="00446E0D">
        <w:rPr>
          <w:rFonts w:ascii="Times New Roman" w:hAnsi="Times New Roman"/>
          <w:iCs/>
          <w:sz w:val="24"/>
          <w:szCs w:val="24"/>
        </w:rPr>
        <w:t>Another illustrative recommendation is that concerning the protection of persons deprived of liberty. In this case, the Office of the Ombudsman prepared and managed one hundred and three (103) written recommendations to reform internal disciplinary regulations and ensure respect for the personal integrity of persons deprived of liberty; in 2022 ten (10); in 2023 twenty-one (21); in the year 2024 twenty-seven (27); in the year 2025 forty-five (45).</w:t>
      </w:r>
    </w:p>
    <w:p w14:paraId="480B2FE8" w14:textId="77777777" w:rsidR="00507C84" w:rsidRPr="00CF469C" w:rsidRDefault="00507C84" w:rsidP="00CF469C">
      <w:pPr>
        <w:spacing w:line="276" w:lineRule="auto"/>
        <w:jc w:val="both"/>
        <w:rPr>
          <w:rFonts w:ascii="Times New Roman" w:eastAsia="Times New Roman" w:hAnsi="Times New Roman"/>
          <w:color w:val="000000"/>
          <w:sz w:val="24"/>
          <w:szCs w:val="24"/>
        </w:rPr>
      </w:pPr>
      <w:r w:rsidRPr="00281FC5">
        <w:rPr>
          <w:rFonts w:ascii="Times New Roman" w:eastAsia="Times New Roman" w:hAnsi="Times New Roman"/>
          <w:color w:val="000000"/>
          <w:sz w:val="24"/>
          <w:szCs w:val="24"/>
        </w:rPr>
        <w:t>Similarly, in the follow-up stage of the next cycle, in cooperation with the executive and legislative branches, recommendations and necessary observations were submitted to the draft Law on Autism, the Draft Law for the Deaf, and the Organic Law for Inclusion, Equality and Integral Development for Persons with Disabilities. In the same way, it participated in the opening of the public consultation of the Law on Workers with Disabilities. Forty-four (44) recommendations were made in the yearbooks, related to the draft Special Law for Workers with Disabilities, distributed among the National Council for Persons with Disabilities (CONAPDIS), the Ministry of People's Power for the Social Process of Work (MPPPPST), the Ministry of People's Power for Education (MPPPE), the National Institute for Women (INAMUJER),  Ministry of People's Power for Transport (MPPT) and the Permanent Commission for Integral Social Development of the National Assembly.</w:t>
      </w:r>
    </w:p>
    <w:p w14:paraId="7039C234" w14:textId="77777777" w:rsidR="00507C84" w:rsidRPr="00507C84" w:rsidRDefault="00507C84" w:rsidP="00CF469C">
      <w:pPr>
        <w:tabs>
          <w:tab w:val="center" w:pos="4252"/>
          <w:tab w:val="right" w:pos="8504"/>
        </w:tabs>
        <w:spacing w:line="276" w:lineRule="auto"/>
        <w:jc w:val="both"/>
        <w:rPr>
          <w:rFonts w:ascii="Times New Roman" w:hAnsi="Times New Roman"/>
          <w:iCs/>
          <w:sz w:val="24"/>
          <w:szCs w:val="24"/>
        </w:rPr>
      </w:pPr>
      <w:r w:rsidRPr="00CF469C">
        <w:rPr>
          <w:rFonts w:ascii="Times New Roman" w:hAnsi="Times New Roman"/>
          <w:iCs/>
          <w:sz w:val="24"/>
          <w:szCs w:val="24"/>
        </w:rPr>
        <w:lastRenderedPageBreak/>
        <w:t>Finally, it should be noted that the Office of the Ombudsman is a member of the National Human Rights Council, a body that coordinates, promotes and supports State public policies in the field of human rights and, therefore, participates in their design, implementation and evaluation. Thus, in the process of exchanging information between the institutions of the executive, legislative, judicial, electoral and other institutions that make up the Citizens' Power, with a view to the presentation of the national report for the fourth cycle of the review, this National Human Rights Institution provides its contributions in the form of a written summary and verifies that the other institutions consolidate their information.</w:t>
      </w:r>
    </w:p>
    <w:p w14:paraId="52DC6ABF" w14:textId="77777777" w:rsidR="00507C84" w:rsidRPr="00CF469C" w:rsidRDefault="00507C84" w:rsidP="00CF469C">
      <w:pPr>
        <w:tabs>
          <w:tab w:val="center" w:pos="4252"/>
          <w:tab w:val="right" w:pos="8504"/>
        </w:tabs>
        <w:spacing w:line="276" w:lineRule="auto"/>
        <w:jc w:val="both"/>
        <w:rPr>
          <w:rFonts w:ascii="Times New Roman" w:hAnsi="Times New Roman"/>
          <w:iCs/>
          <w:sz w:val="24"/>
          <w:szCs w:val="24"/>
          <w:lang w:val="es-ES"/>
        </w:rPr>
      </w:pPr>
    </w:p>
    <w:p w14:paraId="6CF7FE98" w14:textId="77777777" w:rsidR="00507C84" w:rsidRPr="00CF469C" w:rsidRDefault="00507C84" w:rsidP="00CF469C">
      <w:pPr>
        <w:tabs>
          <w:tab w:val="center" w:pos="4252"/>
          <w:tab w:val="right" w:pos="8504"/>
        </w:tabs>
        <w:spacing w:line="276" w:lineRule="auto"/>
        <w:jc w:val="both"/>
        <w:rPr>
          <w:rFonts w:ascii="Times New Roman" w:hAnsi="Times New Roman"/>
          <w:iCs/>
          <w:sz w:val="24"/>
          <w:szCs w:val="24"/>
          <w:lang w:val="es-ES"/>
        </w:rPr>
      </w:pPr>
    </w:p>
    <w:p w14:paraId="00EF0BED" w14:textId="77777777" w:rsidR="00507C84" w:rsidRPr="00CF469C" w:rsidRDefault="00507C84" w:rsidP="00CF469C">
      <w:pPr>
        <w:tabs>
          <w:tab w:val="center" w:pos="4252"/>
          <w:tab w:val="right" w:pos="8504"/>
        </w:tabs>
        <w:spacing w:line="276" w:lineRule="auto"/>
        <w:jc w:val="both"/>
        <w:rPr>
          <w:rFonts w:ascii="Times New Roman" w:hAnsi="Times New Roman"/>
          <w:iCs/>
          <w:sz w:val="24"/>
          <w:szCs w:val="24"/>
          <w:lang w:val="es-ES"/>
        </w:rPr>
      </w:pPr>
    </w:p>
    <w:p w14:paraId="6DA93C91" w14:textId="77777777" w:rsidR="00507C84" w:rsidRPr="00CF469C" w:rsidRDefault="00507C84" w:rsidP="00CF469C">
      <w:pPr>
        <w:tabs>
          <w:tab w:val="center" w:pos="4252"/>
          <w:tab w:val="right" w:pos="8504"/>
        </w:tabs>
        <w:spacing w:line="276" w:lineRule="auto"/>
        <w:jc w:val="both"/>
        <w:rPr>
          <w:rFonts w:ascii="Times New Roman" w:hAnsi="Times New Roman"/>
          <w:iCs/>
          <w:sz w:val="24"/>
          <w:szCs w:val="24"/>
          <w:lang w:val="es-ES"/>
        </w:rPr>
      </w:pPr>
    </w:p>
    <w:sectPr w:rsidR="00507C84" w:rsidRPr="00CF46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3BC77" w14:textId="77777777" w:rsidR="00713797" w:rsidRDefault="00713797" w:rsidP="00163680">
      <w:pPr>
        <w:spacing w:after="0" w:line="240" w:lineRule="auto"/>
      </w:pPr>
      <w:r>
        <w:separator/>
      </w:r>
    </w:p>
  </w:endnote>
  <w:endnote w:type="continuationSeparator" w:id="0">
    <w:p w14:paraId="70625D39" w14:textId="77777777" w:rsidR="00713797" w:rsidRDefault="00713797" w:rsidP="00163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ED34F" w14:textId="77777777" w:rsidR="00713797" w:rsidRDefault="00713797" w:rsidP="00163680">
      <w:pPr>
        <w:spacing w:after="0" w:line="240" w:lineRule="auto"/>
      </w:pPr>
      <w:r>
        <w:separator/>
      </w:r>
    </w:p>
  </w:footnote>
  <w:footnote w:type="continuationSeparator" w:id="0">
    <w:p w14:paraId="0A75497B" w14:textId="77777777" w:rsidR="00713797" w:rsidRDefault="00713797" w:rsidP="001636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9F"/>
    <w:rsid w:val="00163680"/>
    <w:rsid w:val="00181070"/>
    <w:rsid w:val="001A449F"/>
    <w:rsid w:val="002B5510"/>
    <w:rsid w:val="00507C84"/>
    <w:rsid w:val="00713797"/>
    <w:rsid w:val="007B426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50075"/>
  <w15:chartTrackingRefBased/>
  <w15:docId w15:val="{284F542A-C980-4B6B-8E4A-B54109A3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07C84"/>
    <w:rPr>
      <w:color w:val="auto"/>
      <w:u w:val="none"/>
    </w:rPr>
  </w:style>
  <w:style w:type="paragraph" w:customStyle="1" w:styleId="Default">
    <w:name w:val="Default"/>
    <w:rsid w:val="00507C84"/>
    <w:pPr>
      <w:autoSpaceDE w:val="0"/>
      <w:autoSpaceDN w:val="0"/>
      <w:adjustRightInd w:val="0"/>
      <w:spacing w:after="0" w:line="240" w:lineRule="auto"/>
    </w:pPr>
    <w:rPr>
      <w:rFonts w:ascii="Arial" w:hAnsi="Arial" w:cs="Arial"/>
      <w:color w:val="000000"/>
      <w:sz w:val="24"/>
      <w:szCs w:val="24"/>
      <w:lang w:val="en-CH"/>
    </w:rPr>
  </w:style>
  <w:style w:type="paragraph" w:styleId="Header">
    <w:name w:val="header"/>
    <w:basedOn w:val="Normal"/>
    <w:link w:val="HeaderChar"/>
    <w:uiPriority w:val="99"/>
    <w:unhideWhenUsed/>
    <w:rsid w:val="00163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680"/>
  </w:style>
  <w:style w:type="paragraph" w:styleId="Footer">
    <w:name w:val="footer"/>
    <w:basedOn w:val="Normal"/>
    <w:link w:val="FooterChar"/>
    <w:uiPriority w:val="99"/>
    <w:unhideWhenUsed/>
    <w:rsid w:val="00163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36"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EEE5C2-051C-4E12-9340-626C53818178}">
  <we:reference id="cd7f7d77-5385-4c0e-9997-08526b7ab600" version="1.0.0.0" store="\\officefile\public\vthota\ogma\manifest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English version</Doctype>
    <TaxCatchAll xmlns="985ec44e-1bab-4c0b-9df0-6ba128686fc9" xsi:nil="true"/>
    <Contributor xmlns="d42e65b2-cf21-49c1-b27d-d23f90380c0e">Venezuela - Defensoría del Pueblo</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B9B20D63-E621-43C4-B642-3BA0673554D1}"/>
</file>

<file path=customXml/itemProps2.xml><?xml version="1.0" encoding="utf-8"?>
<ds:datastoreItem xmlns:ds="http://schemas.openxmlformats.org/officeDocument/2006/customXml" ds:itemID="{D22F96BD-EDB6-497C-A2AE-D47251A3A3D9}"/>
</file>

<file path=customXml/itemProps3.xml><?xml version="1.0" encoding="utf-8"?>
<ds:datastoreItem xmlns:ds="http://schemas.openxmlformats.org/officeDocument/2006/customXml" ds:itemID="{E9A80E50-568C-40C3-A3F6-D6943D15E33F}"/>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1107</Words>
  <Characters>6314</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Park (InConsulting Inc.)</dc:creator>
  <cp:keywords/>
  <dc:description/>
  <cp:lastModifiedBy>Jeroen Klok</cp:lastModifiedBy>
  <cp:revision>3</cp:revision>
  <dcterms:created xsi:type="dcterms:W3CDTF">2017-09-13T21:10:00Z</dcterms:created>
  <dcterms:modified xsi:type="dcterms:W3CDTF">2026-04-20T12:41:00Z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