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0A291" w14:textId="77777777" w:rsidR="00257783" w:rsidRDefault="009560B4">
      <w:pPr>
        <w:spacing w:after="0" w:line="240" w:lineRule="auto"/>
        <w:jc w:val="center"/>
        <w:rPr>
          <w:rFonts w:ascii="Garamond" w:eastAsia="Garamond" w:hAnsi="Garamond" w:cs="Garamond"/>
          <w:b/>
          <w:sz w:val="24"/>
          <w:szCs w:val="24"/>
        </w:rPr>
      </w:pPr>
      <w:r>
        <w:rPr>
          <w:rFonts w:ascii="Garamond" w:eastAsia="Garamond" w:hAnsi="Garamond" w:cs="Garamond"/>
          <w:b/>
          <w:sz w:val="24"/>
          <w:szCs w:val="24"/>
        </w:rPr>
        <w:t>SUBMISSION TO THE COMMITTEE ON THE RIGHTS OF PERSONS WITH DISABILITIES</w:t>
      </w:r>
      <w:r>
        <w:rPr>
          <w:rFonts w:ascii="Garamond" w:eastAsia="Garamond" w:hAnsi="Garamond" w:cs="Garamond"/>
          <w:b/>
          <w:sz w:val="24"/>
          <w:szCs w:val="24"/>
        </w:rPr>
        <w:br/>
      </w:r>
      <w:r>
        <w:rPr>
          <w:rFonts w:ascii="Garamond" w:eastAsia="Garamond" w:hAnsi="Garamond" w:cs="Garamond"/>
          <w:b/>
          <w:sz w:val="24"/>
          <w:szCs w:val="24"/>
        </w:rPr>
        <w:t>CRPD - Call for written submissions on draft guidelines to address multiple and cross-sectoral forms of discrimination against women and girls with disabilities.</w:t>
      </w:r>
    </w:p>
    <w:p w14:paraId="4BD95CAE" w14:textId="77777777" w:rsidR="00257783" w:rsidRDefault="00257783">
      <w:pPr>
        <w:spacing w:after="0" w:line="240" w:lineRule="auto"/>
        <w:rPr>
          <w:rFonts w:ascii="Garamond" w:eastAsia="Garamond" w:hAnsi="Garamond" w:cs="Garamond"/>
          <w:b/>
          <w:sz w:val="24"/>
          <w:szCs w:val="24"/>
        </w:rPr>
      </w:pPr>
    </w:p>
    <w:p w14:paraId="6CC56E67" w14:textId="77777777" w:rsidR="00257783" w:rsidRDefault="00257783">
      <w:pPr>
        <w:spacing w:after="0" w:line="240" w:lineRule="auto"/>
        <w:jc w:val="center"/>
        <w:rPr>
          <w:rFonts w:ascii="Garamond" w:eastAsia="Garamond" w:hAnsi="Garamond" w:cs="Garamond"/>
          <w:b/>
          <w:sz w:val="24"/>
          <w:szCs w:val="24"/>
        </w:rPr>
      </w:pPr>
    </w:p>
    <w:p w14:paraId="6D295489" w14:textId="77777777" w:rsidR="00257783" w:rsidRDefault="009560B4">
      <w:pPr>
        <w:spacing w:after="0" w:line="240" w:lineRule="auto"/>
        <w:jc w:val="center"/>
        <w:rPr>
          <w:rFonts w:ascii="Garamond" w:eastAsia="Garamond" w:hAnsi="Garamond" w:cs="Garamond"/>
          <w:b/>
          <w:color w:val="4A4A4A"/>
          <w:sz w:val="32"/>
          <w:szCs w:val="32"/>
        </w:rPr>
      </w:pPr>
      <w:r>
        <w:rPr>
          <w:rFonts w:ascii="Arial" w:eastAsia="Arial" w:hAnsi="Arial" w:cs="Arial"/>
        </w:rPr>
        <w:br/>
      </w:r>
      <w:r>
        <w:rPr>
          <w:rFonts w:ascii="Arial" w:eastAsia="Arial" w:hAnsi="Arial" w:cs="Arial"/>
        </w:rPr>
        <w:br/>
      </w:r>
      <w:r>
        <w:rPr>
          <w:rFonts w:ascii="Arial" w:eastAsia="Arial" w:hAnsi="Arial" w:cs="Arial"/>
        </w:rPr>
        <w:br/>
      </w:r>
      <w:r>
        <w:rPr>
          <w:rFonts w:ascii="Garamond" w:eastAsia="Garamond" w:hAnsi="Garamond" w:cs="Garamond"/>
          <w:b/>
          <w:color w:val="4A4A4A"/>
          <w:sz w:val="32"/>
          <w:szCs w:val="32"/>
        </w:rPr>
        <w:t>Report: Inequalities in Access to Services for Afro-descendant Girls and Women with Disabilities in Brazil</w:t>
      </w:r>
    </w:p>
    <w:p w14:paraId="659CF3FE" w14:textId="77777777" w:rsidR="00257783" w:rsidRDefault="009560B4">
      <w:pPr>
        <w:spacing w:after="0" w:line="240" w:lineRule="auto"/>
        <w:rPr>
          <w:rFonts w:ascii="Garamond" w:eastAsia="Garamond" w:hAnsi="Garamond" w:cs="Garamond"/>
          <w:b/>
          <w:sz w:val="28"/>
          <w:szCs w:val="28"/>
        </w:rPr>
      </w:pPr>
      <w:r>
        <w:rPr>
          <w:noProof/>
        </w:rPr>
        <w:drawing>
          <wp:anchor distT="114300" distB="114300" distL="114300" distR="114300" simplePos="0" relativeHeight="251658240" behindDoc="0" locked="0" layoutInCell="1" hidden="0" allowOverlap="1" wp14:anchorId="4183B1CB" wp14:editId="74489C9F">
            <wp:simplePos x="0" y="0"/>
            <wp:positionH relativeFrom="column">
              <wp:posOffset>1895475</wp:posOffset>
            </wp:positionH>
            <wp:positionV relativeFrom="paragraph">
              <wp:posOffset>285750</wp:posOffset>
            </wp:positionV>
            <wp:extent cx="1271588" cy="952500"/>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l="11451" r="13966"/>
                    <a:stretch>
                      <a:fillRect/>
                    </a:stretch>
                  </pic:blipFill>
                  <pic:spPr>
                    <a:xfrm>
                      <a:off x="0" y="0"/>
                      <a:ext cx="1271588" cy="952500"/>
                    </a:xfrm>
                    <a:prstGeom prst="rect">
                      <a:avLst/>
                    </a:prstGeom>
                    <a:ln/>
                  </pic:spPr>
                </pic:pic>
              </a:graphicData>
            </a:graphic>
          </wp:anchor>
        </w:drawing>
      </w:r>
    </w:p>
    <w:p w14:paraId="51494A96" w14:textId="77777777" w:rsidR="00257783" w:rsidRDefault="00257783">
      <w:pPr>
        <w:spacing w:after="0" w:line="240" w:lineRule="auto"/>
        <w:rPr>
          <w:rFonts w:ascii="Garamond" w:eastAsia="Garamond" w:hAnsi="Garamond" w:cs="Garamond"/>
          <w:b/>
          <w:sz w:val="20"/>
          <w:szCs w:val="20"/>
        </w:rPr>
      </w:pPr>
    </w:p>
    <w:p w14:paraId="03BF4B3D" w14:textId="77777777" w:rsidR="00257783" w:rsidRDefault="00257783">
      <w:pPr>
        <w:spacing w:after="0" w:line="240" w:lineRule="auto"/>
        <w:rPr>
          <w:rFonts w:ascii="Garamond" w:eastAsia="Garamond" w:hAnsi="Garamond" w:cs="Garamond"/>
          <w:b/>
          <w:sz w:val="20"/>
          <w:szCs w:val="20"/>
        </w:rPr>
      </w:pPr>
    </w:p>
    <w:p w14:paraId="5CB62878" w14:textId="77777777" w:rsidR="00257783" w:rsidRDefault="00257783">
      <w:pPr>
        <w:spacing w:after="0" w:line="240" w:lineRule="auto"/>
        <w:rPr>
          <w:rFonts w:ascii="Garamond" w:eastAsia="Garamond" w:hAnsi="Garamond" w:cs="Garamond"/>
          <w:b/>
          <w:sz w:val="20"/>
          <w:szCs w:val="20"/>
        </w:rPr>
      </w:pPr>
    </w:p>
    <w:p w14:paraId="533B5E1B" w14:textId="77777777" w:rsidR="00257783" w:rsidRDefault="00257783">
      <w:pPr>
        <w:spacing w:after="0" w:line="240" w:lineRule="auto"/>
        <w:rPr>
          <w:rFonts w:ascii="Garamond" w:eastAsia="Garamond" w:hAnsi="Garamond" w:cs="Garamond"/>
          <w:b/>
          <w:sz w:val="20"/>
          <w:szCs w:val="20"/>
        </w:rPr>
      </w:pPr>
    </w:p>
    <w:p w14:paraId="27961BD5" w14:textId="77777777" w:rsidR="00257783" w:rsidRDefault="00257783">
      <w:pPr>
        <w:spacing w:after="0" w:line="240" w:lineRule="auto"/>
        <w:rPr>
          <w:rFonts w:ascii="Garamond" w:eastAsia="Garamond" w:hAnsi="Garamond" w:cs="Garamond"/>
          <w:b/>
          <w:sz w:val="20"/>
          <w:szCs w:val="20"/>
        </w:rPr>
      </w:pPr>
    </w:p>
    <w:p w14:paraId="44B6950B" w14:textId="77777777" w:rsidR="00257783" w:rsidRDefault="00257783">
      <w:pPr>
        <w:spacing w:after="0" w:line="240" w:lineRule="auto"/>
        <w:jc w:val="center"/>
        <w:rPr>
          <w:rFonts w:ascii="Garamond" w:eastAsia="Garamond" w:hAnsi="Garamond" w:cs="Garamond"/>
          <w:b/>
          <w:sz w:val="20"/>
          <w:szCs w:val="20"/>
        </w:rPr>
      </w:pPr>
    </w:p>
    <w:p w14:paraId="2B809898" w14:textId="77777777" w:rsidR="00257783" w:rsidRDefault="00257783">
      <w:pPr>
        <w:spacing w:after="0" w:line="240" w:lineRule="auto"/>
        <w:jc w:val="center"/>
        <w:rPr>
          <w:rFonts w:ascii="Garamond" w:eastAsia="Garamond" w:hAnsi="Garamond" w:cs="Garamond"/>
          <w:b/>
          <w:sz w:val="20"/>
          <w:szCs w:val="20"/>
        </w:rPr>
      </w:pPr>
    </w:p>
    <w:p w14:paraId="7F6AD1A3" w14:textId="77777777" w:rsidR="00257783" w:rsidRDefault="00257783">
      <w:pPr>
        <w:spacing w:after="0" w:line="240" w:lineRule="auto"/>
        <w:jc w:val="center"/>
        <w:rPr>
          <w:rFonts w:ascii="Garamond" w:eastAsia="Garamond" w:hAnsi="Garamond" w:cs="Garamond"/>
          <w:b/>
          <w:sz w:val="20"/>
          <w:szCs w:val="20"/>
        </w:rPr>
      </w:pPr>
    </w:p>
    <w:p w14:paraId="3FF952ED" w14:textId="77777777" w:rsidR="00257783" w:rsidRDefault="00257783">
      <w:pPr>
        <w:spacing w:after="0" w:line="240" w:lineRule="auto"/>
        <w:jc w:val="center"/>
        <w:rPr>
          <w:rFonts w:ascii="Garamond" w:eastAsia="Garamond" w:hAnsi="Garamond" w:cs="Garamond"/>
          <w:b/>
          <w:sz w:val="20"/>
          <w:szCs w:val="20"/>
        </w:rPr>
      </w:pPr>
    </w:p>
    <w:p w14:paraId="5AEF198D" w14:textId="77777777" w:rsidR="00257783" w:rsidRDefault="00257783">
      <w:pPr>
        <w:spacing w:after="0" w:line="240" w:lineRule="auto"/>
        <w:jc w:val="center"/>
        <w:rPr>
          <w:rFonts w:ascii="Garamond" w:eastAsia="Garamond" w:hAnsi="Garamond" w:cs="Garamond"/>
          <w:b/>
          <w:sz w:val="20"/>
          <w:szCs w:val="20"/>
        </w:rPr>
      </w:pPr>
    </w:p>
    <w:p w14:paraId="21B40CB1" w14:textId="77777777" w:rsidR="00257783" w:rsidRDefault="00257783">
      <w:pPr>
        <w:spacing w:after="0" w:line="240" w:lineRule="auto"/>
        <w:jc w:val="center"/>
        <w:rPr>
          <w:rFonts w:ascii="Garamond" w:eastAsia="Garamond" w:hAnsi="Garamond" w:cs="Garamond"/>
          <w:b/>
          <w:sz w:val="20"/>
          <w:szCs w:val="20"/>
        </w:rPr>
      </w:pPr>
    </w:p>
    <w:p w14:paraId="1357AD4F" w14:textId="77777777" w:rsidR="00257783" w:rsidRDefault="00257783">
      <w:pPr>
        <w:spacing w:after="0" w:line="240" w:lineRule="auto"/>
        <w:jc w:val="center"/>
        <w:rPr>
          <w:rFonts w:ascii="Garamond" w:eastAsia="Garamond" w:hAnsi="Garamond" w:cs="Garamond"/>
          <w:b/>
          <w:sz w:val="20"/>
          <w:szCs w:val="20"/>
        </w:rPr>
      </w:pPr>
    </w:p>
    <w:p w14:paraId="25A05C5C" w14:textId="77777777" w:rsidR="00257783" w:rsidRDefault="00257783">
      <w:pPr>
        <w:spacing w:after="0" w:line="240" w:lineRule="auto"/>
        <w:jc w:val="center"/>
        <w:rPr>
          <w:rFonts w:ascii="Garamond" w:eastAsia="Garamond" w:hAnsi="Garamond" w:cs="Garamond"/>
          <w:b/>
          <w:sz w:val="20"/>
          <w:szCs w:val="20"/>
        </w:rPr>
      </w:pPr>
    </w:p>
    <w:p w14:paraId="1403F2CB" w14:textId="77777777" w:rsidR="00257783" w:rsidRDefault="00257783">
      <w:pPr>
        <w:spacing w:after="0" w:line="240" w:lineRule="auto"/>
        <w:jc w:val="center"/>
        <w:rPr>
          <w:rFonts w:ascii="Garamond" w:eastAsia="Garamond" w:hAnsi="Garamond" w:cs="Garamond"/>
          <w:b/>
          <w:sz w:val="20"/>
          <w:szCs w:val="20"/>
        </w:rPr>
      </w:pPr>
    </w:p>
    <w:p w14:paraId="76860027" w14:textId="77777777" w:rsidR="00257783" w:rsidRPr="009560B4" w:rsidRDefault="009560B4">
      <w:pPr>
        <w:spacing w:after="0" w:line="240" w:lineRule="auto"/>
        <w:rPr>
          <w:rFonts w:ascii="Garamond" w:eastAsia="Garamond" w:hAnsi="Garamond" w:cs="Garamond"/>
          <w:b/>
          <w:sz w:val="20"/>
          <w:szCs w:val="20"/>
          <w:lang w:val="es-ES"/>
        </w:rPr>
      </w:pPr>
      <w:r w:rsidRPr="009560B4">
        <w:rPr>
          <w:rFonts w:ascii="Garamond" w:eastAsia="Garamond" w:hAnsi="Garamond" w:cs="Garamond"/>
          <w:b/>
          <w:sz w:val="20"/>
          <w:szCs w:val="20"/>
          <w:lang w:val="es-ES"/>
        </w:rPr>
        <w:t>São Paulo/Brazil</w:t>
      </w:r>
    </w:p>
    <w:p w14:paraId="0DC0D108" w14:textId="77777777" w:rsidR="00257783" w:rsidRPr="009560B4" w:rsidRDefault="009560B4">
      <w:pPr>
        <w:spacing w:after="0" w:line="240" w:lineRule="auto"/>
        <w:rPr>
          <w:rFonts w:ascii="Garamond" w:eastAsia="Garamond" w:hAnsi="Garamond" w:cs="Garamond"/>
          <w:b/>
          <w:sz w:val="20"/>
          <w:szCs w:val="20"/>
          <w:lang w:val="es-ES"/>
        </w:rPr>
      </w:pPr>
      <w:r w:rsidRPr="009560B4">
        <w:rPr>
          <w:rFonts w:ascii="Garamond" w:eastAsia="Garamond" w:hAnsi="Garamond" w:cs="Garamond"/>
          <w:b/>
          <w:sz w:val="20"/>
          <w:szCs w:val="20"/>
          <w:lang w:val="es-ES"/>
        </w:rPr>
        <w:t>Web: vidasnegrascomdeficiencia.org</w:t>
      </w:r>
    </w:p>
    <w:p w14:paraId="391FD2EF" w14:textId="77777777" w:rsidR="00257783" w:rsidRPr="009560B4" w:rsidRDefault="009560B4">
      <w:pPr>
        <w:spacing w:after="0" w:line="240" w:lineRule="auto"/>
        <w:rPr>
          <w:rFonts w:ascii="Garamond" w:eastAsia="Garamond" w:hAnsi="Garamond" w:cs="Garamond"/>
          <w:b/>
          <w:sz w:val="20"/>
          <w:szCs w:val="20"/>
          <w:lang w:val="es-ES"/>
        </w:rPr>
      </w:pPr>
      <w:r w:rsidRPr="009560B4">
        <w:rPr>
          <w:rFonts w:ascii="Garamond" w:eastAsia="Garamond" w:hAnsi="Garamond" w:cs="Garamond"/>
          <w:b/>
          <w:sz w:val="20"/>
          <w:szCs w:val="20"/>
          <w:lang w:val="es-ES"/>
        </w:rPr>
        <w:t>Contact: Luciana Viegas</w:t>
      </w:r>
    </w:p>
    <w:p w14:paraId="14EBE90D" w14:textId="77777777" w:rsidR="00257783" w:rsidRPr="009560B4" w:rsidRDefault="009560B4">
      <w:pPr>
        <w:spacing w:after="0" w:line="240" w:lineRule="auto"/>
        <w:rPr>
          <w:rFonts w:ascii="Garamond" w:eastAsia="Garamond" w:hAnsi="Garamond" w:cs="Garamond"/>
          <w:b/>
          <w:sz w:val="20"/>
          <w:szCs w:val="20"/>
          <w:lang w:val="es-ES"/>
        </w:rPr>
      </w:pPr>
      <w:r w:rsidRPr="009560B4">
        <w:rPr>
          <w:rFonts w:ascii="Garamond" w:eastAsia="Garamond" w:hAnsi="Garamond" w:cs="Garamond"/>
          <w:b/>
          <w:sz w:val="20"/>
          <w:szCs w:val="20"/>
          <w:lang w:val="es-ES"/>
        </w:rPr>
        <w:t>Email: luciana@vidasnegrascomdeficiencia.org</w:t>
      </w:r>
    </w:p>
    <w:p w14:paraId="3958637A" w14:textId="77777777" w:rsidR="00257783" w:rsidRPr="009560B4" w:rsidRDefault="00257783">
      <w:pPr>
        <w:rPr>
          <w:rFonts w:ascii="Garamond" w:eastAsia="Garamond" w:hAnsi="Garamond" w:cs="Garamond"/>
          <w:b/>
          <w:sz w:val="24"/>
          <w:szCs w:val="24"/>
          <w:lang w:val="es-ES"/>
        </w:rPr>
      </w:pPr>
    </w:p>
    <w:p w14:paraId="0EED0B4D" w14:textId="77777777" w:rsidR="00257783" w:rsidRPr="009560B4" w:rsidRDefault="009560B4">
      <w:pPr>
        <w:spacing w:after="0" w:line="240" w:lineRule="auto"/>
        <w:ind w:left="1080"/>
        <w:rPr>
          <w:rFonts w:ascii="Garamond" w:eastAsia="Garamond" w:hAnsi="Garamond" w:cs="Garamond"/>
          <w:sz w:val="24"/>
          <w:szCs w:val="24"/>
          <w:lang w:val="es-ES"/>
        </w:rPr>
      </w:pPr>
      <w:r w:rsidRPr="009560B4">
        <w:rPr>
          <w:rFonts w:ascii="Garamond" w:eastAsia="Garamond" w:hAnsi="Garamond" w:cs="Garamond"/>
          <w:sz w:val="24"/>
          <w:szCs w:val="24"/>
          <w:lang w:val="es-ES"/>
        </w:rPr>
        <w:t> </w:t>
      </w:r>
    </w:p>
    <w:p w14:paraId="36D7437E" w14:textId="77777777" w:rsidR="00257783" w:rsidRDefault="009560B4">
      <w:pPr>
        <w:numPr>
          <w:ilvl w:val="0"/>
          <w:numId w:val="1"/>
        </w:numPr>
        <w:spacing w:after="0" w:line="240" w:lineRule="auto"/>
        <w:rPr>
          <w:rFonts w:ascii="Garamond" w:eastAsia="Garamond" w:hAnsi="Garamond" w:cs="Garamond"/>
          <w:b/>
          <w:sz w:val="24"/>
          <w:szCs w:val="24"/>
        </w:rPr>
      </w:pPr>
      <w:r>
        <w:rPr>
          <w:rFonts w:ascii="Garamond" w:eastAsia="Garamond" w:hAnsi="Garamond" w:cs="Garamond"/>
          <w:b/>
          <w:sz w:val="24"/>
          <w:szCs w:val="24"/>
        </w:rPr>
        <w:t>Authoring organization</w:t>
      </w:r>
    </w:p>
    <w:p w14:paraId="7B450D4A" w14:textId="77777777" w:rsidR="00257783" w:rsidRDefault="009560B4">
      <w:pPr>
        <w:spacing w:after="0" w:line="240" w:lineRule="auto"/>
        <w:ind w:left="720"/>
        <w:rPr>
          <w:rFonts w:ascii="Times New Roman" w:eastAsia="Times New Roman" w:hAnsi="Times New Roman" w:cs="Times New Roman"/>
          <w:sz w:val="24"/>
          <w:szCs w:val="24"/>
        </w:rPr>
      </w:pPr>
      <w:r>
        <w:rPr>
          <w:rFonts w:ascii="Garamond" w:eastAsia="Garamond" w:hAnsi="Garamond" w:cs="Garamond"/>
          <w:sz w:val="24"/>
          <w:szCs w:val="24"/>
        </w:rPr>
        <w:t> </w:t>
      </w:r>
    </w:p>
    <w:p w14:paraId="231BCBE4" w14:textId="77777777" w:rsidR="00257783" w:rsidRDefault="009560B4">
      <w:pPr>
        <w:spacing w:after="0" w:line="240" w:lineRule="auto"/>
        <w:ind w:left="720" w:firstLine="720"/>
        <w:jc w:val="both"/>
      </w:pPr>
      <w:r>
        <w:rPr>
          <w:rFonts w:ascii="Garamond" w:eastAsia="Garamond" w:hAnsi="Garamond" w:cs="Garamond"/>
          <w:sz w:val="24"/>
          <w:szCs w:val="24"/>
        </w:rPr>
        <w:t xml:space="preserve">The Black Lives with Disabilities Matter Institute (VNDI) is a non-profit civil society organization. Created by Afro-descendant people, people with disabilities, and primarily Afro-descendant people with disabilities, its purpose is to bring the agendas of discussions within the Black movement and the </w:t>
      </w:r>
      <w:proofErr w:type="gramStart"/>
      <w:r>
        <w:rPr>
          <w:rFonts w:ascii="Garamond" w:eastAsia="Garamond" w:hAnsi="Garamond" w:cs="Garamond"/>
          <w:sz w:val="24"/>
          <w:szCs w:val="24"/>
        </w:rPr>
        <w:t>disability rights</w:t>
      </w:r>
      <w:proofErr w:type="gramEnd"/>
      <w:r>
        <w:rPr>
          <w:rFonts w:ascii="Garamond" w:eastAsia="Garamond" w:hAnsi="Garamond" w:cs="Garamond"/>
          <w:sz w:val="24"/>
          <w:szCs w:val="24"/>
        </w:rPr>
        <w:t xml:space="preserve"> movement closer to the debate on the intersectionality between race and disability. The Institute seeks an anti-racist and anti-ableist society, fighting and mobilizing to implement political and social actions based on the social model of human rights. We understand disability as part of human diversity. </w:t>
      </w:r>
      <w:r>
        <w:rPr>
          <w:rFonts w:ascii="Garamond" w:eastAsia="Garamond" w:hAnsi="Garamond" w:cs="Garamond"/>
          <w:sz w:val="24"/>
          <w:szCs w:val="24"/>
        </w:rPr>
        <w:br/>
      </w:r>
      <w:r>
        <w:br/>
      </w:r>
    </w:p>
    <w:p w14:paraId="7C69B4FA" w14:textId="77777777" w:rsidR="00257783" w:rsidRDefault="00257783">
      <w:pPr>
        <w:spacing w:after="0" w:line="240" w:lineRule="auto"/>
        <w:ind w:left="720" w:firstLine="720"/>
        <w:jc w:val="both"/>
        <w:rPr>
          <w:rFonts w:ascii="Garamond" w:eastAsia="Garamond" w:hAnsi="Garamond" w:cs="Garamond"/>
          <w:b/>
          <w:color w:val="4A4A4A"/>
          <w:sz w:val="24"/>
          <w:szCs w:val="24"/>
        </w:rPr>
      </w:pPr>
    </w:p>
    <w:p w14:paraId="7E50E223" w14:textId="77777777" w:rsidR="00257783" w:rsidRDefault="00257783">
      <w:pPr>
        <w:spacing w:after="0" w:line="240" w:lineRule="auto"/>
        <w:ind w:left="720"/>
        <w:jc w:val="both"/>
        <w:rPr>
          <w:rFonts w:ascii="Garamond" w:eastAsia="Garamond" w:hAnsi="Garamond" w:cs="Garamond"/>
          <w:b/>
          <w:color w:val="4A4A4A"/>
          <w:sz w:val="24"/>
          <w:szCs w:val="24"/>
        </w:rPr>
      </w:pPr>
    </w:p>
    <w:p w14:paraId="00005AB8" w14:textId="77777777" w:rsidR="00257783" w:rsidRDefault="009560B4">
      <w:pPr>
        <w:spacing w:after="0" w:line="240" w:lineRule="auto"/>
        <w:jc w:val="both"/>
        <w:rPr>
          <w:rFonts w:ascii="Garamond" w:eastAsia="Garamond" w:hAnsi="Garamond" w:cs="Garamond"/>
          <w:b/>
          <w:color w:val="4A4A4A"/>
          <w:sz w:val="24"/>
          <w:szCs w:val="24"/>
        </w:rPr>
      </w:pPr>
      <w:r>
        <w:rPr>
          <w:rFonts w:ascii="Garamond" w:eastAsia="Garamond" w:hAnsi="Garamond" w:cs="Garamond"/>
          <w:b/>
          <w:color w:val="4A4A4A"/>
          <w:sz w:val="24"/>
          <w:szCs w:val="24"/>
        </w:rPr>
        <w:br/>
      </w:r>
      <w:r>
        <w:rPr>
          <w:rFonts w:ascii="Garamond" w:eastAsia="Garamond" w:hAnsi="Garamond" w:cs="Garamond"/>
          <w:b/>
          <w:color w:val="4A4A4A"/>
          <w:sz w:val="24"/>
          <w:szCs w:val="24"/>
        </w:rPr>
        <w:br/>
      </w:r>
      <w:r>
        <w:rPr>
          <w:rFonts w:ascii="Garamond" w:eastAsia="Garamond" w:hAnsi="Garamond" w:cs="Garamond"/>
          <w:b/>
          <w:color w:val="4A4A4A"/>
          <w:sz w:val="24"/>
          <w:szCs w:val="24"/>
        </w:rPr>
        <w:lastRenderedPageBreak/>
        <w:br/>
        <w:t>Introduction</w:t>
      </w:r>
    </w:p>
    <w:p w14:paraId="28A4FE04" w14:textId="77777777" w:rsidR="00257783" w:rsidRDefault="009560B4">
      <w:pPr>
        <w:numPr>
          <w:ilvl w:val="0"/>
          <w:numId w:val="3"/>
        </w:numPr>
        <w:spacing w:before="240" w:after="0"/>
        <w:jc w:val="both"/>
        <w:rPr>
          <w:rFonts w:ascii="Garamond" w:eastAsia="Garamond" w:hAnsi="Garamond" w:cs="Garamond"/>
          <w:color w:val="4A4A4A"/>
          <w:sz w:val="24"/>
          <w:szCs w:val="24"/>
        </w:rPr>
      </w:pPr>
      <w:r>
        <w:rPr>
          <w:rFonts w:ascii="Garamond" w:eastAsia="Garamond" w:hAnsi="Garamond" w:cs="Garamond"/>
          <w:color w:val="4A4A4A"/>
          <w:sz w:val="24"/>
          <w:szCs w:val="24"/>
        </w:rPr>
        <w:t>The Black Lives with Disabilities Matter Institute (VNDI) presents this contribution to the Committee on the Rights of Persons with Disabilities (CRPD), in response to the call for the development of a Guidelines Guide on Multiple and Interconnected Forms of Discrimination against Women and Girls with Disabilities.</w:t>
      </w:r>
    </w:p>
    <w:p w14:paraId="5CB1A9A2" w14:textId="77777777" w:rsidR="00257783" w:rsidRDefault="009560B4">
      <w:pPr>
        <w:numPr>
          <w:ilvl w:val="0"/>
          <w:numId w:val="3"/>
        </w:numPr>
        <w:spacing w:after="0"/>
        <w:jc w:val="both"/>
        <w:rPr>
          <w:rFonts w:ascii="Garamond" w:eastAsia="Garamond" w:hAnsi="Garamond" w:cs="Garamond"/>
          <w:color w:val="4A4A4A"/>
          <w:sz w:val="24"/>
          <w:szCs w:val="24"/>
        </w:rPr>
      </w:pPr>
      <w:r>
        <w:rPr>
          <w:rFonts w:ascii="Garamond" w:eastAsia="Garamond" w:hAnsi="Garamond" w:cs="Garamond"/>
          <w:color w:val="4A4A4A"/>
          <w:sz w:val="24"/>
          <w:szCs w:val="24"/>
        </w:rPr>
        <w:t>The goal is to share evidence, analysis, and best practices from the Brazilian context, highlighting how race, gender, disability, and territory interact to produce profound inequalities, and how movements led by Afro-descendant and Indigenous women with disabilities have been building innovative responses of care, solidarity, and resistance.</w:t>
      </w:r>
    </w:p>
    <w:p w14:paraId="26C58CBC" w14:textId="77777777" w:rsidR="00257783" w:rsidRDefault="009560B4">
      <w:pPr>
        <w:numPr>
          <w:ilvl w:val="0"/>
          <w:numId w:val="3"/>
        </w:numPr>
        <w:spacing w:after="0"/>
        <w:jc w:val="both"/>
        <w:rPr>
          <w:rFonts w:ascii="Garamond" w:eastAsia="Garamond" w:hAnsi="Garamond" w:cs="Garamond"/>
          <w:color w:val="4A4A4A"/>
          <w:sz w:val="24"/>
          <w:szCs w:val="24"/>
        </w:rPr>
      </w:pPr>
      <w:r>
        <w:rPr>
          <w:rFonts w:ascii="Garamond" w:eastAsia="Garamond" w:hAnsi="Garamond" w:cs="Garamond"/>
          <w:color w:val="4A4A4A"/>
          <w:sz w:val="24"/>
          <w:szCs w:val="24"/>
        </w:rPr>
        <w:t xml:space="preserve">Access to rights and services for people with disabilities in Brazil is not uniform, but rather a lottery </w:t>
      </w:r>
      <w:r>
        <w:rPr>
          <w:rFonts w:ascii="Garamond" w:eastAsia="Garamond" w:hAnsi="Garamond" w:cs="Garamond"/>
          <w:color w:val="4A4A4A"/>
          <w:sz w:val="24"/>
          <w:szCs w:val="24"/>
          <w:vertAlign w:val="superscript"/>
        </w:rPr>
        <w:footnoteReference w:id="1"/>
      </w:r>
      <w:r>
        <w:rPr>
          <w:rFonts w:ascii="Garamond" w:eastAsia="Garamond" w:hAnsi="Garamond" w:cs="Garamond"/>
          <w:color w:val="4A4A4A"/>
          <w:sz w:val="24"/>
          <w:szCs w:val="24"/>
        </w:rPr>
        <w:t>determined by interconnected factors of race, gender, class, and territory. For a family in a marginalized community, securing a diagnosis, accessing therapies, or enrolling in an inclusive school depends on an unpredictable combination of luck, financial resources, and social capital, rather than being a universal right guaranteed by the State.</w:t>
      </w:r>
    </w:p>
    <w:p w14:paraId="03B4DCD2" w14:textId="77777777" w:rsidR="00257783" w:rsidRDefault="009560B4">
      <w:pPr>
        <w:numPr>
          <w:ilvl w:val="0"/>
          <w:numId w:val="3"/>
        </w:numPr>
        <w:spacing w:after="0"/>
        <w:jc w:val="both"/>
        <w:rPr>
          <w:rFonts w:ascii="Garamond" w:eastAsia="Garamond" w:hAnsi="Garamond" w:cs="Garamond"/>
          <w:color w:val="4A4A4A"/>
          <w:sz w:val="24"/>
          <w:szCs w:val="24"/>
        </w:rPr>
      </w:pPr>
      <w:r>
        <w:rPr>
          <w:rFonts w:ascii="Garamond" w:eastAsia="Garamond" w:hAnsi="Garamond" w:cs="Garamond"/>
          <w:sz w:val="24"/>
          <w:szCs w:val="24"/>
        </w:rPr>
        <w:t xml:space="preserve">Brazil's history of exclusion, rooted in racist, ableist, and sexist ideologies, continues to marginalize girls and women with disabilities and their families. This exclusion manifests itself most acutely among Afro-descendant women in peripheral areas, who disproportionately assume the role of unpaid caregivers </w:t>
      </w:r>
      <w:r>
        <w:rPr>
          <w:rFonts w:ascii="Garamond" w:eastAsia="Garamond" w:hAnsi="Garamond" w:cs="Garamond"/>
          <w:sz w:val="24"/>
          <w:szCs w:val="24"/>
          <w:vertAlign w:val="superscript"/>
        </w:rPr>
        <w:footnoteReference w:id="2"/>
      </w:r>
      <w:r>
        <w:rPr>
          <w:rFonts w:ascii="Garamond" w:eastAsia="Garamond" w:hAnsi="Garamond" w:cs="Garamond"/>
          <w:sz w:val="24"/>
          <w:szCs w:val="24"/>
        </w:rPr>
        <w:t xml:space="preserve">, bearing the emotional and financial burdens of a system that fails to provide adequate support. </w:t>
      </w:r>
    </w:p>
    <w:p w14:paraId="4C881392" w14:textId="77777777" w:rsidR="00257783" w:rsidRDefault="009560B4">
      <w:pPr>
        <w:spacing w:after="0"/>
        <w:ind w:left="-566"/>
        <w:jc w:val="both"/>
        <w:rPr>
          <w:rFonts w:ascii="Garamond" w:eastAsia="Garamond" w:hAnsi="Garamond" w:cs="Garamond"/>
          <w:color w:val="4A4A4A"/>
          <w:sz w:val="24"/>
          <w:szCs w:val="24"/>
        </w:rPr>
      </w:pPr>
      <w:r>
        <w:rPr>
          <w:sz w:val="24"/>
          <w:szCs w:val="24"/>
        </w:rPr>
        <w:br/>
      </w:r>
      <w:r>
        <w:rPr>
          <w:rFonts w:ascii="Garamond" w:eastAsia="Garamond" w:hAnsi="Garamond" w:cs="Garamond"/>
          <w:b/>
        </w:rPr>
        <w:t>The Historical and Political Context</w:t>
      </w:r>
      <w:r>
        <w:rPr>
          <w:b/>
          <w:sz w:val="24"/>
          <w:szCs w:val="24"/>
        </w:rPr>
        <w:br/>
      </w:r>
    </w:p>
    <w:p w14:paraId="1B63931F" w14:textId="77777777" w:rsidR="00257783" w:rsidRDefault="009560B4">
      <w:pPr>
        <w:numPr>
          <w:ilvl w:val="0"/>
          <w:numId w:val="3"/>
        </w:numPr>
        <w:spacing w:after="0"/>
        <w:jc w:val="both"/>
        <w:rPr>
          <w:rFonts w:ascii="Garamond" w:eastAsia="Garamond" w:hAnsi="Garamond" w:cs="Garamond"/>
          <w:color w:val="4A4A4A"/>
          <w:sz w:val="24"/>
          <w:szCs w:val="24"/>
        </w:rPr>
      </w:pPr>
      <w:r>
        <w:rPr>
          <w:rFonts w:ascii="Garamond" w:eastAsia="Garamond" w:hAnsi="Garamond" w:cs="Garamond"/>
          <w:color w:val="4A4A4A"/>
          <w:sz w:val="24"/>
          <w:szCs w:val="24"/>
        </w:rPr>
        <w:t xml:space="preserve">Understanding the historical legacy of exclusion and the legal history governing the rights of people with disabilities is a strategic step in assessing current barriers. The structures of oppression from the past have not disappeared; they have transformed and continue to impact contemporary policies and practices, shaping who has access to rights and who is left behind. This section contextualizes how this historical legacy and the shortcomings of the current political landscape create the conditions for </w:t>
      </w:r>
      <w:r>
        <w:rPr>
          <w:rFonts w:ascii="Garamond" w:eastAsia="Garamond" w:hAnsi="Garamond" w:cs="Garamond"/>
          <w:color w:val="4A4A4A"/>
          <w:sz w:val="24"/>
          <w:szCs w:val="24"/>
        </w:rPr>
        <w:t>the "lottery of access" experienced today.</w:t>
      </w:r>
    </w:p>
    <w:p w14:paraId="560FBFE3" w14:textId="77777777" w:rsidR="00257783" w:rsidRDefault="009560B4">
      <w:pPr>
        <w:numPr>
          <w:ilvl w:val="0"/>
          <w:numId w:val="3"/>
        </w:numPr>
        <w:spacing w:after="240"/>
        <w:jc w:val="both"/>
        <w:rPr>
          <w:rFonts w:ascii="Garamond" w:eastAsia="Garamond" w:hAnsi="Garamond" w:cs="Garamond"/>
          <w:color w:val="4A4A4A"/>
          <w:sz w:val="24"/>
          <w:szCs w:val="24"/>
        </w:rPr>
      </w:pPr>
      <w:r>
        <w:rPr>
          <w:rFonts w:ascii="Garamond" w:eastAsia="Garamond" w:hAnsi="Garamond" w:cs="Garamond"/>
          <w:color w:val="4A4A4A"/>
          <w:sz w:val="24"/>
          <w:szCs w:val="24"/>
        </w:rPr>
        <w:t>Brazilian history, since the period of slavery, has been based on the classification and valuation of bodies according to their productive capacity, race, and gender. This system formed the basis for modern concepts of disability, which are rooted in racism and eugenics. Enslaved individuals were more vulnerable to acquiring disabilities due to appalling living conditions, disease, and violence, but this did not exclude them from forced labor. In fact, disability was instrumentalized: some enslaved individu</w:t>
      </w:r>
      <w:r>
        <w:rPr>
          <w:rFonts w:ascii="Garamond" w:eastAsia="Garamond" w:hAnsi="Garamond" w:cs="Garamond"/>
          <w:color w:val="4A4A4A"/>
          <w:sz w:val="24"/>
          <w:szCs w:val="24"/>
        </w:rPr>
        <w:t xml:space="preserve">als, such as blind people, were preferred for certain tasks due to the greater control that enslavers could exert over them. After abolition, people with </w:t>
      </w:r>
      <w:r>
        <w:rPr>
          <w:rFonts w:ascii="Garamond" w:eastAsia="Garamond" w:hAnsi="Garamond" w:cs="Garamond"/>
          <w:color w:val="4A4A4A"/>
          <w:sz w:val="24"/>
          <w:szCs w:val="24"/>
        </w:rPr>
        <w:lastRenderedPageBreak/>
        <w:t>disabilities, the elderly, and children were frequently abandoned or institutionalized, seen as unproductive for the new society.</w:t>
      </w:r>
      <w:r>
        <w:rPr>
          <w:rFonts w:ascii="Garamond" w:eastAsia="Garamond" w:hAnsi="Garamond" w:cs="Garamond"/>
          <w:color w:val="4A4A4A"/>
          <w:sz w:val="24"/>
          <w:szCs w:val="24"/>
          <w:vertAlign w:val="superscript"/>
        </w:rPr>
        <w:footnoteReference w:id="3"/>
      </w:r>
    </w:p>
    <w:p w14:paraId="35414713" w14:textId="77777777" w:rsidR="00257783" w:rsidRDefault="009560B4">
      <w:pPr>
        <w:pStyle w:val="Title"/>
        <w:ind w:left="-283"/>
      </w:pPr>
      <w:bookmarkStart w:id="0" w:name="_fxqv8iidu250" w:colFirst="0" w:colLast="0"/>
      <w:bookmarkEnd w:id="0"/>
      <w:r>
        <w:t>Relevant National Policies</w:t>
      </w:r>
    </w:p>
    <w:p w14:paraId="2450750D" w14:textId="77777777" w:rsidR="00257783" w:rsidRDefault="009560B4">
      <w:pPr>
        <w:numPr>
          <w:ilvl w:val="0"/>
          <w:numId w:val="3"/>
        </w:numPr>
        <w:spacing w:before="240" w:after="0"/>
        <w:jc w:val="both"/>
        <w:rPr>
          <w:rFonts w:ascii="Garamond" w:eastAsia="Garamond" w:hAnsi="Garamond" w:cs="Garamond"/>
          <w:color w:val="4A4A4A"/>
          <w:sz w:val="24"/>
          <w:szCs w:val="24"/>
        </w:rPr>
      </w:pPr>
      <w:r>
        <w:rPr>
          <w:rFonts w:ascii="Garamond" w:eastAsia="Garamond" w:hAnsi="Garamond" w:cs="Garamond"/>
          <w:color w:val="4A4A4A"/>
          <w:sz w:val="24"/>
          <w:szCs w:val="24"/>
        </w:rPr>
        <w:t>In addition to CEDAW, Brazil is a signatory to the United Nations Convention on the Rights of Persons with Disabilities (CRPD), having ratified it with a constitutional amendment, and to its Optional Protocol, which explicitly mentions persons with disabilities who are subject to multiple or aggravated forms of discrimination based on race, color, sex, language, religion, political or other opinion, nationality, ethnicity, indigenous or social origin, property, birth, age or other status, in its Preamble. A</w:t>
      </w:r>
      <w:r>
        <w:rPr>
          <w:rFonts w:ascii="Garamond" w:eastAsia="Garamond" w:hAnsi="Garamond" w:cs="Garamond"/>
          <w:color w:val="4A4A4A"/>
          <w:sz w:val="24"/>
          <w:szCs w:val="24"/>
        </w:rPr>
        <w:t>rticle 6 also specifically mentions women and girls with disabilities who are subject to multiple discrimination.</w:t>
      </w:r>
      <w:r>
        <w:rPr>
          <w:rFonts w:ascii="Garamond" w:eastAsia="Garamond" w:hAnsi="Garamond" w:cs="Garamond"/>
          <w:color w:val="4A4A4A"/>
          <w:sz w:val="24"/>
          <w:szCs w:val="24"/>
          <w:vertAlign w:val="superscript"/>
        </w:rPr>
        <w:footnoteReference w:id="4"/>
      </w:r>
    </w:p>
    <w:p w14:paraId="3DA742B3" w14:textId="77777777" w:rsidR="00257783" w:rsidRDefault="009560B4">
      <w:pPr>
        <w:numPr>
          <w:ilvl w:val="0"/>
          <w:numId w:val="3"/>
        </w:numPr>
        <w:spacing w:after="0"/>
        <w:jc w:val="both"/>
        <w:rPr>
          <w:rFonts w:ascii="Garamond" w:eastAsia="Garamond" w:hAnsi="Garamond" w:cs="Garamond"/>
          <w:color w:val="4A4A4A"/>
          <w:sz w:val="24"/>
          <w:szCs w:val="24"/>
        </w:rPr>
      </w:pPr>
      <w:r>
        <w:rPr>
          <w:rFonts w:ascii="Garamond" w:eastAsia="Garamond" w:hAnsi="Garamond" w:cs="Garamond"/>
          <w:color w:val="4A4A4A"/>
          <w:sz w:val="24"/>
          <w:szCs w:val="24"/>
        </w:rPr>
        <w:t xml:space="preserve">Brazil also has several state policies and national strategies aimed at defending the rights of people with disabilities. For example, the Brazilian Law for the Inclusion of People with Disabilities (Statute of People with Disabilities) </w:t>
      </w:r>
      <w:r>
        <w:rPr>
          <w:rFonts w:ascii="Garamond" w:eastAsia="Garamond" w:hAnsi="Garamond" w:cs="Garamond"/>
          <w:color w:val="4A4A4A"/>
          <w:sz w:val="24"/>
          <w:szCs w:val="24"/>
          <w:vertAlign w:val="superscript"/>
        </w:rPr>
        <w:footnoteReference w:id="5"/>
      </w:r>
      <w:r>
        <w:rPr>
          <w:rFonts w:ascii="Garamond" w:eastAsia="Garamond" w:hAnsi="Garamond" w:cs="Garamond"/>
          <w:color w:val="4A4A4A"/>
          <w:sz w:val="24"/>
          <w:szCs w:val="24"/>
        </w:rPr>
        <w:t xml:space="preserve">; the National Policy for the Integration of People with Disabilities </w:t>
      </w:r>
      <w:r>
        <w:rPr>
          <w:rFonts w:ascii="Garamond" w:eastAsia="Garamond" w:hAnsi="Garamond" w:cs="Garamond"/>
          <w:color w:val="4A4A4A"/>
          <w:sz w:val="24"/>
          <w:szCs w:val="24"/>
          <w:vertAlign w:val="superscript"/>
        </w:rPr>
        <w:footnoteReference w:id="6"/>
      </w:r>
      <w:r>
        <w:rPr>
          <w:rFonts w:ascii="Garamond" w:eastAsia="Garamond" w:hAnsi="Garamond" w:cs="Garamond"/>
          <w:color w:val="4A4A4A"/>
          <w:sz w:val="24"/>
          <w:szCs w:val="24"/>
        </w:rPr>
        <w:t xml:space="preserve">, relating to the inclusion of people with disabilities in the labor market; the National Policy for Special Education from the Perspective of Inclusive Education (PNEEPEI) </w:t>
      </w:r>
      <w:r>
        <w:rPr>
          <w:rFonts w:ascii="Garamond" w:eastAsia="Garamond" w:hAnsi="Garamond" w:cs="Garamond"/>
          <w:color w:val="4A4A4A"/>
          <w:sz w:val="24"/>
          <w:szCs w:val="24"/>
          <w:vertAlign w:val="superscript"/>
        </w:rPr>
        <w:footnoteReference w:id="7"/>
      </w:r>
      <w:r>
        <w:rPr>
          <w:rFonts w:ascii="Garamond" w:eastAsia="Garamond" w:hAnsi="Garamond" w:cs="Garamond"/>
          <w:color w:val="4A4A4A"/>
          <w:sz w:val="24"/>
          <w:szCs w:val="24"/>
        </w:rPr>
        <w:t xml:space="preserve">; Law No. 10.216/01, relating to the protection and rights of 'people with mental disorders'. </w:t>
      </w:r>
      <w:r>
        <w:rPr>
          <w:rFonts w:ascii="Garamond" w:eastAsia="Garamond" w:hAnsi="Garamond" w:cs="Garamond"/>
          <w:color w:val="4A4A4A"/>
          <w:sz w:val="24"/>
          <w:szCs w:val="24"/>
          <w:vertAlign w:val="superscript"/>
        </w:rPr>
        <w:footnoteReference w:id="8"/>
      </w:r>
      <w:r>
        <w:rPr>
          <w:rFonts w:ascii="Garamond" w:eastAsia="Garamond" w:hAnsi="Garamond" w:cs="Garamond"/>
          <w:color w:val="4A4A4A"/>
          <w:sz w:val="24"/>
          <w:szCs w:val="24"/>
        </w:rPr>
        <w:t xml:space="preserve">The National Quota Law of 2012 </w:t>
      </w:r>
      <w:r>
        <w:rPr>
          <w:rFonts w:ascii="Garamond" w:eastAsia="Garamond" w:hAnsi="Garamond" w:cs="Garamond"/>
          <w:color w:val="4A4A4A"/>
          <w:sz w:val="24"/>
          <w:szCs w:val="24"/>
          <w:vertAlign w:val="superscript"/>
        </w:rPr>
        <w:footnoteReference w:id="9"/>
      </w:r>
      <w:r>
        <w:rPr>
          <w:rFonts w:ascii="Garamond" w:eastAsia="Garamond" w:hAnsi="Garamond" w:cs="Garamond"/>
          <w:color w:val="4A4A4A"/>
          <w:sz w:val="24"/>
          <w:szCs w:val="24"/>
        </w:rPr>
        <w:t>allocates 50% of places for black, indigenous, and disabled students to enter federal universities.</w:t>
      </w:r>
    </w:p>
    <w:p w14:paraId="54B691BC" w14:textId="77777777" w:rsidR="00257783" w:rsidRDefault="009560B4">
      <w:pPr>
        <w:numPr>
          <w:ilvl w:val="0"/>
          <w:numId w:val="3"/>
        </w:numPr>
        <w:spacing w:after="0"/>
        <w:jc w:val="both"/>
        <w:rPr>
          <w:rFonts w:ascii="Garamond" w:eastAsia="Garamond" w:hAnsi="Garamond" w:cs="Garamond"/>
          <w:color w:val="4A4A4A"/>
          <w:sz w:val="24"/>
          <w:szCs w:val="24"/>
        </w:rPr>
      </w:pPr>
      <w:r>
        <w:rPr>
          <w:rFonts w:ascii="Garamond" w:eastAsia="Garamond" w:hAnsi="Garamond" w:cs="Garamond"/>
          <w:color w:val="4A4A4A"/>
          <w:sz w:val="24"/>
          <w:szCs w:val="24"/>
        </w:rPr>
        <w:t>However, the legal framework and national policies of the Unified Health System (SUS) aim to guarantee universal and free access to healthcare, including rehabilitation, therapies, and specialized treatments for people with disabilities.</w:t>
      </w:r>
      <w:r>
        <w:rPr>
          <w:rFonts w:ascii="Garamond" w:eastAsia="Garamond" w:hAnsi="Garamond" w:cs="Garamond"/>
          <w:color w:val="4A4A4A"/>
          <w:sz w:val="24"/>
          <w:szCs w:val="24"/>
          <w:vertAlign w:val="superscript"/>
        </w:rPr>
        <w:footnoteReference w:id="10"/>
      </w:r>
    </w:p>
    <w:p w14:paraId="7B01C8C9" w14:textId="77777777" w:rsidR="00257783" w:rsidRDefault="009560B4">
      <w:pPr>
        <w:numPr>
          <w:ilvl w:val="0"/>
          <w:numId w:val="3"/>
        </w:numPr>
        <w:spacing w:after="0"/>
        <w:jc w:val="both"/>
        <w:rPr>
          <w:rFonts w:ascii="Garamond" w:eastAsia="Garamond" w:hAnsi="Garamond" w:cs="Garamond"/>
          <w:color w:val="4A4A4A"/>
          <w:sz w:val="24"/>
          <w:szCs w:val="24"/>
        </w:rPr>
      </w:pPr>
      <w:r>
        <w:rPr>
          <w:rFonts w:ascii="Garamond" w:eastAsia="Garamond" w:hAnsi="Garamond" w:cs="Garamond"/>
          <w:color w:val="4A4A4A"/>
          <w:sz w:val="24"/>
          <w:szCs w:val="24"/>
        </w:rPr>
        <w:t xml:space="preserve"> The Continuous Benefit Payment (BPC), provided for in the LOAS (Organic Law of Social Assistance), guarantees a monthly minimum wage to elderly people aged 65 or older and to people with disabilities who prove long-term </w:t>
      </w:r>
      <w:proofErr w:type="gramStart"/>
      <w:r>
        <w:rPr>
          <w:rFonts w:ascii="Garamond" w:eastAsia="Garamond" w:hAnsi="Garamond" w:cs="Garamond"/>
          <w:color w:val="4A4A4A"/>
          <w:sz w:val="24"/>
          <w:szCs w:val="24"/>
        </w:rPr>
        <w:t>impairments</w:t>
      </w:r>
      <w:proofErr w:type="gramEnd"/>
      <w:r>
        <w:rPr>
          <w:rFonts w:ascii="Garamond" w:eastAsia="Garamond" w:hAnsi="Garamond" w:cs="Garamond"/>
          <w:color w:val="4A4A4A"/>
          <w:sz w:val="24"/>
          <w:szCs w:val="24"/>
        </w:rPr>
        <w:t xml:space="preserve"> and do not have their own means of subsistence, nor sufficient support from their family. Access to the benefit requires registration and updating in the Unified Registry, social assessment and, in the case of disability, biopsychosocial assessment. In general, the per capita family income must be equal to or less than one-quarter of the minimum wage, however, decisions and regulations that consider situations of expanded vulnerability must be observed. The benefit cannot be accumulated with oth</w:t>
      </w:r>
      <w:r>
        <w:rPr>
          <w:rFonts w:ascii="Garamond" w:eastAsia="Garamond" w:hAnsi="Garamond" w:cs="Garamond"/>
          <w:color w:val="4A4A4A"/>
          <w:sz w:val="24"/>
          <w:szCs w:val="24"/>
        </w:rPr>
        <w:t>er social security benefits, except for legal exceptions.</w:t>
      </w:r>
      <w:r>
        <w:rPr>
          <w:rFonts w:ascii="Garamond" w:eastAsia="Garamond" w:hAnsi="Garamond" w:cs="Garamond"/>
          <w:color w:val="4A4A4A"/>
          <w:sz w:val="24"/>
          <w:szCs w:val="24"/>
          <w:vertAlign w:val="superscript"/>
        </w:rPr>
        <w:footnoteReference w:id="11"/>
      </w:r>
    </w:p>
    <w:p w14:paraId="0E80D204" w14:textId="77777777" w:rsidR="00257783" w:rsidRDefault="009560B4">
      <w:pPr>
        <w:numPr>
          <w:ilvl w:val="0"/>
          <w:numId w:val="3"/>
        </w:numPr>
        <w:spacing w:after="0"/>
        <w:jc w:val="both"/>
        <w:rPr>
          <w:rFonts w:ascii="Garamond" w:eastAsia="Garamond" w:hAnsi="Garamond" w:cs="Garamond"/>
          <w:color w:val="4A4A4A"/>
          <w:sz w:val="24"/>
          <w:szCs w:val="24"/>
        </w:rPr>
      </w:pPr>
      <w:r>
        <w:rPr>
          <w:rFonts w:ascii="Garamond" w:eastAsia="Garamond" w:hAnsi="Garamond" w:cs="Garamond"/>
          <w:color w:val="4A4A4A"/>
          <w:sz w:val="24"/>
          <w:szCs w:val="24"/>
        </w:rPr>
        <w:lastRenderedPageBreak/>
        <w:t xml:space="preserve"> Decree No. 12,534/2025 </w:t>
      </w:r>
      <w:r>
        <w:rPr>
          <w:rFonts w:ascii="Garamond" w:eastAsia="Garamond" w:hAnsi="Garamond" w:cs="Garamond"/>
          <w:color w:val="4A4A4A"/>
          <w:sz w:val="24"/>
          <w:szCs w:val="24"/>
          <w:vertAlign w:val="superscript"/>
        </w:rPr>
        <w:footnoteReference w:id="12"/>
      </w:r>
      <w:r>
        <w:rPr>
          <w:rFonts w:ascii="Garamond" w:eastAsia="Garamond" w:hAnsi="Garamond" w:cs="Garamond"/>
          <w:color w:val="4A4A4A"/>
          <w:sz w:val="24"/>
          <w:szCs w:val="24"/>
        </w:rPr>
        <w:t>updates the rules of the BPC (Continuous Benefit Program), including in the calculation of family income the amounts received from income transfer programs, such as Bolsa Família, and reinforcing mechanisms for control and registration review.</w:t>
      </w:r>
    </w:p>
    <w:p w14:paraId="7F0594D4" w14:textId="77777777" w:rsidR="00257783" w:rsidRDefault="009560B4">
      <w:pPr>
        <w:numPr>
          <w:ilvl w:val="0"/>
          <w:numId w:val="3"/>
        </w:numPr>
        <w:spacing w:after="0"/>
        <w:jc w:val="both"/>
        <w:rPr>
          <w:rFonts w:ascii="Garamond" w:eastAsia="Garamond" w:hAnsi="Garamond" w:cs="Garamond"/>
          <w:color w:val="4A4A4A"/>
          <w:sz w:val="24"/>
          <w:szCs w:val="24"/>
        </w:rPr>
      </w:pPr>
      <w:r>
        <w:rPr>
          <w:rFonts w:ascii="Garamond" w:eastAsia="Garamond" w:hAnsi="Garamond" w:cs="Garamond"/>
          <w:color w:val="4A4A4A"/>
          <w:sz w:val="24"/>
          <w:szCs w:val="24"/>
        </w:rPr>
        <w:t xml:space="preserve"> This change directly impacts families living in extreme poverty, as it broadens the income criteria considered and may result in a reduction in the number of eligible individuals. The BPC (Continuous Cash Benefit) is part of the Unified Social Assistance System (SUAS) </w:t>
      </w:r>
      <w:r>
        <w:rPr>
          <w:rFonts w:ascii="Garamond" w:eastAsia="Garamond" w:hAnsi="Garamond" w:cs="Garamond"/>
          <w:color w:val="4A4A4A"/>
          <w:sz w:val="24"/>
          <w:szCs w:val="24"/>
          <w:vertAlign w:val="superscript"/>
        </w:rPr>
        <w:footnoteReference w:id="13"/>
      </w:r>
      <w:r>
        <w:rPr>
          <w:rFonts w:ascii="Garamond" w:eastAsia="Garamond" w:hAnsi="Garamond" w:cs="Garamond"/>
          <w:color w:val="4A4A4A"/>
          <w:sz w:val="24"/>
          <w:szCs w:val="24"/>
        </w:rPr>
        <w:t>, constituting an essential policy to guarantee dignity, autonomy, and social participation for elderly people and people with disabilities in situations of socioeconomic vulnerability.</w:t>
      </w:r>
    </w:p>
    <w:p w14:paraId="142B7DC2" w14:textId="77777777" w:rsidR="00257783" w:rsidRDefault="009560B4">
      <w:pPr>
        <w:numPr>
          <w:ilvl w:val="0"/>
          <w:numId w:val="3"/>
        </w:numPr>
        <w:spacing w:after="240"/>
        <w:jc w:val="both"/>
        <w:rPr>
          <w:rFonts w:ascii="Garamond" w:eastAsia="Garamond" w:hAnsi="Garamond" w:cs="Garamond"/>
          <w:color w:val="4A4A4A"/>
          <w:sz w:val="24"/>
          <w:szCs w:val="24"/>
        </w:rPr>
      </w:pPr>
      <w:r>
        <w:rPr>
          <w:rFonts w:ascii="Garamond" w:eastAsia="Garamond" w:hAnsi="Garamond" w:cs="Garamond"/>
          <w:color w:val="4A4A4A"/>
          <w:sz w:val="24"/>
          <w:szCs w:val="24"/>
        </w:rPr>
        <w:t xml:space="preserve"> The National Care Policy, established in 2024 by Law 15.069/2024, establishes the right to care in its forms of "being cared for," "caring," and "self-care," assigning co-responsibility to the State, families, the private sector, and civil society, and defines that this policy will be applied in a transversal, intersectoral, and sensitive manner to multiple inequalities. The law sets as objectives guaranteeing quality access to care for both caregivers and those being cared for; promoting decent work for p</w:t>
      </w:r>
      <w:r>
        <w:rPr>
          <w:rFonts w:ascii="Garamond" w:eastAsia="Garamond" w:hAnsi="Garamond" w:cs="Garamond"/>
          <w:color w:val="4A4A4A"/>
          <w:sz w:val="24"/>
          <w:szCs w:val="24"/>
        </w:rPr>
        <w:t>aid care workers and reducing the burden of unpaid care, predominantly assumed by women; and encouraging the compatibility between paid work and family care responsibilities. Furthermore, it defines principles such as dignity, equity, anti-racism, and co-responsibility between genders, and provides for the development of the National Care Plan, with goals, indicators, and interconnected actions across health, social assistance, work, education, and other public policies.</w:t>
      </w:r>
      <w:r>
        <w:rPr>
          <w:rFonts w:ascii="Garamond" w:eastAsia="Garamond" w:hAnsi="Garamond" w:cs="Garamond"/>
          <w:color w:val="4A4A4A"/>
          <w:sz w:val="24"/>
          <w:szCs w:val="24"/>
          <w:vertAlign w:val="superscript"/>
        </w:rPr>
        <w:footnoteReference w:id="14"/>
      </w:r>
    </w:p>
    <w:p w14:paraId="63842EF3" w14:textId="77777777" w:rsidR="00257783" w:rsidRDefault="009560B4">
      <w:pPr>
        <w:pStyle w:val="Title"/>
        <w:spacing w:before="360" w:after="80"/>
        <w:ind w:left="-283"/>
      </w:pPr>
      <w:bookmarkStart w:id="1" w:name="_rl1t18nd9e84" w:colFirst="0" w:colLast="0"/>
      <w:bookmarkEnd w:id="1"/>
      <w:r>
        <w:t>Systemic Barriers: Gender, Race, and Disability</w:t>
      </w:r>
    </w:p>
    <w:p w14:paraId="610A1850" w14:textId="77777777" w:rsidR="00257783" w:rsidRDefault="009560B4">
      <w:pPr>
        <w:numPr>
          <w:ilvl w:val="0"/>
          <w:numId w:val="3"/>
        </w:numPr>
        <w:spacing w:before="240" w:after="240"/>
        <w:jc w:val="both"/>
        <w:rPr>
          <w:rFonts w:ascii="Garamond" w:eastAsia="Garamond" w:hAnsi="Garamond" w:cs="Garamond"/>
          <w:color w:val="4A4A4A"/>
          <w:sz w:val="24"/>
          <w:szCs w:val="24"/>
        </w:rPr>
      </w:pPr>
      <w:r>
        <w:rPr>
          <w:rFonts w:ascii="Garamond" w:eastAsia="Garamond" w:hAnsi="Garamond" w:cs="Garamond"/>
          <w:color w:val="4A4A4A"/>
          <w:sz w:val="24"/>
          <w:szCs w:val="24"/>
        </w:rPr>
        <w:t xml:space="preserve"> In practice, access to health, social assistance, and education for people with disabilities in Brazil functions like an "access lottery." Instead of a universal right guaranteed by the State, access to vital services is fragmented, unpredictable, and heavily conditioned by socioeconomic, racial, and gender factors.</w:t>
      </w:r>
    </w:p>
    <w:p w14:paraId="5B538E73" w14:textId="77777777" w:rsidR="00257783" w:rsidRDefault="009560B4">
      <w:pPr>
        <w:pStyle w:val="Title"/>
        <w:ind w:left="-283"/>
      </w:pPr>
      <w:bookmarkStart w:id="2" w:name="_8jj82k22y2th" w:colFirst="0" w:colLast="0"/>
      <w:bookmarkEnd w:id="2"/>
      <w:r>
        <w:t>In Health</w:t>
      </w:r>
    </w:p>
    <w:p w14:paraId="2F8CC65E" w14:textId="77777777" w:rsidR="00257783" w:rsidRDefault="009560B4">
      <w:pPr>
        <w:numPr>
          <w:ilvl w:val="0"/>
          <w:numId w:val="3"/>
        </w:numPr>
        <w:spacing w:before="240" w:after="0"/>
        <w:jc w:val="both"/>
        <w:rPr>
          <w:rFonts w:ascii="Garamond" w:eastAsia="Garamond" w:hAnsi="Garamond" w:cs="Garamond"/>
          <w:color w:val="4A4A4A"/>
          <w:sz w:val="24"/>
          <w:szCs w:val="24"/>
        </w:rPr>
      </w:pPr>
      <w:r>
        <w:rPr>
          <w:rFonts w:ascii="Garamond" w:eastAsia="Garamond" w:hAnsi="Garamond" w:cs="Garamond"/>
          <w:color w:val="4A4A4A"/>
          <w:sz w:val="24"/>
          <w:szCs w:val="24"/>
        </w:rPr>
        <w:t>There is a considerable lack of access to adequate health services and care for Afro-descendant and Indigenous communities, including disability diagnosis, maternal health care, preventive health care, care support, and family planning services. This lack of access is exacerbated for women with disabilities within these communities and for women family caregivers due to multiple and intersecting discrimination based on race, disability, and gender. The lack of access to health care and care services leads t</w:t>
      </w:r>
      <w:r>
        <w:rPr>
          <w:rFonts w:ascii="Garamond" w:eastAsia="Garamond" w:hAnsi="Garamond" w:cs="Garamond"/>
          <w:color w:val="4A4A4A"/>
          <w:sz w:val="24"/>
          <w:szCs w:val="24"/>
        </w:rPr>
        <w:t>o the debilitation of both people with disabilities and their caregivers, including the worsening of pre-existing health conditions and the creation of new disabilities.</w:t>
      </w:r>
    </w:p>
    <w:p w14:paraId="46A2CFE7" w14:textId="77777777" w:rsidR="00257783" w:rsidRDefault="009560B4">
      <w:pPr>
        <w:numPr>
          <w:ilvl w:val="0"/>
          <w:numId w:val="3"/>
        </w:numPr>
        <w:spacing w:after="0"/>
        <w:jc w:val="both"/>
        <w:rPr>
          <w:rFonts w:ascii="Garamond" w:eastAsia="Garamond" w:hAnsi="Garamond" w:cs="Garamond"/>
          <w:color w:val="4A4A4A"/>
          <w:sz w:val="24"/>
          <w:szCs w:val="24"/>
        </w:rPr>
      </w:pPr>
      <w:r>
        <w:rPr>
          <w:rFonts w:ascii="Garamond" w:eastAsia="Garamond" w:hAnsi="Garamond" w:cs="Garamond"/>
          <w:color w:val="4A4A4A"/>
          <w:sz w:val="24"/>
          <w:szCs w:val="24"/>
        </w:rPr>
        <w:lastRenderedPageBreak/>
        <w:t xml:space="preserve">The very process of diagnosing and preventing health problems in women with disabilities </w:t>
      </w:r>
      <w:r>
        <w:rPr>
          <w:rFonts w:ascii="Garamond" w:eastAsia="Garamond" w:hAnsi="Garamond" w:cs="Garamond"/>
          <w:color w:val="4A4A4A"/>
          <w:sz w:val="24"/>
          <w:szCs w:val="24"/>
          <w:vertAlign w:val="superscript"/>
        </w:rPr>
        <w:footnoteReference w:id="15"/>
      </w:r>
      <w:r>
        <w:rPr>
          <w:rFonts w:ascii="Garamond" w:eastAsia="Garamond" w:hAnsi="Garamond" w:cs="Garamond"/>
          <w:color w:val="4A4A4A"/>
          <w:sz w:val="24"/>
          <w:szCs w:val="24"/>
        </w:rPr>
        <w:t xml:space="preserve">acts as the first major element in Brazil's "access lottery," a bureaucratic and slow system rooted in an outdated medical model that immediately disadvantages racialized families, including Afro-descendant women and girls with disabilities </w:t>
      </w:r>
      <w:r>
        <w:rPr>
          <w:rFonts w:ascii="Garamond" w:eastAsia="Garamond" w:hAnsi="Garamond" w:cs="Garamond"/>
          <w:color w:val="4A4A4A"/>
          <w:sz w:val="24"/>
          <w:szCs w:val="24"/>
          <w:vertAlign w:val="superscript"/>
        </w:rPr>
        <w:footnoteReference w:id="16"/>
      </w:r>
      <w:r>
        <w:rPr>
          <w:rFonts w:ascii="Garamond" w:eastAsia="Garamond" w:hAnsi="Garamond" w:cs="Garamond"/>
          <w:color w:val="4A4A4A"/>
          <w:sz w:val="24"/>
          <w:szCs w:val="24"/>
        </w:rPr>
        <w:t>.</w:t>
      </w:r>
    </w:p>
    <w:p w14:paraId="6F0E9CE5" w14:textId="77777777" w:rsidR="00257783" w:rsidRDefault="009560B4">
      <w:pPr>
        <w:numPr>
          <w:ilvl w:val="0"/>
          <w:numId w:val="3"/>
        </w:numPr>
        <w:spacing w:after="0"/>
        <w:jc w:val="both"/>
        <w:rPr>
          <w:rFonts w:ascii="Garamond" w:eastAsia="Garamond" w:hAnsi="Garamond" w:cs="Garamond"/>
          <w:color w:val="4A4A4A"/>
          <w:sz w:val="24"/>
          <w:szCs w:val="24"/>
        </w:rPr>
      </w:pPr>
      <w:r>
        <w:rPr>
          <w:rFonts w:ascii="Garamond" w:eastAsia="Garamond" w:hAnsi="Garamond" w:cs="Garamond"/>
          <w:color w:val="4A4A4A"/>
          <w:sz w:val="24"/>
          <w:szCs w:val="24"/>
        </w:rPr>
        <w:t xml:space="preserve">This initial barrier is already marked by profound racial inequality. Data from the Black Lives with Disabilities Matter (LNDI) report </w:t>
      </w:r>
      <w:r>
        <w:rPr>
          <w:rFonts w:ascii="Garamond" w:eastAsia="Garamond" w:hAnsi="Garamond" w:cs="Garamond"/>
          <w:color w:val="4A4A4A"/>
          <w:sz w:val="24"/>
          <w:szCs w:val="24"/>
          <w:vertAlign w:val="superscript"/>
        </w:rPr>
        <w:footnoteReference w:id="17"/>
      </w:r>
      <w:r>
        <w:rPr>
          <w:rFonts w:ascii="Garamond" w:eastAsia="Garamond" w:hAnsi="Garamond" w:cs="Garamond"/>
          <w:color w:val="4A4A4A"/>
          <w:sz w:val="24"/>
          <w:szCs w:val="24"/>
        </w:rPr>
        <w:t>reveals that 27% of African American children have been denied a diagnosis at some point, compared to only 10% of white children. This disparity is not an isolated statistical anomaly, but a direct consequence of the historical legacy of racism and eugenics in medical structures, as detailed earlier, which continues to shape current diagnostic practices.</w:t>
      </w:r>
    </w:p>
    <w:p w14:paraId="1EA5DE13" w14:textId="77777777" w:rsidR="00257783" w:rsidRDefault="009560B4">
      <w:pPr>
        <w:numPr>
          <w:ilvl w:val="0"/>
          <w:numId w:val="3"/>
        </w:numPr>
        <w:spacing w:after="0"/>
        <w:jc w:val="both"/>
        <w:rPr>
          <w:rFonts w:ascii="Garamond" w:eastAsia="Garamond" w:hAnsi="Garamond" w:cs="Garamond"/>
          <w:color w:val="4A4A4A"/>
          <w:sz w:val="24"/>
          <w:szCs w:val="24"/>
        </w:rPr>
      </w:pPr>
      <w:r>
        <w:rPr>
          <w:rFonts w:ascii="Garamond" w:eastAsia="Garamond" w:hAnsi="Garamond" w:cs="Garamond"/>
          <w:color w:val="4A4A4A"/>
          <w:sz w:val="24"/>
          <w:szCs w:val="24"/>
        </w:rPr>
        <w:t xml:space="preserve">The Black population experiences a general lack of access to healthcare in Brazil,27 which is exacerbated for Afro-descendant women due to institutional racism and sexism. </w:t>
      </w:r>
      <w:r>
        <w:rPr>
          <w:rFonts w:ascii="Garamond" w:eastAsia="Garamond" w:hAnsi="Garamond" w:cs="Garamond"/>
          <w:color w:val="4A4A4A"/>
          <w:sz w:val="24"/>
          <w:szCs w:val="24"/>
          <w:vertAlign w:val="superscript"/>
        </w:rPr>
        <w:footnoteReference w:id="18"/>
      </w:r>
      <w:r>
        <w:rPr>
          <w:rFonts w:ascii="Garamond" w:eastAsia="Garamond" w:hAnsi="Garamond" w:cs="Garamond"/>
          <w:color w:val="4A4A4A"/>
          <w:sz w:val="24"/>
          <w:szCs w:val="24"/>
        </w:rPr>
        <w:t xml:space="preserve">In an assessment of access to preventive healthcare services, Afro-descendant women represent 7.9% of those with “good” access, compared to their white counterparts who represent 15.4%. </w:t>
      </w:r>
      <w:r>
        <w:rPr>
          <w:rFonts w:ascii="Garamond" w:eastAsia="Garamond" w:hAnsi="Garamond" w:cs="Garamond"/>
          <w:color w:val="4A4A4A"/>
          <w:sz w:val="24"/>
          <w:szCs w:val="24"/>
          <w:vertAlign w:val="superscript"/>
        </w:rPr>
        <w:footnoteReference w:id="19"/>
      </w:r>
      <w:r>
        <w:rPr>
          <w:rFonts w:ascii="Garamond" w:eastAsia="Garamond" w:hAnsi="Garamond" w:cs="Garamond"/>
          <w:color w:val="4A4A4A"/>
          <w:sz w:val="24"/>
          <w:szCs w:val="24"/>
        </w:rPr>
        <w:t xml:space="preserve">There is also a general lack of access to healthcare for people with disabilities </w:t>
      </w:r>
      <w:r>
        <w:rPr>
          <w:rFonts w:ascii="Garamond" w:eastAsia="Garamond" w:hAnsi="Garamond" w:cs="Garamond"/>
          <w:color w:val="4A4A4A"/>
          <w:sz w:val="24"/>
          <w:szCs w:val="24"/>
          <w:vertAlign w:val="superscript"/>
        </w:rPr>
        <w:footnoteReference w:id="20"/>
      </w:r>
      <w:r>
        <w:rPr>
          <w:rFonts w:ascii="Garamond" w:eastAsia="Garamond" w:hAnsi="Garamond" w:cs="Garamond"/>
          <w:color w:val="4A4A4A"/>
          <w:sz w:val="24"/>
          <w:szCs w:val="24"/>
        </w:rPr>
        <w:t xml:space="preserve">, and especially women with disabilities </w:t>
      </w:r>
      <w:r>
        <w:rPr>
          <w:rFonts w:ascii="Garamond" w:eastAsia="Garamond" w:hAnsi="Garamond" w:cs="Garamond"/>
          <w:color w:val="4A4A4A"/>
          <w:sz w:val="24"/>
          <w:szCs w:val="24"/>
          <w:vertAlign w:val="superscript"/>
        </w:rPr>
        <w:footnoteReference w:id="21"/>
      </w:r>
      <w:r>
        <w:rPr>
          <w:rFonts w:ascii="Garamond" w:eastAsia="Garamond" w:hAnsi="Garamond" w:cs="Garamond"/>
          <w:color w:val="4A4A4A"/>
          <w:sz w:val="24"/>
          <w:szCs w:val="24"/>
        </w:rPr>
        <w:t xml:space="preserve">, caused by institutional ableism. Research indicates that Afro-descendant and </w:t>
      </w:r>
      <w:proofErr w:type="spellStart"/>
      <w:r>
        <w:rPr>
          <w:rFonts w:ascii="Garamond" w:eastAsia="Garamond" w:hAnsi="Garamond" w:cs="Garamond"/>
          <w:color w:val="4A4A4A"/>
          <w:sz w:val="24"/>
          <w:szCs w:val="24"/>
        </w:rPr>
        <w:t>Quilombola</w:t>
      </w:r>
      <w:proofErr w:type="spellEnd"/>
      <w:r>
        <w:rPr>
          <w:rFonts w:ascii="Garamond" w:eastAsia="Garamond" w:hAnsi="Garamond" w:cs="Garamond"/>
          <w:color w:val="4A4A4A"/>
          <w:sz w:val="24"/>
          <w:szCs w:val="24"/>
        </w:rPr>
        <w:t xml:space="preserve"> communities face a general lack of access to healthcare due to lower socioeconomic and educational levels, institutional racism, sexism, violence, disrespect for culture and ethnic diversity, and poorer access to private healthcare.</w:t>
      </w:r>
      <w:r>
        <w:rPr>
          <w:rFonts w:ascii="Garamond" w:eastAsia="Garamond" w:hAnsi="Garamond" w:cs="Garamond"/>
          <w:color w:val="4A4A4A"/>
          <w:sz w:val="24"/>
          <w:szCs w:val="24"/>
          <w:vertAlign w:val="superscript"/>
        </w:rPr>
        <w:footnoteReference w:id="22"/>
      </w:r>
    </w:p>
    <w:p w14:paraId="5C45537F" w14:textId="77777777" w:rsidR="00257783" w:rsidRDefault="009560B4">
      <w:pPr>
        <w:numPr>
          <w:ilvl w:val="0"/>
          <w:numId w:val="3"/>
        </w:numPr>
        <w:spacing w:after="0"/>
        <w:jc w:val="both"/>
        <w:rPr>
          <w:rFonts w:ascii="Garamond" w:eastAsia="Garamond" w:hAnsi="Garamond" w:cs="Garamond"/>
          <w:color w:val="4A4A4A"/>
          <w:sz w:val="24"/>
          <w:szCs w:val="24"/>
        </w:rPr>
      </w:pPr>
      <w:r>
        <w:rPr>
          <w:rFonts w:ascii="Garamond" w:eastAsia="Garamond" w:hAnsi="Garamond" w:cs="Garamond"/>
          <w:color w:val="4A4A4A"/>
          <w:sz w:val="24"/>
          <w:szCs w:val="24"/>
        </w:rPr>
        <w:t xml:space="preserve">Long waiting lists and excessive bureaucracy exacerbate the problem, turning access to healthcare into a matter of survival. In Rio de Janeiro, the National Regulation System (SISREG) </w:t>
      </w:r>
      <w:r>
        <w:rPr>
          <w:rFonts w:ascii="Garamond" w:eastAsia="Garamond" w:hAnsi="Garamond" w:cs="Garamond"/>
          <w:color w:val="4A4A4A"/>
          <w:sz w:val="24"/>
          <w:szCs w:val="24"/>
        </w:rPr>
        <w:lastRenderedPageBreak/>
        <w:t xml:space="preserve">registered 427,000 patients on waiting lists in 2024. The average waiting time for an initial consultation for pediatric intellectual rehabilitation reached </w:t>
      </w:r>
      <w:r>
        <w:rPr>
          <w:rFonts w:ascii="Garamond" w:eastAsia="Garamond" w:hAnsi="Garamond" w:cs="Garamond"/>
          <w:color w:val="212529"/>
          <w:sz w:val="24"/>
          <w:szCs w:val="24"/>
          <w:highlight w:val="white"/>
        </w:rPr>
        <w:t xml:space="preserve">532 </w:t>
      </w:r>
      <w:r>
        <w:rPr>
          <w:rFonts w:ascii="Garamond" w:eastAsia="Garamond" w:hAnsi="Garamond" w:cs="Garamond"/>
          <w:color w:val="4A4A4A"/>
          <w:sz w:val="24"/>
          <w:szCs w:val="24"/>
        </w:rPr>
        <w:t xml:space="preserve">days (approximately 1 year and 5 months) in 2023 </w:t>
      </w:r>
      <w:r>
        <w:rPr>
          <w:rFonts w:ascii="Garamond" w:eastAsia="Garamond" w:hAnsi="Garamond" w:cs="Garamond"/>
          <w:color w:val="4A4A4A"/>
          <w:sz w:val="24"/>
          <w:szCs w:val="24"/>
          <w:vertAlign w:val="superscript"/>
        </w:rPr>
        <w:footnoteReference w:id="23"/>
      </w:r>
      <w:r>
        <w:rPr>
          <w:rFonts w:ascii="Garamond" w:eastAsia="Garamond" w:hAnsi="Garamond" w:cs="Garamond"/>
          <w:color w:val="4A4A4A"/>
          <w:sz w:val="24"/>
          <w:szCs w:val="24"/>
        </w:rPr>
        <w:t>, delaying access to therapies.</w:t>
      </w:r>
    </w:p>
    <w:p w14:paraId="6AA10BBF" w14:textId="77777777" w:rsidR="00257783" w:rsidRDefault="009560B4">
      <w:pPr>
        <w:numPr>
          <w:ilvl w:val="0"/>
          <w:numId w:val="3"/>
        </w:numPr>
        <w:spacing w:after="0"/>
        <w:jc w:val="both"/>
        <w:rPr>
          <w:rFonts w:ascii="Garamond" w:eastAsia="Garamond" w:hAnsi="Garamond" w:cs="Garamond"/>
          <w:color w:val="4A4A4A"/>
          <w:sz w:val="24"/>
          <w:szCs w:val="24"/>
        </w:rPr>
      </w:pPr>
      <w:r>
        <w:rPr>
          <w:rFonts w:ascii="Garamond" w:eastAsia="Garamond" w:hAnsi="Garamond" w:cs="Garamond"/>
          <w:color w:val="4A4A4A"/>
          <w:sz w:val="24"/>
          <w:szCs w:val="24"/>
        </w:rPr>
        <w:t xml:space="preserve">The Black population is the most impacted by these shortcomings, as it is </w:t>
      </w:r>
      <w:proofErr w:type="gramStart"/>
      <w:r>
        <w:rPr>
          <w:rFonts w:ascii="Garamond" w:eastAsia="Garamond" w:hAnsi="Garamond" w:cs="Garamond"/>
          <w:color w:val="4A4A4A"/>
          <w:sz w:val="24"/>
          <w:szCs w:val="24"/>
        </w:rPr>
        <w:t>the majority of</w:t>
      </w:r>
      <w:proofErr w:type="gramEnd"/>
      <w:r>
        <w:rPr>
          <w:rFonts w:ascii="Garamond" w:eastAsia="Garamond" w:hAnsi="Garamond" w:cs="Garamond"/>
          <w:color w:val="4A4A4A"/>
          <w:sz w:val="24"/>
          <w:szCs w:val="24"/>
        </w:rPr>
        <w:t xml:space="preserve"> users who depend on the SUS (Brazilian public healthcare system) </w:t>
      </w:r>
      <w:r>
        <w:rPr>
          <w:rFonts w:ascii="Garamond" w:eastAsia="Garamond" w:hAnsi="Garamond" w:cs="Garamond"/>
          <w:color w:val="4A4A4A"/>
          <w:sz w:val="24"/>
          <w:szCs w:val="24"/>
          <w:vertAlign w:val="superscript"/>
        </w:rPr>
        <w:footnoteReference w:id="24"/>
      </w:r>
      <w:r>
        <w:rPr>
          <w:rFonts w:ascii="Garamond" w:eastAsia="Garamond" w:hAnsi="Garamond" w:cs="Garamond"/>
          <w:color w:val="4A4A4A"/>
          <w:sz w:val="24"/>
          <w:szCs w:val="24"/>
        </w:rPr>
        <w:t>.</w:t>
      </w:r>
    </w:p>
    <w:p w14:paraId="3F4C8BB5" w14:textId="77777777" w:rsidR="00257783" w:rsidRDefault="009560B4">
      <w:pPr>
        <w:numPr>
          <w:ilvl w:val="0"/>
          <w:numId w:val="3"/>
        </w:numPr>
        <w:spacing w:after="0"/>
        <w:jc w:val="both"/>
        <w:rPr>
          <w:rFonts w:ascii="Garamond" w:eastAsia="Garamond" w:hAnsi="Garamond" w:cs="Garamond"/>
          <w:color w:val="4A4A4A"/>
          <w:sz w:val="24"/>
          <w:szCs w:val="24"/>
        </w:rPr>
      </w:pPr>
      <w:r>
        <w:rPr>
          <w:rFonts w:ascii="Garamond" w:eastAsia="Garamond" w:hAnsi="Garamond" w:cs="Garamond"/>
          <w:color w:val="4A4A4A"/>
          <w:sz w:val="24"/>
          <w:szCs w:val="24"/>
        </w:rPr>
        <w:t xml:space="preserve">The dependence on the Brazilian public healthcare system (SUS) is linked to the </w:t>
      </w:r>
      <w:proofErr w:type="gramStart"/>
      <w:r>
        <w:rPr>
          <w:rFonts w:ascii="Garamond" w:eastAsia="Garamond" w:hAnsi="Garamond" w:cs="Garamond"/>
          <w:color w:val="4A4A4A"/>
          <w:sz w:val="24"/>
          <w:szCs w:val="24"/>
        </w:rPr>
        <w:t>low income</w:t>
      </w:r>
      <w:proofErr w:type="gramEnd"/>
      <w:r>
        <w:rPr>
          <w:rFonts w:ascii="Garamond" w:eastAsia="Garamond" w:hAnsi="Garamond" w:cs="Garamond"/>
          <w:color w:val="4A4A4A"/>
          <w:sz w:val="24"/>
          <w:szCs w:val="24"/>
        </w:rPr>
        <w:t xml:space="preserve"> levels of the Black population </w:t>
      </w:r>
      <w:r>
        <w:rPr>
          <w:rFonts w:ascii="Garamond" w:eastAsia="Garamond" w:hAnsi="Garamond" w:cs="Garamond"/>
          <w:color w:val="4A4A4A"/>
          <w:sz w:val="24"/>
          <w:szCs w:val="24"/>
          <w:vertAlign w:val="superscript"/>
        </w:rPr>
        <w:footnoteReference w:id="25"/>
      </w:r>
      <w:r>
        <w:rPr>
          <w:rFonts w:ascii="Garamond" w:eastAsia="Garamond" w:hAnsi="Garamond" w:cs="Garamond"/>
          <w:color w:val="4A4A4A"/>
          <w:sz w:val="24"/>
          <w:szCs w:val="24"/>
        </w:rPr>
        <w:t xml:space="preserve">, making them less likely to have access to private health insurance plans. Health insurance offers easier access to certain services, facilities, professionals, and technologies </w:t>
      </w:r>
      <w:r>
        <w:rPr>
          <w:rFonts w:ascii="Garamond" w:eastAsia="Garamond" w:hAnsi="Garamond" w:cs="Garamond"/>
          <w:color w:val="4A4A4A"/>
          <w:sz w:val="24"/>
          <w:szCs w:val="24"/>
          <w:vertAlign w:val="superscript"/>
        </w:rPr>
        <w:footnoteReference w:id="26"/>
      </w:r>
      <w:r>
        <w:rPr>
          <w:rFonts w:ascii="Garamond" w:eastAsia="Garamond" w:hAnsi="Garamond" w:cs="Garamond"/>
          <w:color w:val="4A4A4A"/>
          <w:sz w:val="24"/>
          <w:szCs w:val="24"/>
        </w:rPr>
        <w:t xml:space="preserve">and is correlated with greater utilization of healthcare services in general </w:t>
      </w:r>
      <w:r>
        <w:rPr>
          <w:rFonts w:ascii="Garamond" w:eastAsia="Garamond" w:hAnsi="Garamond" w:cs="Garamond"/>
          <w:color w:val="4A4A4A"/>
          <w:sz w:val="24"/>
          <w:szCs w:val="24"/>
          <w:vertAlign w:val="superscript"/>
        </w:rPr>
        <w:footnoteReference w:id="27"/>
      </w:r>
      <w:r>
        <w:rPr>
          <w:rFonts w:ascii="Garamond" w:eastAsia="Garamond" w:hAnsi="Garamond" w:cs="Garamond"/>
          <w:color w:val="4A4A4A"/>
          <w:sz w:val="24"/>
          <w:szCs w:val="24"/>
        </w:rPr>
        <w:t>. This has a disproportionate impact on Afro-descendant women and children with disabilities and their ability to access adequate healthcare to meet their needs.</w:t>
      </w:r>
    </w:p>
    <w:p w14:paraId="7698791D" w14:textId="77777777" w:rsidR="00257783" w:rsidRDefault="009560B4">
      <w:pPr>
        <w:numPr>
          <w:ilvl w:val="0"/>
          <w:numId w:val="3"/>
        </w:numPr>
        <w:spacing w:after="0"/>
        <w:jc w:val="both"/>
        <w:rPr>
          <w:rFonts w:ascii="Garamond" w:eastAsia="Garamond" w:hAnsi="Garamond" w:cs="Garamond"/>
          <w:color w:val="4A4A4A"/>
          <w:sz w:val="24"/>
          <w:szCs w:val="24"/>
        </w:rPr>
      </w:pPr>
      <w:r>
        <w:rPr>
          <w:rFonts w:ascii="Garamond" w:eastAsia="Garamond" w:hAnsi="Garamond" w:cs="Garamond"/>
          <w:color w:val="4A4A4A"/>
          <w:sz w:val="24"/>
          <w:szCs w:val="24"/>
        </w:rPr>
        <w:t xml:space="preserve">One alarming indicator is the fact that the risk of maternal death is twice as high for Afro-descendant women </w:t>
      </w:r>
      <w:r>
        <w:rPr>
          <w:rFonts w:ascii="Garamond" w:eastAsia="Garamond" w:hAnsi="Garamond" w:cs="Garamond"/>
          <w:color w:val="4A4A4A"/>
          <w:sz w:val="24"/>
          <w:szCs w:val="24"/>
          <w:vertAlign w:val="superscript"/>
        </w:rPr>
        <w:footnoteReference w:id="28"/>
      </w:r>
      <w:r>
        <w:rPr>
          <w:rFonts w:ascii="Garamond" w:eastAsia="Garamond" w:hAnsi="Garamond" w:cs="Garamond"/>
          <w:color w:val="4A4A4A"/>
          <w:sz w:val="24"/>
          <w:szCs w:val="24"/>
        </w:rPr>
        <w:t>as for white women, highlighting systemic failures in comprehensive healthcare for Black women. This has repercussions for Black women with markers of race/ethnicity and disability.</w:t>
      </w:r>
    </w:p>
    <w:p w14:paraId="526B4FFC" w14:textId="77777777" w:rsidR="00257783" w:rsidRDefault="009560B4">
      <w:pPr>
        <w:numPr>
          <w:ilvl w:val="0"/>
          <w:numId w:val="3"/>
        </w:numPr>
        <w:spacing w:after="0"/>
        <w:jc w:val="both"/>
        <w:rPr>
          <w:rFonts w:ascii="Garamond" w:eastAsia="Garamond" w:hAnsi="Garamond" w:cs="Garamond"/>
          <w:color w:val="4A4A4A"/>
          <w:sz w:val="24"/>
          <w:szCs w:val="24"/>
        </w:rPr>
      </w:pPr>
      <w:r>
        <w:rPr>
          <w:rFonts w:ascii="Garamond" w:eastAsia="Garamond" w:hAnsi="Garamond" w:cs="Garamond"/>
          <w:color w:val="4A4A4A"/>
          <w:sz w:val="24"/>
          <w:szCs w:val="24"/>
        </w:rPr>
        <w:t xml:space="preserve">The disparity between the Brazilian public healthcare system (SUS) and the private healthcare system deepens the gap. In the research conducted for this report, only 15.1% of participants had access to a health insurance plan </w:t>
      </w:r>
      <w:r>
        <w:rPr>
          <w:rFonts w:ascii="Garamond" w:eastAsia="Garamond" w:hAnsi="Garamond" w:cs="Garamond"/>
          <w:color w:val="4A4A4A"/>
          <w:sz w:val="24"/>
          <w:szCs w:val="24"/>
          <w:vertAlign w:val="superscript"/>
        </w:rPr>
        <w:footnoteReference w:id="29"/>
      </w:r>
      <w:r>
        <w:rPr>
          <w:rFonts w:ascii="Garamond" w:eastAsia="Garamond" w:hAnsi="Garamond" w:cs="Garamond"/>
          <w:color w:val="4A4A4A"/>
          <w:sz w:val="24"/>
          <w:szCs w:val="24"/>
        </w:rPr>
        <w:t>. This unequal access is directly linked to better or worse health outcomes, including mortality rates.</w:t>
      </w:r>
    </w:p>
    <w:p w14:paraId="79E85986" w14:textId="77777777" w:rsidR="00257783" w:rsidRDefault="009560B4">
      <w:pPr>
        <w:numPr>
          <w:ilvl w:val="0"/>
          <w:numId w:val="3"/>
        </w:numPr>
        <w:spacing w:after="240"/>
        <w:jc w:val="both"/>
        <w:rPr>
          <w:rFonts w:ascii="Garamond" w:eastAsia="Garamond" w:hAnsi="Garamond" w:cs="Garamond"/>
          <w:color w:val="4A4A4A"/>
          <w:sz w:val="24"/>
          <w:szCs w:val="24"/>
        </w:rPr>
      </w:pPr>
      <w:r>
        <w:rPr>
          <w:rFonts w:ascii="Garamond" w:eastAsia="Garamond" w:hAnsi="Garamond" w:cs="Garamond"/>
          <w:color w:val="4A4A4A"/>
          <w:sz w:val="24"/>
          <w:szCs w:val="24"/>
        </w:rPr>
        <w:t xml:space="preserve">Afro-descendant women with disabilities and caregivers of children with disabilities complain of discrimination by doctors that prevents or delays access to diagnosis and official registration of the disability, which in turn conditions access to assistance programs. </w:t>
      </w:r>
      <w:r>
        <w:rPr>
          <w:rFonts w:ascii="Garamond" w:eastAsia="Garamond" w:hAnsi="Garamond" w:cs="Garamond"/>
          <w:color w:val="4A4A4A"/>
          <w:sz w:val="24"/>
          <w:szCs w:val="24"/>
          <w:vertAlign w:val="superscript"/>
        </w:rPr>
        <w:footnoteReference w:id="30"/>
      </w:r>
      <w:r>
        <w:rPr>
          <w:rFonts w:ascii="Garamond" w:eastAsia="Garamond" w:hAnsi="Garamond" w:cs="Garamond"/>
          <w:color w:val="4A4A4A"/>
          <w:sz w:val="24"/>
          <w:szCs w:val="24"/>
        </w:rPr>
        <w:t xml:space="preserve">Afro-descendant mothers of autistic children in Bahia reported that they did not receive a medical </w:t>
      </w:r>
      <w:r>
        <w:rPr>
          <w:rFonts w:ascii="Garamond" w:eastAsia="Garamond" w:hAnsi="Garamond" w:cs="Garamond"/>
          <w:color w:val="4A4A4A"/>
          <w:sz w:val="24"/>
          <w:szCs w:val="24"/>
        </w:rPr>
        <w:lastRenderedPageBreak/>
        <w:t>diagnosis because their children did not "seem autistic," an excuse that autistic black activists attribute to racism.</w:t>
      </w:r>
      <w:r>
        <w:rPr>
          <w:rFonts w:ascii="Garamond" w:eastAsia="Garamond" w:hAnsi="Garamond" w:cs="Garamond"/>
          <w:color w:val="4A4A4A"/>
          <w:sz w:val="24"/>
          <w:szCs w:val="24"/>
          <w:vertAlign w:val="superscript"/>
        </w:rPr>
        <w:footnoteReference w:id="31"/>
      </w:r>
    </w:p>
    <w:p w14:paraId="61BF67DB" w14:textId="77777777" w:rsidR="00257783" w:rsidRDefault="009560B4">
      <w:pPr>
        <w:pStyle w:val="Title"/>
        <w:ind w:left="-283" w:hanging="705"/>
      </w:pPr>
      <w:bookmarkStart w:id="3" w:name="_lc998lqwl77r" w:colFirst="0" w:colLast="0"/>
      <w:bookmarkEnd w:id="3"/>
      <w:r>
        <w:t>Policy Care</w:t>
      </w:r>
    </w:p>
    <w:p w14:paraId="07003845" w14:textId="77777777" w:rsidR="00257783" w:rsidRDefault="009560B4">
      <w:pPr>
        <w:numPr>
          <w:ilvl w:val="0"/>
          <w:numId w:val="3"/>
        </w:numPr>
        <w:spacing w:before="240" w:after="0"/>
        <w:jc w:val="both"/>
        <w:rPr>
          <w:rFonts w:ascii="Garamond" w:eastAsia="Garamond" w:hAnsi="Garamond" w:cs="Garamond"/>
          <w:color w:val="4A4A4A"/>
          <w:sz w:val="24"/>
          <w:szCs w:val="24"/>
        </w:rPr>
      </w:pPr>
      <w:r>
        <w:rPr>
          <w:rFonts w:ascii="Garamond" w:eastAsia="Garamond" w:hAnsi="Garamond" w:cs="Garamond"/>
          <w:color w:val="4A4A4A"/>
          <w:sz w:val="24"/>
          <w:szCs w:val="24"/>
        </w:rPr>
        <w:t>The double exploitation of Afro-descendant women as workers and caregivers, which began during that period, continues to this day. They were responsible for domestic work and the care of the children of slave owners, often to the detriment of their own families. Currently, this dynamic persists in the domestic labor market. Data from the 2023 National Household Sample Survey (PNAD) indicate that 66% of domestic workers are Afro-descendant women, who continue to face precarious conditions and low wages, refl</w:t>
      </w:r>
      <w:r>
        <w:rPr>
          <w:rFonts w:ascii="Garamond" w:eastAsia="Garamond" w:hAnsi="Garamond" w:cs="Garamond"/>
          <w:color w:val="4A4A4A"/>
          <w:sz w:val="24"/>
          <w:szCs w:val="24"/>
        </w:rPr>
        <w:t>ecting systemic marginalization.</w:t>
      </w:r>
      <w:r>
        <w:rPr>
          <w:rFonts w:ascii="Garamond" w:eastAsia="Garamond" w:hAnsi="Garamond" w:cs="Garamond"/>
          <w:color w:val="4A4A4A"/>
          <w:sz w:val="24"/>
          <w:szCs w:val="24"/>
          <w:vertAlign w:val="superscript"/>
        </w:rPr>
        <w:footnoteReference w:id="32"/>
      </w:r>
    </w:p>
    <w:p w14:paraId="2E7B5E46" w14:textId="77777777" w:rsidR="00257783" w:rsidRDefault="009560B4">
      <w:pPr>
        <w:numPr>
          <w:ilvl w:val="0"/>
          <w:numId w:val="3"/>
        </w:numPr>
        <w:spacing w:after="240"/>
        <w:jc w:val="both"/>
        <w:rPr>
          <w:rFonts w:ascii="Garamond" w:eastAsia="Garamond" w:hAnsi="Garamond" w:cs="Garamond"/>
          <w:color w:val="4A4A4A"/>
          <w:sz w:val="24"/>
          <w:szCs w:val="24"/>
        </w:rPr>
      </w:pPr>
      <w:r>
        <w:rPr>
          <w:rFonts w:ascii="Garamond" w:eastAsia="Garamond" w:hAnsi="Garamond" w:cs="Garamond"/>
          <w:color w:val="4A4A4A"/>
          <w:sz w:val="24"/>
          <w:szCs w:val="24"/>
        </w:rPr>
        <w:t>This historical legacy contributes to the depoliticization of unpaid care work, which falls predominantly on poor Afro-descendant women in marginalized areas. Treated as a family and private matter, caregiving renders the role of the State invisible, reduces people with disabilities to passive recipients of charity, and overburdens caregivers, limiting their life opportunities and reinforcing cycles of poverty and exclusion.</w:t>
      </w:r>
    </w:p>
    <w:p w14:paraId="4DDC678A" w14:textId="77777777" w:rsidR="00257783" w:rsidRDefault="009560B4">
      <w:pPr>
        <w:pStyle w:val="Title"/>
        <w:ind w:left="-283" w:hanging="705"/>
      </w:pPr>
      <w:bookmarkStart w:id="4" w:name="_5c98upey99q3" w:colFirst="0" w:colLast="0"/>
      <w:bookmarkEnd w:id="4"/>
      <w:r>
        <w:t>Access to the Continuous Benefit Payment (BPC)</w:t>
      </w:r>
      <w:r>
        <w:rPr>
          <w:vertAlign w:val="superscript"/>
        </w:rPr>
        <w:footnoteReference w:id="33"/>
      </w:r>
    </w:p>
    <w:p w14:paraId="1B7CF73F" w14:textId="77777777" w:rsidR="00257783" w:rsidRDefault="009560B4">
      <w:pPr>
        <w:numPr>
          <w:ilvl w:val="0"/>
          <w:numId w:val="3"/>
        </w:numPr>
        <w:spacing w:before="240" w:after="0"/>
        <w:jc w:val="both"/>
        <w:rPr>
          <w:rFonts w:ascii="Garamond" w:eastAsia="Garamond" w:hAnsi="Garamond" w:cs="Garamond"/>
          <w:color w:val="4A4A4A"/>
          <w:sz w:val="24"/>
          <w:szCs w:val="24"/>
        </w:rPr>
      </w:pPr>
      <w:r>
        <w:rPr>
          <w:rFonts w:ascii="Garamond" w:eastAsia="Garamond" w:hAnsi="Garamond" w:cs="Garamond"/>
          <w:color w:val="4A4A4A"/>
          <w:sz w:val="24"/>
          <w:szCs w:val="24"/>
        </w:rPr>
        <w:t>Lack of information about rights is one of the primary barriers to social assistance. Families, especially after receiving a diagnosis, are often not informed about the benefits and services to which they are entitled, making them more vulnerable to discrimination and the bureaucracy of the system. Denial of access to benefits is a common reality, indicating flaws in the administrative process.</w:t>
      </w:r>
    </w:p>
    <w:p w14:paraId="2425E4C2" w14:textId="77777777" w:rsidR="00257783" w:rsidRDefault="009560B4">
      <w:pPr>
        <w:numPr>
          <w:ilvl w:val="0"/>
          <w:numId w:val="3"/>
        </w:numPr>
        <w:spacing w:after="0"/>
        <w:jc w:val="both"/>
        <w:rPr>
          <w:rFonts w:ascii="Garamond" w:eastAsia="Garamond" w:hAnsi="Garamond" w:cs="Garamond"/>
          <w:color w:val="4A4A4A"/>
          <w:sz w:val="24"/>
          <w:szCs w:val="24"/>
        </w:rPr>
      </w:pPr>
      <w:r>
        <w:rPr>
          <w:rFonts w:ascii="Garamond" w:eastAsia="Garamond" w:hAnsi="Garamond" w:cs="Garamond"/>
          <w:color w:val="4A4A4A"/>
          <w:sz w:val="24"/>
          <w:szCs w:val="24"/>
        </w:rPr>
        <w:t xml:space="preserve">In 2023 and 2024, women with disabilities receiving the BPC (Continuous Cash Benefit) </w:t>
      </w:r>
      <w:r>
        <w:rPr>
          <w:rFonts w:ascii="Garamond" w:eastAsia="Garamond" w:hAnsi="Garamond" w:cs="Garamond"/>
          <w:color w:val="4A4A4A"/>
          <w:sz w:val="24"/>
          <w:szCs w:val="24"/>
          <w:vertAlign w:val="superscript"/>
        </w:rPr>
        <w:footnoteReference w:id="34"/>
      </w:r>
      <w:r>
        <w:rPr>
          <w:rFonts w:ascii="Garamond" w:eastAsia="Garamond" w:hAnsi="Garamond" w:cs="Garamond"/>
          <w:color w:val="4A4A4A"/>
          <w:sz w:val="24"/>
          <w:szCs w:val="24"/>
        </w:rPr>
        <w:t xml:space="preserve">were predominantly white, representing approximately 80% of beneficiaries, while Afro-descendant women (brown and black) constituted approximately 18–19%, and indigenous women about 1% in both years. Despite black and brown women comprising </w:t>
      </w:r>
      <w:proofErr w:type="gramStart"/>
      <w:r>
        <w:rPr>
          <w:rFonts w:ascii="Garamond" w:eastAsia="Garamond" w:hAnsi="Garamond" w:cs="Garamond"/>
          <w:color w:val="4A4A4A"/>
          <w:sz w:val="24"/>
          <w:szCs w:val="24"/>
        </w:rPr>
        <w:t>the majority of</w:t>
      </w:r>
      <w:proofErr w:type="gramEnd"/>
      <w:r>
        <w:rPr>
          <w:rFonts w:ascii="Garamond" w:eastAsia="Garamond" w:hAnsi="Garamond" w:cs="Garamond"/>
          <w:color w:val="4A4A4A"/>
          <w:sz w:val="24"/>
          <w:szCs w:val="24"/>
        </w:rPr>
        <w:t xml:space="preserve"> the female population in situations of social vulnerability in the country, they are underrepresented among BPC beneficiaries for disabilities. White women with disabilities are up to four times more numerous than Afro-descendant women with disabilities i</w:t>
      </w:r>
      <w:r>
        <w:rPr>
          <w:rFonts w:ascii="Garamond" w:eastAsia="Garamond" w:hAnsi="Garamond" w:cs="Garamond"/>
          <w:color w:val="4A4A4A"/>
          <w:sz w:val="24"/>
          <w:szCs w:val="24"/>
        </w:rPr>
        <w:t>n accessing the BPC, highlighting an imbalance that may reflect inequalities in eligibility recognition or access to social security policies.</w:t>
      </w:r>
    </w:p>
    <w:p w14:paraId="5CC5BB25" w14:textId="77777777" w:rsidR="00257783" w:rsidRDefault="009560B4">
      <w:pPr>
        <w:numPr>
          <w:ilvl w:val="0"/>
          <w:numId w:val="3"/>
        </w:numPr>
        <w:spacing w:after="0"/>
        <w:jc w:val="both"/>
        <w:rPr>
          <w:rFonts w:ascii="Garamond" w:eastAsia="Garamond" w:hAnsi="Garamond" w:cs="Garamond"/>
          <w:color w:val="4A4A4A"/>
          <w:sz w:val="24"/>
          <w:szCs w:val="24"/>
        </w:rPr>
      </w:pPr>
      <w:r>
        <w:rPr>
          <w:rFonts w:ascii="Garamond" w:eastAsia="Garamond" w:hAnsi="Garamond" w:cs="Garamond"/>
          <w:color w:val="4A4A4A"/>
          <w:sz w:val="24"/>
          <w:szCs w:val="24"/>
        </w:rPr>
        <w:lastRenderedPageBreak/>
        <w:t>Indigenous women with disabilities, however, constitute a minimal group of beneficiaries.</w:t>
      </w:r>
      <w:r>
        <w:rPr>
          <w:rFonts w:ascii="Garamond" w:eastAsia="Garamond" w:hAnsi="Garamond" w:cs="Garamond"/>
          <w:color w:val="4A4A4A"/>
          <w:sz w:val="24"/>
          <w:szCs w:val="24"/>
          <w:vertAlign w:val="superscript"/>
        </w:rPr>
        <w:footnoteReference w:id="35"/>
      </w:r>
      <w:r>
        <w:rPr>
          <w:rFonts w:ascii="Garamond" w:eastAsia="Garamond" w:hAnsi="Garamond" w:cs="Garamond"/>
          <w:color w:val="4A4A4A"/>
          <w:sz w:val="24"/>
          <w:szCs w:val="24"/>
        </w:rPr>
        <w:t xml:space="preserve"> </w:t>
      </w:r>
    </w:p>
    <w:p w14:paraId="28A95E06" w14:textId="77777777" w:rsidR="00257783" w:rsidRDefault="009560B4">
      <w:pPr>
        <w:numPr>
          <w:ilvl w:val="0"/>
          <w:numId w:val="3"/>
        </w:numPr>
        <w:spacing w:after="240"/>
        <w:jc w:val="both"/>
        <w:rPr>
          <w:rFonts w:ascii="Garamond" w:eastAsia="Garamond" w:hAnsi="Garamond" w:cs="Garamond"/>
          <w:color w:val="4A4A4A"/>
          <w:sz w:val="24"/>
          <w:szCs w:val="24"/>
        </w:rPr>
      </w:pPr>
      <w:r>
        <w:rPr>
          <w:rFonts w:ascii="Garamond" w:eastAsia="Garamond" w:hAnsi="Garamond" w:cs="Garamond"/>
          <w:color w:val="4A4A4A"/>
          <w:sz w:val="24"/>
          <w:szCs w:val="24"/>
        </w:rPr>
        <w:t>The need for judicial intervention tends to affect Afro-descendant women, indigenous women, and families from marginalized communities more severely, as they face greater barriers to legal and informational access, which can deepen structural inequalities in access to the BPC (Continuous Cash Benefit).</w:t>
      </w:r>
      <w:r>
        <w:rPr>
          <w:rFonts w:ascii="Garamond" w:eastAsia="Garamond" w:hAnsi="Garamond" w:cs="Garamond"/>
          <w:color w:val="4A4A4A"/>
          <w:sz w:val="24"/>
          <w:szCs w:val="24"/>
          <w:vertAlign w:val="superscript"/>
        </w:rPr>
        <w:footnoteReference w:id="36"/>
      </w:r>
    </w:p>
    <w:p w14:paraId="0488CF05" w14:textId="77777777" w:rsidR="00257783" w:rsidRDefault="009560B4">
      <w:pPr>
        <w:pStyle w:val="Title"/>
        <w:ind w:left="-283" w:hanging="705"/>
      </w:pPr>
      <w:bookmarkStart w:id="5" w:name="_rg1oqdysihhr" w:colFirst="0" w:colLast="0"/>
      <w:bookmarkEnd w:id="5"/>
      <w:r>
        <w:t>Paternal Neglect</w:t>
      </w:r>
    </w:p>
    <w:p w14:paraId="0F7AA732" w14:textId="77777777" w:rsidR="00257783" w:rsidRDefault="009560B4">
      <w:pPr>
        <w:numPr>
          <w:ilvl w:val="0"/>
          <w:numId w:val="3"/>
        </w:numPr>
        <w:spacing w:before="240" w:after="0"/>
        <w:jc w:val="both"/>
        <w:rPr>
          <w:rFonts w:ascii="Garamond" w:eastAsia="Garamond" w:hAnsi="Garamond" w:cs="Garamond"/>
          <w:color w:val="4A4A4A"/>
          <w:sz w:val="24"/>
          <w:szCs w:val="24"/>
        </w:rPr>
      </w:pPr>
      <w:r>
        <w:rPr>
          <w:rFonts w:ascii="Garamond" w:eastAsia="Garamond" w:hAnsi="Garamond" w:cs="Garamond"/>
          <w:color w:val="4A4A4A"/>
          <w:sz w:val="24"/>
          <w:szCs w:val="24"/>
        </w:rPr>
        <w:t>Exacerbating financial and emotional hardship, the phenomenon of neglectful fatherhood is a critical factor that extends beyond financial abandonment, including ableism and domestic abuse.</w:t>
      </w:r>
    </w:p>
    <w:p w14:paraId="6F6CDB5D" w14:textId="77777777" w:rsidR="00257783" w:rsidRDefault="009560B4">
      <w:pPr>
        <w:numPr>
          <w:ilvl w:val="0"/>
          <w:numId w:val="3"/>
        </w:numPr>
        <w:spacing w:after="0"/>
        <w:jc w:val="both"/>
        <w:rPr>
          <w:rFonts w:ascii="Garamond" w:eastAsia="Garamond" w:hAnsi="Garamond" w:cs="Garamond"/>
          <w:color w:val="4A4A4A"/>
          <w:sz w:val="24"/>
          <w:szCs w:val="24"/>
        </w:rPr>
      </w:pPr>
      <w:r>
        <w:rPr>
          <w:rFonts w:ascii="Garamond" w:eastAsia="Garamond" w:hAnsi="Garamond" w:cs="Garamond"/>
          <w:color w:val="4A4A4A"/>
          <w:sz w:val="24"/>
          <w:szCs w:val="24"/>
        </w:rPr>
        <w:t xml:space="preserve">Research indicates that paternal abandonment affects </w:t>
      </w:r>
      <w:r>
        <w:rPr>
          <w:rFonts w:ascii="Garamond" w:eastAsia="Garamond" w:hAnsi="Garamond" w:cs="Garamond"/>
          <w:b/>
          <w:color w:val="4A4A4A"/>
          <w:sz w:val="24"/>
          <w:szCs w:val="24"/>
        </w:rPr>
        <w:t xml:space="preserve">32% </w:t>
      </w:r>
      <w:r>
        <w:rPr>
          <w:rFonts w:ascii="Garamond" w:eastAsia="Garamond" w:hAnsi="Garamond" w:cs="Garamond"/>
          <w:color w:val="4A4A4A"/>
          <w:sz w:val="24"/>
          <w:szCs w:val="24"/>
        </w:rPr>
        <w:t xml:space="preserve">of children born with disabilities, highlighting the total absence of a father figure in the family unit. Even among families where there is a registered or resident father (68%), only </w:t>
      </w:r>
      <w:r>
        <w:rPr>
          <w:rFonts w:ascii="Garamond" w:eastAsia="Garamond" w:hAnsi="Garamond" w:cs="Garamond"/>
          <w:b/>
          <w:color w:val="4A4A4A"/>
          <w:sz w:val="24"/>
          <w:szCs w:val="24"/>
        </w:rPr>
        <w:t xml:space="preserve">14% </w:t>
      </w:r>
      <w:r>
        <w:rPr>
          <w:rFonts w:ascii="Garamond" w:eastAsia="Garamond" w:hAnsi="Garamond" w:cs="Garamond"/>
          <w:color w:val="4A4A4A"/>
          <w:sz w:val="24"/>
          <w:szCs w:val="24"/>
        </w:rPr>
        <w:t xml:space="preserve">of men perform caregiving roles, in contrast to </w:t>
      </w:r>
      <w:r>
        <w:rPr>
          <w:rFonts w:ascii="Garamond" w:eastAsia="Garamond" w:hAnsi="Garamond" w:cs="Garamond"/>
          <w:b/>
          <w:color w:val="4A4A4A"/>
          <w:sz w:val="24"/>
          <w:szCs w:val="24"/>
        </w:rPr>
        <w:t xml:space="preserve">76% </w:t>
      </w:r>
      <w:r>
        <w:rPr>
          <w:rFonts w:ascii="Garamond" w:eastAsia="Garamond" w:hAnsi="Garamond" w:cs="Garamond"/>
          <w:color w:val="4A4A4A"/>
          <w:sz w:val="24"/>
          <w:szCs w:val="24"/>
        </w:rPr>
        <w:t>of caregiving performed by women. These data demonstrate the structural burden placed on women, especially mothers, in caring for people with disabilities and reveal patterns of paternal abandonment and neglect that directly affect the well-being, development, and so</w:t>
      </w:r>
      <w:r>
        <w:rPr>
          <w:rFonts w:ascii="Garamond" w:eastAsia="Garamond" w:hAnsi="Garamond" w:cs="Garamond"/>
          <w:color w:val="4A4A4A"/>
          <w:sz w:val="24"/>
          <w:szCs w:val="24"/>
        </w:rPr>
        <w:t>cial protection of this population.</w:t>
      </w:r>
    </w:p>
    <w:p w14:paraId="3E287373" w14:textId="77777777" w:rsidR="00257783" w:rsidRDefault="009560B4">
      <w:pPr>
        <w:numPr>
          <w:ilvl w:val="0"/>
          <w:numId w:val="3"/>
        </w:numPr>
        <w:spacing w:after="240"/>
        <w:jc w:val="both"/>
        <w:rPr>
          <w:rFonts w:ascii="Garamond" w:eastAsia="Garamond" w:hAnsi="Garamond" w:cs="Garamond"/>
          <w:color w:val="4A4A4A"/>
          <w:sz w:val="24"/>
          <w:szCs w:val="24"/>
        </w:rPr>
      </w:pPr>
      <w:r>
        <w:rPr>
          <w:rFonts w:ascii="Garamond" w:eastAsia="Garamond" w:hAnsi="Garamond" w:cs="Garamond"/>
          <w:color w:val="4A4A4A"/>
          <w:sz w:val="24"/>
          <w:szCs w:val="24"/>
        </w:rPr>
        <w:t>This reality leaves mothers as sole providers, overburdening them with all the costs and responsibilities and deepening the family's vulnerability.</w:t>
      </w:r>
    </w:p>
    <w:p w14:paraId="30E1D593" w14:textId="77777777" w:rsidR="00257783" w:rsidRDefault="009560B4">
      <w:pPr>
        <w:pStyle w:val="Title"/>
        <w:spacing w:before="280" w:after="80"/>
        <w:ind w:left="-283" w:hanging="705"/>
      </w:pPr>
      <w:bookmarkStart w:id="6" w:name="_6hwk4q8vshd8" w:colFirst="0" w:colLast="0"/>
      <w:bookmarkEnd w:id="6"/>
      <w:r>
        <w:t>Education</w:t>
      </w:r>
    </w:p>
    <w:p w14:paraId="62CB373A" w14:textId="77777777" w:rsidR="00257783" w:rsidRDefault="009560B4">
      <w:pPr>
        <w:numPr>
          <w:ilvl w:val="0"/>
          <w:numId w:val="3"/>
        </w:numPr>
        <w:spacing w:before="240" w:after="0"/>
        <w:jc w:val="both"/>
        <w:rPr>
          <w:rFonts w:ascii="Garamond" w:eastAsia="Garamond" w:hAnsi="Garamond" w:cs="Garamond"/>
          <w:color w:val="4A4A4A"/>
          <w:sz w:val="24"/>
          <w:szCs w:val="24"/>
        </w:rPr>
      </w:pPr>
      <w:r>
        <w:rPr>
          <w:rFonts w:ascii="Garamond" w:eastAsia="Garamond" w:hAnsi="Garamond" w:cs="Garamond"/>
          <w:color w:val="4A4A4A"/>
          <w:sz w:val="24"/>
          <w:szCs w:val="24"/>
        </w:rPr>
        <w:t xml:space="preserve">Black women with disabilities face specific forms of discrimination </w:t>
      </w:r>
      <w:proofErr w:type="gramStart"/>
      <w:r>
        <w:rPr>
          <w:rFonts w:ascii="Garamond" w:eastAsia="Garamond" w:hAnsi="Garamond" w:cs="Garamond"/>
          <w:color w:val="4A4A4A"/>
          <w:sz w:val="24"/>
          <w:szCs w:val="24"/>
        </w:rPr>
        <w:t>as a result of</w:t>
      </w:r>
      <w:proofErr w:type="gramEnd"/>
      <w:r>
        <w:rPr>
          <w:rFonts w:ascii="Garamond" w:eastAsia="Garamond" w:hAnsi="Garamond" w:cs="Garamond"/>
          <w:color w:val="4A4A4A"/>
          <w:sz w:val="24"/>
          <w:szCs w:val="24"/>
        </w:rPr>
        <w:t xml:space="preserve"> intersectional issues of race, gender, and disability. Despite representing approximately 56% of the population with disabilities, Black women with disabilities are the group least likely to access public or private education.</w:t>
      </w:r>
      <w:r>
        <w:rPr>
          <w:rFonts w:ascii="Garamond" w:eastAsia="Garamond" w:hAnsi="Garamond" w:cs="Garamond"/>
          <w:color w:val="4A4A4A"/>
          <w:sz w:val="24"/>
          <w:szCs w:val="24"/>
          <w:vertAlign w:val="superscript"/>
        </w:rPr>
        <w:footnoteReference w:id="37"/>
      </w:r>
    </w:p>
    <w:p w14:paraId="29128935" w14:textId="77777777" w:rsidR="00257783" w:rsidRDefault="009560B4">
      <w:pPr>
        <w:numPr>
          <w:ilvl w:val="0"/>
          <w:numId w:val="3"/>
        </w:numPr>
        <w:spacing w:after="240"/>
        <w:jc w:val="both"/>
        <w:rPr>
          <w:rFonts w:ascii="Garamond" w:eastAsia="Garamond" w:hAnsi="Garamond" w:cs="Garamond"/>
          <w:color w:val="4A4A4A"/>
          <w:sz w:val="24"/>
          <w:szCs w:val="24"/>
        </w:rPr>
      </w:pPr>
      <w:r>
        <w:rPr>
          <w:rFonts w:ascii="Garamond" w:eastAsia="Garamond" w:hAnsi="Garamond" w:cs="Garamond"/>
          <w:color w:val="4A4A4A"/>
          <w:sz w:val="24"/>
          <w:szCs w:val="24"/>
        </w:rPr>
        <w:t xml:space="preserve">In 2022, 26.5% of women with disabilities aged 25 or older had completed basic education; however, white people with disabilities were more likely than black and brown people with disabilities to have completed education, at 29.7% and 23% on average, respectively </w:t>
      </w:r>
      <w:r>
        <w:rPr>
          <w:rFonts w:ascii="Garamond" w:eastAsia="Garamond" w:hAnsi="Garamond" w:cs="Garamond"/>
          <w:color w:val="4A4A4A"/>
          <w:sz w:val="24"/>
          <w:szCs w:val="24"/>
          <w:vertAlign w:val="superscript"/>
        </w:rPr>
        <w:footnoteReference w:id="38"/>
      </w:r>
      <w:r>
        <w:rPr>
          <w:rFonts w:ascii="Garamond" w:eastAsia="Garamond" w:hAnsi="Garamond" w:cs="Garamond"/>
          <w:color w:val="4A4A4A"/>
          <w:sz w:val="24"/>
          <w:szCs w:val="24"/>
        </w:rPr>
        <w:t>.</w:t>
      </w:r>
    </w:p>
    <w:p w14:paraId="472687A0" w14:textId="77777777" w:rsidR="00257783" w:rsidRDefault="009560B4">
      <w:pPr>
        <w:pStyle w:val="Title"/>
        <w:ind w:left="-283" w:hanging="705"/>
      </w:pPr>
      <w:bookmarkStart w:id="7" w:name="_u2i9tjchlvy7" w:colFirst="0" w:colLast="0"/>
      <w:bookmarkEnd w:id="7"/>
      <w:r>
        <w:t>Good Practices: Community Care Networks.</w:t>
      </w:r>
      <w:r>
        <w:rPr>
          <w:vertAlign w:val="superscript"/>
        </w:rPr>
        <w:footnoteReference w:id="39"/>
      </w:r>
    </w:p>
    <w:p w14:paraId="2C2DE902" w14:textId="77777777" w:rsidR="00257783" w:rsidRDefault="009560B4">
      <w:pPr>
        <w:numPr>
          <w:ilvl w:val="0"/>
          <w:numId w:val="3"/>
        </w:numPr>
        <w:spacing w:before="240" w:after="0"/>
        <w:jc w:val="both"/>
        <w:rPr>
          <w:rFonts w:ascii="Garamond" w:eastAsia="Garamond" w:hAnsi="Garamond" w:cs="Garamond"/>
          <w:color w:val="4A4A4A"/>
          <w:sz w:val="24"/>
          <w:szCs w:val="24"/>
        </w:rPr>
      </w:pPr>
      <w:r>
        <w:rPr>
          <w:rFonts w:ascii="Garamond" w:eastAsia="Garamond" w:hAnsi="Garamond" w:cs="Garamond"/>
          <w:color w:val="4A4A4A"/>
          <w:sz w:val="24"/>
          <w:szCs w:val="24"/>
        </w:rPr>
        <w:t>Faced with these widespread failures of the State, communities, led by mothers, created their own forms of resistance and support to survive this lottery of access.</w:t>
      </w:r>
    </w:p>
    <w:p w14:paraId="7850AA12" w14:textId="77777777" w:rsidR="00257783" w:rsidRDefault="009560B4">
      <w:pPr>
        <w:numPr>
          <w:ilvl w:val="0"/>
          <w:numId w:val="3"/>
        </w:numPr>
        <w:spacing w:after="0"/>
        <w:jc w:val="both"/>
        <w:rPr>
          <w:rFonts w:ascii="Garamond" w:eastAsia="Garamond" w:hAnsi="Garamond" w:cs="Garamond"/>
          <w:color w:val="4A4A4A"/>
          <w:sz w:val="24"/>
          <w:szCs w:val="24"/>
        </w:rPr>
      </w:pPr>
      <w:r>
        <w:rPr>
          <w:rFonts w:ascii="Garamond" w:eastAsia="Garamond" w:hAnsi="Garamond" w:cs="Garamond"/>
          <w:color w:val="4A4A4A"/>
          <w:sz w:val="24"/>
          <w:szCs w:val="24"/>
        </w:rPr>
        <w:lastRenderedPageBreak/>
        <w:t>In direct response to state failure and the "lottery of access," community-based care networks have emerged as a form of resistance and resilience. Led mostly by mothers of children with disabilities, these networks fill critical gaps left by public policies, offering support where the formal system is absent or inaccessible. They have become infrastructures of survival, building solidarity and collective power from shared experiences of exclusion.</w:t>
      </w:r>
    </w:p>
    <w:p w14:paraId="49996528" w14:textId="77777777" w:rsidR="00257783" w:rsidRDefault="009560B4">
      <w:pPr>
        <w:numPr>
          <w:ilvl w:val="0"/>
          <w:numId w:val="3"/>
        </w:numPr>
        <w:spacing w:after="0"/>
        <w:jc w:val="both"/>
        <w:rPr>
          <w:rFonts w:ascii="Garamond" w:eastAsia="Garamond" w:hAnsi="Garamond" w:cs="Garamond"/>
          <w:color w:val="4A4A4A"/>
          <w:sz w:val="24"/>
          <w:szCs w:val="24"/>
        </w:rPr>
      </w:pPr>
      <w:r>
        <w:rPr>
          <w:rFonts w:ascii="Garamond" w:eastAsia="Garamond" w:hAnsi="Garamond" w:cs="Garamond"/>
          <w:color w:val="4A4A4A"/>
          <w:sz w:val="24"/>
          <w:szCs w:val="24"/>
        </w:rPr>
        <w:t xml:space="preserve">Mothers' networks act as true "support trees," rooted in shared experience and with branches offering different forms of support. The study identified four key functions performed by these community organizations: </w:t>
      </w:r>
      <w:r>
        <w:rPr>
          <w:rFonts w:ascii="Garamond" w:eastAsia="Garamond" w:hAnsi="Garamond" w:cs="Garamond"/>
          <w:b/>
          <w:color w:val="4A4A4A"/>
          <w:sz w:val="24"/>
          <w:szCs w:val="24"/>
        </w:rPr>
        <w:t xml:space="preserve">Emotional Support: </w:t>
      </w:r>
      <w:r>
        <w:rPr>
          <w:rFonts w:ascii="Garamond" w:eastAsia="Garamond" w:hAnsi="Garamond" w:cs="Garamond"/>
          <w:color w:val="4A4A4A"/>
          <w:sz w:val="24"/>
          <w:szCs w:val="24"/>
        </w:rPr>
        <w:t xml:space="preserve">Connecting with peers who experience similar challenges is fundamental to combating isolation, stigma, and burnout. By sharing stories and anxieties, mothers create a sense of belonging and sisterhood, which significantly improves their mental health and strengthens their coping capacity. </w:t>
      </w:r>
      <w:r>
        <w:rPr>
          <w:rFonts w:ascii="Garamond" w:eastAsia="Garamond" w:hAnsi="Garamond" w:cs="Garamond"/>
          <w:b/>
          <w:color w:val="4A4A4A"/>
          <w:sz w:val="24"/>
          <w:szCs w:val="24"/>
        </w:rPr>
        <w:t xml:space="preserve">Instrumental Support: </w:t>
      </w:r>
      <w:r>
        <w:rPr>
          <w:rFonts w:ascii="Garamond" w:eastAsia="Garamond" w:hAnsi="Garamond" w:cs="Garamond"/>
          <w:color w:val="4A4A4A"/>
          <w:sz w:val="24"/>
          <w:szCs w:val="24"/>
        </w:rPr>
        <w:t xml:space="preserve">Networks organize forms of mutual aid to meet immediate material needs. This includes everything from fundraising to </w:t>
      </w:r>
      <w:proofErr w:type="gramStart"/>
      <w:r>
        <w:rPr>
          <w:rFonts w:ascii="Garamond" w:eastAsia="Garamond" w:hAnsi="Garamond" w:cs="Garamond"/>
          <w:color w:val="4A4A4A"/>
          <w:sz w:val="24"/>
          <w:szCs w:val="24"/>
        </w:rPr>
        <w:t>rent</w:t>
      </w:r>
      <w:proofErr w:type="gramEnd"/>
      <w:r>
        <w:rPr>
          <w:rFonts w:ascii="Garamond" w:eastAsia="Garamond" w:hAnsi="Garamond" w:cs="Garamond"/>
          <w:color w:val="4A4A4A"/>
          <w:sz w:val="24"/>
          <w:szCs w:val="24"/>
        </w:rPr>
        <w:t xml:space="preserve"> a meeting space to collecting and distributing donations su</w:t>
      </w:r>
      <w:r>
        <w:rPr>
          <w:rFonts w:ascii="Garamond" w:eastAsia="Garamond" w:hAnsi="Garamond" w:cs="Garamond"/>
          <w:color w:val="4A4A4A"/>
          <w:sz w:val="24"/>
          <w:szCs w:val="24"/>
        </w:rPr>
        <w:t xml:space="preserve">ch as food and wheelchairs. This practical assistance alleviates some of the financial burden on families; </w:t>
      </w:r>
      <w:r>
        <w:rPr>
          <w:rFonts w:ascii="Garamond" w:eastAsia="Garamond" w:hAnsi="Garamond" w:cs="Garamond"/>
          <w:b/>
          <w:color w:val="4A4A4A"/>
          <w:sz w:val="24"/>
          <w:szCs w:val="24"/>
        </w:rPr>
        <w:t xml:space="preserve">Informational Support: </w:t>
      </w:r>
      <w:r>
        <w:rPr>
          <w:rFonts w:ascii="Garamond" w:eastAsia="Garamond" w:hAnsi="Garamond" w:cs="Garamond"/>
          <w:color w:val="4A4A4A"/>
          <w:sz w:val="24"/>
          <w:szCs w:val="24"/>
        </w:rPr>
        <w:t>This function emerges as a direct and necessary response to the systemic lack of information about rights, identified as a primary barrier in the social assistance system, effectively creating a parallel, community-led system to do what the State fails to provide. The exchange of knowledge among mothers becomes a powerful empowerment tool, guiding them on how to navigate bureaucr</w:t>
      </w:r>
      <w:r>
        <w:rPr>
          <w:rFonts w:ascii="Garamond" w:eastAsia="Garamond" w:hAnsi="Garamond" w:cs="Garamond"/>
          <w:color w:val="4A4A4A"/>
          <w:sz w:val="24"/>
          <w:szCs w:val="24"/>
        </w:rPr>
        <w:t xml:space="preserve">atic systems and access legal rights; </w:t>
      </w:r>
      <w:r>
        <w:rPr>
          <w:rFonts w:ascii="Garamond" w:eastAsia="Garamond" w:hAnsi="Garamond" w:cs="Garamond"/>
          <w:b/>
          <w:color w:val="4A4A4A"/>
          <w:sz w:val="24"/>
          <w:szCs w:val="24"/>
        </w:rPr>
        <w:t xml:space="preserve">Activism and Mediation: </w:t>
      </w:r>
      <w:r>
        <w:rPr>
          <w:rFonts w:ascii="Garamond" w:eastAsia="Garamond" w:hAnsi="Garamond" w:cs="Garamond"/>
          <w:color w:val="4A4A4A"/>
          <w:sz w:val="24"/>
          <w:szCs w:val="24"/>
        </w:rPr>
        <w:t xml:space="preserve">Some networks transcend mutual support and engage in activism for systemic change. They organize protests, participate in public policy councils, and act as intermediaries, negotiating directly with health services, schools, and public bodies to ensure access for their families. </w:t>
      </w:r>
      <w:r>
        <w:rPr>
          <w:rFonts w:ascii="Garamond" w:eastAsia="Garamond" w:hAnsi="Garamond" w:cs="Garamond"/>
          <w:sz w:val="24"/>
          <w:szCs w:val="24"/>
        </w:rPr>
        <w:t>While vital to the survival and well-being of countless families, these community solutions are often precarious, informal, and insufficient to solve structural problems.</w:t>
      </w:r>
      <w:r>
        <w:rPr>
          <w:rFonts w:ascii="Garamond" w:eastAsia="Garamond" w:hAnsi="Garamond" w:cs="Garamond"/>
          <w:sz w:val="24"/>
          <w:szCs w:val="24"/>
        </w:rPr>
        <w:t xml:space="preserve"> </w:t>
      </w:r>
      <w:r>
        <w:rPr>
          <w:sz w:val="24"/>
          <w:szCs w:val="24"/>
        </w:rPr>
        <w:br/>
      </w:r>
      <w:r>
        <w:rPr>
          <w:sz w:val="24"/>
          <w:szCs w:val="24"/>
        </w:rPr>
        <w:br/>
      </w:r>
      <w:r>
        <w:rPr>
          <w:rFonts w:ascii="Garamond" w:eastAsia="Garamond" w:hAnsi="Garamond" w:cs="Garamond"/>
          <w:b/>
          <w:sz w:val="24"/>
          <w:szCs w:val="24"/>
        </w:rPr>
        <w:t>Conclusion</w:t>
      </w:r>
      <w:r>
        <w:rPr>
          <w:b/>
          <w:sz w:val="24"/>
          <w:szCs w:val="24"/>
        </w:rPr>
        <w:br/>
      </w:r>
    </w:p>
    <w:p w14:paraId="1CCA89AC" w14:textId="77777777" w:rsidR="00257783" w:rsidRDefault="009560B4">
      <w:pPr>
        <w:numPr>
          <w:ilvl w:val="0"/>
          <w:numId w:val="3"/>
        </w:numPr>
        <w:spacing w:after="240"/>
        <w:jc w:val="both"/>
        <w:rPr>
          <w:rFonts w:ascii="Garamond" w:eastAsia="Garamond" w:hAnsi="Garamond" w:cs="Garamond"/>
          <w:color w:val="4A4A4A"/>
          <w:sz w:val="24"/>
          <w:szCs w:val="24"/>
        </w:rPr>
      </w:pPr>
      <w:r>
        <w:rPr>
          <w:rFonts w:ascii="Garamond" w:eastAsia="Garamond" w:hAnsi="Garamond" w:cs="Garamond"/>
          <w:sz w:val="24"/>
          <w:szCs w:val="24"/>
        </w:rPr>
        <w:t>This report concludes that the inequalities faced by people with disabilities and their families in Brazil are not incidental, but rather the predictable results of a public policy framework that fails to address the structural intersectionality of racism, sexism, and ableism. The "lottery of access" to health, social assistance, and education is a direct consequence of policies that, in practice, ignore the multiple barriers faced by Afro-descendant women, those living in marginalized communities, and care</w:t>
      </w:r>
      <w:r>
        <w:rPr>
          <w:rFonts w:ascii="Garamond" w:eastAsia="Garamond" w:hAnsi="Garamond" w:cs="Garamond"/>
          <w:sz w:val="24"/>
          <w:szCs w:val="24"/>
        </w:rPr>
        <w:t xml:space="preserve">givers. </w:t>
      </w:r>
    </w:p>
    <w:p w14:paraId="211052AB" w14:textId="77777777" w:rsidR="00257783" w:rsidRDefault="009560B4">
      <w:pPr>
        <w:pStyle w:val="Title"/>
        <w:ind w:left="-283" w:hanging="705"/>
        <w:rPr>
          <w:u w:val="single"/>
        </w:rPr>
      </w:pPr>
      <w:bookmarkStart w:id="8" w:name="_m3i3rwfp55xi" w:colFirst="0" w:colLast="0"/>
      <w:bookmarkEnd w:id="8"/>
      <w:r>
        <w:rPr>
          <w:u w:val="single"/>
        </w:rPr>
        <w:br/>
      </w:r>
      <w:r>
        <w:rPr>
          <w:u w:val="single"/>
        </w:rPr>
        <w:br/>
      </w:r>
      <w:r>
        <w:rPr>
          <w:u w:val="single"/>
        </w:rPr>
        <w:br/>
        <w:t>Recommendations</w:t>
      </w:r>
    </w:p>
    <w:p w14:paraId="0A403308" w14:textId="77777777" w:rsidR="00257783" w:rsidRDefault="009560B4">
      <w:pPr>
        <w:numPr>
          <w:ilvl w:val="0"/>
          <w:numId w:val="2"/>
        </w:numPr>
        <w:spacing w:before="240" w:after="0"/>
        <w:ind w:left="-283" w:hanging="283"/>
        <w:jc w:val="both"/>
        <w:rPr>
          <w:color w:val="4A4A4A"/>
          <w:sz w:val="24"/>
          <w:szCs w:val="24"/>
        </w:rPr>
      </w:pPr>
      <w:r>
        <w:rPr>
          <w:rFonts w:ascii="Garamond" w:eastAsia="Garamond" w:hAnsi="Garamond" w:cs="Garamond"/>
          <w:color w:val="4A4A4A"/>
          <w:sz w:val="24"/>
          <w:szCs w:val="24"/>
        </w:rPr>
        <w:t xml:space="preserve">Use disaggregated data to inform the development and implementation of policies to address the issues of intersectional discrimination experienced by Black and Indigenous women with </w:t>
      </w:r>
      <w:r>
        <w:rPr>
          <w:rFonts w:ascii="Garamond" w:eastAsia="Garamond" w:hAnsi="Garamond" w:cs="Garamond"/>
          <w:color w:val="4A4A4A"/>
          <w:sz w:val="24"/>
          <w:szCs w:val="24"/>
        </w:rPr>
        <w:lastRenderedPageBreak/>
        <w:t>disabilities, children with disabilities, and women caregivers, in consultation with organizations of Black and Indigenous people with disabilities and women's organizations.</w:t>
      </w:r>
    </w:p>
    <w:p w14:paraId="5BF26344" w14:textId="77777777" w:rsidR="00257783" w:rsidRDefault="009560B4">
      <w:pPr>
        <w:numPr>
          <w:ilvl w:val="0"/>
          <w:numId w:val="2"/>
        </w:numPr>
        <w:spacing w:after="0"/>
        <w:ind w:left="-283" w:hanging="283"/>
        <w:jc w:val="both"/>
        <w:rPr>
          <w:color w:val="4A4A4A"/>
          <w:sz w:val="24"/>
          <w:szCs w:val="24"/>
        </w:rPr>
      </w:pPr>
      <w:r>
        <w:rPr>
          <w:rFonts w:ascii="Garamond" w:eastAsia="Garamond" w:hAnsi="Garamond" w:cs="Garamond"/>
          <w:color w:val="4A4A4A"/>
          <w:sz w:val="24"/>
          <w:szCs w:val="24"/>
        </w:rPr>
        <w:t>Integrate into public safety policies measures to combat the high rates of violence committed against Black people with disabilities by the State and the public, paying special attention to the most frequent targeting of people affected by violence, such as Black women with disabilities and people with intellectual disabilities.</w:t>
      </w:r>
    </w:p>
    <w:p w14:paraId="7CD70BBB" w14:textId="77777777" w:rsidR="00257783" w:rsidRDefault="009560B4">
      <w:pPr>
        <w:numPr>
          <w:ilvl w:val="0"/>
          <w:numId w:val="2"/>
        </w:numPr>
        <w:spacing w:after="0"/>
        <w:ind w:left="-283" w:hanging="283"/>
        <w:jc w:val="both"/>
        <w:rPr>
          <w:color w:val="4A4A4A"/>
          <w:sz w:val="24"/>
          <w:szCs w:val="24"/>
        </w:rPr>
      </w:pPr>
      <w:r>
        <w:rPr>
          <w:rFonts w:ascii="Garamond" w:eastAsia="Garamond" w:hAnsi="Garamond" w:cs="Garamond"/>
          <w:color w:val="4A4A4A"/>
          <w:sz w:val="24"/>
          <w:szCs w:val="24"/>
        </w:rPr>
        <w:t>Reinvest in the Unified Health System (SUS), expand health services outside urban centers, and improve transportation links between Black and Indigenous communities, prioritizing the North and Northeast regions, which exhibit the greatest health inequality. Guarantee timely access to diagnoses and therapies in peripheral areas, with clear goals to reduce waiting lists and eliminate racial disparities in care.</w:t>
      </w:r>
    </w:p>
    <w:p w14:paraId="60E9F194" w14:textId="77777777" w:rsidR="00257783" w:rsidRDefault="009560B4">
      <w:pPr>
        <w:numPr>
          <w:ilvl w:val="0"/>
          <w:numId w:val="2"/>
        </w:numPr>
        <w:spacing w:after="0"/>
        <w:ind w:left="-283" w:hanging="283"/>
        <w:jc w:val="both"/>
        <w:rPr>
          <w:color w:val="4A4A4A"/>
          <w:sz w:val="24"/>
          <w:szCs w:val="24"/>
        </w:rPr>
      </w:pPr>
      <w:r>
        <w:rPr>
          <w:rFonts w:ascii="Garamond" w:eastAsia="Garamond" w:hAnsi="Garamond" w:cs="Garamond"/>
          <w:color w:val="4A4A4A"/>
          <w:sz w:val="24"/>
          <w:szCs w:val="24"/>
        </w:rPr>
        <w:t>Redesigning social and health services to be physically, culturally, and linguistically accessible to all Black and Indigenous communities, with specific attention to Afro-descendant women and girls with disabilities.</w:t>
      </w:r>
    </w:p>
    <w:p w14:paraId="09E5A34B" w14:textId="77777777" w:rsidR="00257783" w:rsidRDefault="009560B4">
      <w:pPr>
        <w:numPr>
          <w:ilvl w:val="0"/>
          <w:numId w:val="2"/>
        </w:numPr>
        <w:spacing w:after="0"/>
        <w:ind w:left="-283" w:hanging="283"/>
        <w:jc w:val="both"/>
        <w:rPr>
          <w:color w:val="4A4A4A"/>
          <w:sz w:val="24"/>
          <w:szCs w:val="24"/>
        </w:rPr>
      </w:pPr>
      <w:r>
        <w:rPr>
          <w:rFonts w:ascii="Garamond" w:eastAsia="Garamond" w:hAnsi="Garamond" w:cs="Garamond"/>
          <w:color w:val="4A4A4A"/>
          <w:sz w:val="24"/>
          <w:szCs w:val="24"/>
        </w:rPr>
        <w:t>Ensuring equitable access to Social Security policies requires a deeper analysis of the data on the causes of these disparities and the promotion of equity measures in access to the BPC (Continuous Benefit Payment) for Afro-descendant women and girls with disabilities from all ethnic-racial groups, in accordance with the principles of non-discrimination and inclusion foreseen in international human rights agreements.</w:t>
      </w:r>
    </w:p>
    <w:p w14:paraId="49B636A2" w14:textId="77777777" w:rsidR="00257783" w:rsidRDefault="009560B4">
      <w:pPr>
        <w:numPr>
          <w:ilvl w:val="0"/>
          <w:numId w:val="2"/>
        </w:numPr>
        <w:spacing w:after="0"/>
        <w:ind w:left="-283" w:hanging="283"/>
        <w:jc w:val="both"/>
        <w:rPr>
          <w:color w:val="4A4A4A"/>
          <w:sz w:val="24"/>
          <w:szCs w:val="24"/>
        </w:rPr>
      </w:pPr>
      <w:r>
        <w:rPr>
          <w:rFonts w:ascii="Garamond" w:eastAsia="Garamond" w:hAnsi="Garamond" w:cs="Garamond"/>
          <w:color w:val="4A4A4A"/>
          <w:sz w:val="24"/>
          <w:szCs w:val="24"/>
        </w:rPr>
        <w:t xml:space="preserve">National Care Policy: Despite normative advances, a critical gap persists between the legal framework and its effective implementation. There is a lack of a truly intersectional approach, as policies still prioritize gender-centered perspectives without robustly incorporating markers such as race, disability, territory, and social class—central determinants of inequalities in Brazil. Furthermore, the National Care Policy focuses excessively on dependency, with limited mentions of the ethics of care and the </w:t>
      </w:r>
      <w:r>
        <w:rPr>
          <w:rFonts w:ascii="Garamond" w:eastAsia="Garamond" w:hAnsi="Garamond" w:cs="Garamond"/>
          <w:color w:val="4A4A4A"/>
          <w:sz w:val="24"/>
          <w:szCs w:val="24"/>
        </w:rPr>
        <w:t xml:space="preserve">active participation of people with disabilities in the formulation, execution, and monitoring of policies. This approach tends to reinforce a restricted understanding of care as a right only for those receiving assistance, disregarding the role of people, including girls and women with disabilities, as subjects of full rights, including in the position of caregivers, care providers, and central agents in defining the </w:t>
      </w:r>
      <w:proofErr w:type="spellStart"/>
      <w:r>
        <w:rPr>
          <w:rFonts w:ascii="Garamond" w:eastAsia="Garamond" w:hAnsi="Garamond" w:cs="Garamond"/>
          <w:color w:val="4A4A4A"/>
          <w:sz w:val="24"/>
          <w:szCs w:val="24"/>
        </w:rPr>
        <w:t>care</w:t>
      </w:r>
      <w:proofErr w:type="spellEnd"/>
      <w:r>
        <w:rPr>
          <w:rFonts w:ascii="Garamond" w:eastAsia="Garamond" w:hAnsi="Garamond" w:cs="Garamond"/>
          <w:color w:val="4A4A4A"/>
          <w:sz w:val="24"/>
          <w:szCs w:val="24"/>
        </w:rPr>
        <w:t xml:space="preserve"> models that affect them.</w:t>
      </w:r>
    </w:p>
    <w:p w14:paraId="6E5ABC24" w14:textId="77777777" w:rsidR="00257783" w:rsidRDefault="009560B4">
      <w:pPr>
        <w:numPr>
          <w:ilvl w:val="0"/>
          <w:numId w:val="2"/>
        </w:numPr>
        <w:spacing w:after="0"/>
        <w:ind w:left="-283" w:hanging="283"/>
        <w:jc w:val="both"/>
        <w:rPr>
          <w:color w:val="4A4A4A"/>
          <w:sz w:val="24"/>
          <w:szCs w:val="24"/>
        </w:rPr>
      </w:pPr>
      <w:r>
        <w:rPr>
          <w:rFonts w:ascii="Garamond" w:eastAsia="Garamond" w:hAnsi="Garamond" w:cs="Garamond"/>
          <w:color w:val="4A4A4A"/>
          <w:sz w:val="24"/>
          <w:szCs w:val="24"/>
        </w:rPr>
        <w:t xml:space="preserve">Develop public policies to end institutionalization, </w:t>
      </w:r>
      <w:proofErr w:type="gramStart"/>
      <w:r>
        <w:rPr>
          <w:rFonts w:ascii="Garamond" w:eastAsia="Garamond" w:hAnsi="Garamond" w:cs="Garamond"/>
          <w:color w:val="4A4A4A"/>
          <w:sz w:val="24"/>
          <w:szCs w:val="24"/>
        </w:rPr>
        <w:t>guaranteeing</w:t>
      </w:r>
      <w:proofErr w:type="gramEnd"/>
      <w:r>
        <w:rPr>
          <w:rFonts w:ascii="Garamond" w:eastAsia="Garamond" w:hAnsi="Garamond" w:cs="Garamond"/>
          <w:color w:val="4A4A4A"/>
          <w:sz w:val="24"/>
          <w:szCs w:val="24"/>
        </w:rPr>
        <w:t xml:space="preserve"> the right of all people with disabilities to live with their families or communities, and </w:t>
      </w:r>
      <w:proofErr w:type="gramStart"/>
      <w:r>
        <w:rPr>
          <w:rFonts w:ascii="Garamond" w:eastAsia="Garamond" w:hAnsi="Garamond" w:cs="Garamond"/>
          <w:color w:val="4A4A4A"/>
          <w:sz w:val="24"/>
          <w:szCs w:val="24"/>
        </w:rPr>
        <w:t>providing</w:t>
      </w:r>
      <w:proofErr w:type="gramEnd"/>
      <w:r>
        <w:rPr>
          <w:rFonts w:ascii="Garamond" w:eastAsia="Garamond" w:hAnsi="Garamond" w:cs="Garamond"/>
          <w:color w:val="4A4A4A"/>
          <w:sz w:val="24"/>
          <w:szCs w:val="24"/>
        </w:rPr>
        <w:t xml:space="preserve"> sufficient support so that all people with disabilities and their families have a dignified life, regardless of their socioeconomic status.</w:t>
      </w:r>
    </w:p>
    <w:p w14:paraId="29F0A25F" w14:textId="77777777" w:rsidR="00257783" w:rsidRDefault="009560B4">
      <w:pPr>
        <w:numPr>
          <w:ilvl w:val="0"/>
          <w:numId w:val="2"/>
        </w:numPr>
        <w:spacing w:after="0"/>
        <w:ind w:left="-283" w:hanging="283"/>
        <w:jc w:val="both"/>
        <w:rPr>
          <w:color w:val="4A4A4A"/>
          <w:sz w:val="24"/>
          <w:szCs w:val="24"/>
        </w:rPr>
      </w:pPr>
      <w:r>
        <w:rPr>
          <w:rFonts w:ascii="Garamond" w:eastAsia="Garamond" w:hAnsi="Garamond" w:cs="Garamond"/>
          <w:color w:val="4A4A4A"/>
          <w:sz w:val="24"/>
          <w:szCs w:val="24"/>
        </w:rPr>
        <w:t xml:space="preserve">To guarantee the right to health and support for Black and Indigenous women who care for children with disabilities, </w:t>
      </w:r>
      <w:proofErr w:type="gramStart"/>
      <w:r>
        <w:rPr>
          <w:rFonts w:ascii="Garamond" w:eastAsia="Garamond" w:hAnsi="Garamond" w:cs="Garamond"/>
          <w:color w:val="4A4A4A"/>
          <w:sz w:val="24"/>
          <w:szCs w:val="24"/>
        </w:rPr>
        <w:t>in order to</w:t>
      </w:r>
      <w:proofErr w:type="gramEnd"/>
      <w:r>
        <w:rPr>
          <w:rFonts w:ascii="Garamond" w:eastAsia="Garamond" w:hAnsi="Garamond" w:cs="Garamond"/>
          <w:color w:val="4A4A4A"/>
          <w:sz w:val="24"/>
          <w:szCs w:val="24"/>
        </w:rPr>
        <w:t xml:space="preserve"> improve their ability to provide care and reduce the likelihood of their children being institutionalized and the negative impacts of caregiving on their health.</w:t>
      </w:r>
    </w:p>
    <w:p w14:paraId="0F91E291" w14:textId="77777777" w:rsidR="00257783" w:rsidRDefault="009560B4">
      <w:pPr>
        <w:numPr>
          <w:ilvl w:val="0"/>
          <w:numId w:val="2"/>
        </w:numPr>
        <w:spacing w:after="0"/>
        <w:ind w:left="-283" w:hanging="283"/>
        <w:jc w:val="both"/>
        <w:rPr>
          <w:color w:val="4A4A4A"/>
          <w:sz w:val="24"/>
          <w:szCs w:val="24"/>
        </w:rPr>
      </w:pPr>
      <w:r>
        <w:rPr>
          <w:rFonts w:ascii="Garamond" w:eastAsia="Garamond" w:hAnsi="Garamond" w:cs="Garamond"/>
          <w:color w:val="4A4A4A"/>
          <w:sz w:val="24"/>
          <w:szCs w:val="24"/>
        </w:rPr>
        <w:t>Review the eligibility criteria for the BPC disability benefit to decouple it from family income and make it accessible to more people with disabilities, especially Black and Indigenous women and girls with disabilities.</w:t>
      </w:r>
    </w:p>
    <w:p w14:paraId="6AAD9629" w14:textId="77777777" w:rsidR="00257783" w:rsidRDefault="009560B4">
      <w:pPr>
        <w:numPr>
          <w:ilvl w:val="0"/>
          <w:numId w:val="2"/>
        </w:numPr>
        <w:spacing w:after="0"/>
        <w:ind w:left="-283" w:hanging="283"/>
        <w:jc w:val="both"/>
        <w:rPr>
          <w:color w:val="4A4A4A"/>
          <w:sz w:val="24"/>
          <w:szCs w:val="24"/>
        </w:rPr>
      </w:pPr>
      <w:r>
        <w:rPr>
          <w:rFonts w:ascii="Garamond" w:eastAsia="Garamond" w:hAnsi="Garamond" w:cs="Garamond"/>
          <w:color w:val="4A4A4A"/>
          <w:sz w:val="24"/>
          <w:szCs w:val="24"/>
        </w:rPr>
        <w:lastRenderedPageBreak/>
        <w:t>Implement a resource-constrained support program to absorb the higher costs of having a disability that affects women and girls with disabilities and those who depend on unpaid family care in Black and Indigenous communities.</w:t>
      </w:r>
    </w:p>
    <w:p w14:paraId="206699A8" w14:textId="77777777" w:rsidR="00257783" w:rsidRDefault="009560B4">
      <w:pPr>
        <w:numPr>
          <w:ilvl w:val="0"/>
          <w:numId w:val="2"/>
        </w:numPr>
        <w:spacing w:after="0"/>
        <w:ind w:left="-283" w:hanging="283"/>
        <w:jc w:val="both"/>
        <w:rPr>
          <w:color w:val="4A4A4A"/>
          <w:sz w:val="24"/>
          <w:szCs w:val="24"/>
        </w:rPr>
      </w:pPr>
      <w:r>
        <w:rPr>
          <w:rFonts w:ascii="Garamond" w:eastAsia="Garamond" w:hAnsi="Garamond" w:cs="Garamond"/>
          <w:color w:val="4A4A4A"/>
          <w:sz w:val="24"/>
          <w:szCs w:val="24"/>
        </w:rPr>
        <w:t xml:space="preserve">Implement a targeted awareness campaign on women's rights, the rights of people with disabilities, and welfare programs and services in Black and Indigenous </w:t>
      </w:r>
      <w:proofErr w:type="gramStart"/>
      <w:r>
        <w:rPr>
          <w:rFonts w:ascii="Garamond" w:eastAsia="Garamond" w:hAnsi="Garamond" w:cs="Garamond"/>
          <w:color w:val="4A4A4A"/>
          <w:sz w:val="24"/>
          <w:szCs w:val="24"/>
        </w:rPr>
        <w:t>communities, and</w:t>
      </w:r>
      <w:proofErr w:type="gramEnd"/>
      <w:r>
        <w:rPr>
          <w:rFonts w:ascii="Garamond" w:eastAsia="Garamond" w:hAnsi="Garamond" w:cs="Garamond"/>
          <w:color w:val="4A4A4A"/>
          <w:sz w:val="24"/>
          <w:szCs w:val="24"/>
        </w:rPr>
        <w:t xml:space="preserve"> provide comprehensive support to guide families in accessing welfare programs and services for women and people with disabilities.</w:t>
      </w:r>
    </w:p>
    <w:p w14:paraId="1B21980D" w14:textId="77777777" w:rsidR="00257783" w:rsidRDefault="009560B4">
      <w:pPr>
        <w:numPr>
          <w:ilvl w:val="0"/>
          <w:numId w:val="2"/>
        </w:numPr>
        <w:spacing w:after="0"/>
        <w:ind w:left="-283" w:hanging="283"/>
        <w:jc w:val="both"/>
        <w:rPr>
          <w:color w:val="4A4A4A"/>
          <w:sz w:val="24"/>
          <w:szCs w:val="24"/>
        </w:rPr>
      </w:pPr>
      <w:r>
        <w:rPr>
          <w:rFonts w:ascii="Garamond" w:eastAsia="Garamond" w:hAnsi="Garamond" w:cs="Garamond"/>
          <w:color w:val="4A4A4A"/>
          <w:sz w:val="24"/>
          <w:szCs w:val="24"/>
        </w:rPr>
        <w:t>To develop and promote public policies for the inclusion of students with disabilities in all spheres and modalities of education from an intersectional perspective, with special attention to Black and Indigenous women and girls with disabilities, seeking not only access but also the retention and success of this population, promoting compliance with legislation related to the promotion of special education from the perspective of inclusive education.</w:t>
      </w:r>
    </w:p>
    <w:p w14:paraId="72D2F247" w14:textId="77777777" w:rsidR="00257783" w:rsidRDefault="009560B4">
      <w:pPr>
        <w:numPr>
          <w:ilvl w:val="0"/>
          <w:numId w:val="2"/>
        </w:numPr>
        <w:spacing w:after="0"/>
        <w:ind w:left="-283" w:hanging="283"/>
        <w:jc w:val="both"/>
        <w:rPr>
          <w:color w:val="4A4A4A"/>
          <w:sz w:val="24"/>
          <w:szCs w:val="24"/>
        </w:rPr>
      </w:pPr>
      <w:r>
        <w:rPr>
          <w:rFonts w:ascii="Garamond" w:eastAsia="Garamond" w:hAnsi="Garamond" w:cs="Garamond"/>
          <w:color w:val="4A4A4A"/>
          <w:sz w:val="24"/>
          <w:szCs w:val="24"/>
        </w:rPr>
        <w:t>To improve inclusive education practices in schools serving Black and Indigenous communities by investing in teacher training, resources, classroom support, and school awareness.</w:t>
      </w:r>
    </w:p>
    <w:p w14:paraId="21A5798B" w14:textId="77777777" w:rsidR="00257783" w:rsidRDefault="009560B4">
      <w:pPr>
        <w:numPr>
          <w:ilvl w:val="0"/>
          <w:numId w:val="2"/>
        </w:numPr>
        <w:spacing w:after="0"/>
        <w:ind w:left="-283" w:hanging="283"/>
        <w:jc w:val="both"/>
        <w:rPr>
          <w:color w:val="4A4A4A"/>
          <w:sz w:val="24"/>
          <w:szCs w:val="24"/>
        </w:rPr>
      </w:pPr>
      <w:r>
        <w:rPr>
          <w:rFonts w:ascii="Garamond" w:eastAsia="Garamond" w:hAnsi="Garamond" w:cs="Garamond"/>
          <w:color w:val="4A4A4A"/>
          <w:sz w:val="24"/>
          <w:szCs w:val="24"/>
        </w:rPr>
        <w:t>Removing barriers that prevent Black and Indigenous women with disabilities and mothers of children with disabilities from entering the formal labor market, by implementing public policies that address structural capacity and racism in education, training, and work.</w:t>
      </w:r>
    </w:p>
    <w:p w14:paraId="643484C3" w14:textId="77777777" w:rsidR="00257783" w:rsidRDefault="009560B4">
      <w:pPr>
        <w:numPr>
          <w:ilvl w:val="0"/>
          <w:numId w:val="2"/>
        </w:numPr>
        <w:spacing w:after="0"/>
        <w:ind w:left="-283" w:hanging="283"/>
        <w:jc w:val="both"/>
        <w:rPr>
          <w:color w:val="4A4A4A"/>
          <w:sz w:val="24"/>
          <w:szCs w:val="24"/>
        </w:rPr>
      </w:pPr>
      <w:r>
        <w:rPr>
          <w:rFonts w:ascii="Garamond" w:eastAsia="Garamond" w:hAnsi="Garamond" w:cs="Garamond"/>
          <w:color w:val="4A4A4A"/>
          <w:sz w:val="24"/>
          <w:szCs w:val="24"/>
        </w:rPr>
        <w:t>Develop disaster risk reduction plans, including early warning systems, that prioritize the safety of people with disabilities and their families, with special attention to Black and Indigenous women and girls with disabilities.</w:t>
      </w:r>
    </w:p>
    <w:p w14:paraId="4DD620AE" w14:textId="77777777" w:rsidR="00257783" w:rsidRDefault="009560B4">
      <w:pPr>
        <w:numPr>
          <w:ilvl w:val="0"/>
          <w:numId w:val="2"/>
        </w:numPr>
        <w:spacing w:after="240"/>
        <w:ind w:left="-283" w:hanging="283"/>
        <w:jc w:val="both"/>
        <w:rPr>
          <w:color w:val="4A4A4A"/>
          <w:sz w:val="24"/>
          <w:szCs w:val="24"/>
        </w:rPr>
      </w:pPr>
      <w:r>
        <w:rPr>
          <w:rFonts w:ascii="Garamond" w:eastAsia="Garamond" w:hAnsi="Garamond" w:cs="Garamond"/>
          <w:color w:val="4A4A4A"/>
          <w:sz w:val="24"/>
          <w:szCs w:val="24"/>
        </w:rPr>
        <w:t>Combating Neglectful Fatherhood: To protect mothers and children, the State must support research on the impact of paternal abandonment and develop policies that hold fathers accountable for financial and emotional support, ensuring the full protection of children's rights.</w:t>
      </w:r>
    </w:p>
    <w:p w14:paraId="2AB08602" w14:textId="77777777" w:rsidR="00257783" w:rsidRDefault="00257783">
      <w:pPr>
        <w:jc w:val="both"/>
        <w:rPr>
          <w:rFonts w:ascii="Garamond" w:eastAsia="Garamond" w:hAnsi="Garamond" w:cs="Garamond"/>
          <w:color w:val="4A4A4A"/>
          <w:sz w:val="24"/>
          <w:szCs w:val="24"/>
        </w:rPr>
      </w:pPr>
    </w:p>
    <w:p w14:paraId="5111C98D" w14:textId="77777777" w:rsidR="00257783" w:rsidRDefault="00257783">
      <w:pPr>
        <w:jc w:val="both"/>
        <w:rPr>
          <w:rFonts w:ascii="Garamond" w:eastAsia="Garamond" w:hAnsi="Garamond" w:cs="Garamond"/>
          <w:sz w:val="24"/>
          <w:szCs w:val="24"/>
          <w:shd w:val="clear" w:color="auto" w:fill="FCE5CD"/>
        </w:rPr>
      </w:pPr>
    </w:p>
    <w:p w14:paraId="326E035C" w14:textId="77777777" w:rsidR="00257783" w:rsidRDefault="00257783">
      <w:pPr>
        <w:jc w:val="both"/>
        <w:rPr>
          <w:rFonts w:ascii="Garamond" w:eastAsia="Garamond" w:hAnsi="Garamond" w:cs="Garamond"/>
          <w:sz w:val="24"/>
          <w:szCs w:val="24"/>
        </w:rPr>
      </w:pPr>
    </w:p>
    <w:sectPr w:rsidR="00257783">
      <w:headerReference w:type="default" r:id="rId8"/>
      <w:footerReference w:type="default" r:id="rId9"/>
      <w:pgSz w:w="12240" w:h="15840"/>
      <w:pgMar w:top="1440" w:right="1800" w:bottom="1440" w:left="198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DCD98" w14:textId="77777777" w:rsidR="009560B4" w:rsidRDefault="009560B4">
      <w:pPr>
        <w:spacing w:after="0" w:line="240" w:lineRule="auto"/>
      </w:pPr>
      <w:r>
        <w:separator/>
      </w:r>
    </w:p>
  </w:endnote>
  <w:endnote w:type="continuationSeparator" w:id="0">
    <w:p w14:paraId="2C26AD8B" w14:textId="77777777" w:rsidR="009560B4" w:rsidRDefault="00956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embedRegular r:id="rId1" w:fontKey="{8B0D3A2E-3213-4446-8CA0-179123C02138}"/>
    <w:embedBold r:id="rId2" w:fontKey="{D2DE7856-4F09-431C-B612-576D467A9590}"/>
    <w:embedItalic r:id="rId3" w:fontKey="{C5ACBBB9-1E8E-4C9D-87F8-0DFF0CF072A2}"/>
  </w:font>
  <w:font w:name="Cambria">
    <w:panose1 w:val="02040503050406030204"/>
    <w:charset w:val="00"/>
    <w:family w:val="roman"/>
    <w:pitch w:val="variable"/>
    <w:sig w:usb0="E00006FF" w:usb1="420024FF" w:usb2="02000000" w:usb3="00000000" w:csb0="0000019F" w:csb1="00000000"/>
    <w:embedRegular r:id="rId4" w:fontKey="{E9756281-AA71-4144-90A4-2C842E2D7B5C}"/>
    <w:embedBold r:id="rId5" w:fontKey="{1337A6B8-2FF7-43DA-B0EF-05BCA9BD833F}"/>
  </w:font>
  <w:font w:name="Calibri">
    <w:panose1 w:val="020F0502020204030204"/>
    <w:charset w:val="00"/>
    <w:family w:val="swiss"/>
    <w:pitch w:val="variable"/>
    <w:sig w:usb0="E4002EFF" w:usb1="C200247B" w:usb2="00000009" w:usb3="00000000" w:csb0="000001FF" w:csb1="00000000"/>
    <w:embedRegular r:id="rId6" w:fontKey="{5525F192-7093-4E7E-8FD3-15391BC3E22F}"/>
    <w:embedBold r:id="rId7" w:fontKey="{6AAAD3A6-3065-410A-A865-EBF6A9BE4A07}"/>
    <w:embedItalic r:id="rId8" w:fontKey="{CA616599-B61C-436B-9BA4-96254A20D809}"/>
    <w:embedBoldItalic r:id="rId9" w:fontKey="{8F146F04-AD1A-4A5B-893D-5359E3C5CED6}"/>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45F95" w14:textId="77777777" w:rsidR="00257783" w:rsidRDefault="00257783">
    <w:pPr>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DCFFF" w14:textId="77777777" w:rsidR="009560B4" w:rsidRDefault="009560B4">
      <w:pPr>
        <w:spacing w:after="0" w:line="240" w:lineRule="auto"/>
      </w:pPr>
      <w:r>
        <w:separator/>
      </w:r>
    </w:p>
  </w:footnote>
  <w:footnote w:type="continuationSeparator" w:id="0">
    <w:p w14:paraId="687F109A" w14:textId="77777777" w:rsidR="009560B4" w:rsidRDefault="009560B4">
      <w:pPr>
        <w:spacing w:after="0" w:line="240" w:lineRule="auto"/>
      </w:pPr>
      <w:r>
        <w:continuationSeparator/>
      </w:r>
    </w:p>
  </w:footnote>
  <w:footnote w:id="1">
    <w:p w14:paraId="5B4A416A" w14:textId="77777777" w:rsidR="00257783" w:rsidRDefault="009560B4">
      <w:pPr>
        <w:spacing w:after="0" w:line="240" w:lineRule="auto"/>
        <w:rPr>
          <w:rFonts w:ascii="Garamond" w:eastAsia="Garamond" w:hAnsi="Garamond" w:cs="Garamond"/>
          <w:sz w:val="18"/>
          <w:szCs w:val="18"/>
        </w:rPr>
      </w:pPr>
      <w:r>
        <w:rPr>
          <w:vertAlign w:val="superscript"/>
        </w:rPr>
        <w:footnoteRef/>
      </w:r>
      <w:r>
        <w:rPr>
          <w:sz w:val="20"/>
          <w:szCs w:val="20"/>
        </w:rPr>
        <w:t xml:space="preserve"> </w:t>
      </w:r>
      <w:r>
        <w:rPr>
          <w:rFonts w:ascii="Garamond" w:eastAsia="Garamond" w:hAnsi="Garamond" w:cs="Garamond"/>
          <w:sz w:val="18"/>
          <w:szCs w:val="18"/>
        </w:rPr>
        <w:t xml:space="preserve">VNDI; Minority Rights Group. </w:t>
      </w:r>
      <w:r>
        <w:rPr>
          <w:rFonts w:ascii="Garamond" w:eastAsia="Garamond" w:hAnsi="Garamond" w:cs="Garamond"/>
          <w:i/>
          <w:sz w:val="18"/>
          <w:szCs w:val="18"/>
        </w:rPr>
        <w:t xml:space="preserve">Disability and care: resisting the lottery of access in the peripheries of </w:t>
      </w:r>
      <w:proofErr w:type="gramStart"/>
      <w:r>
        <w:rPr>
          <w:rFonts w:ascii="Garamond" w:eastAsia="Garamond" w:hAnsi="Garamond" w:cs="Garamond"/>
          <w:i/>
          <w:sz w:val="18"/>
          <w:szCs w:val="18"/>
        </w:rPr>
        <w:t xml:space="preserve">Brazil </w:t>
      </w:r>
      <w:r>
        <w:rPr>
          <w:rFonts w:ascii="Garamond" w:eastAsia="Garamond" w:hAnsi="Garamond" w:cs="Garamond"/>
          <w:sz w:val="18"/>
          <w:szCs w:val="18"/>
        </w:rPr>
        <w:t>,</w:t>
      </w:r>
      <w:proofErr w:type="gramEnd"/>
      <w:r>
        <w:rPr>
          <w:rFonts w:ascii="Garamond" w:eastAsia="Garamond" w:hAnsi="Garamond" w:cs="Garamond"/>
          <w:sz w:val="18"/>
          <w:szCs w:val="18"/>
        </w:rPr>
        <w:t xml:space="preserve"> 2025.</w:t>
      </w:r>
    </w:p>
  </w:footnote>
  <w:footnote w:id="2">
    <w:p w14:paraId="4ABC66AF" w14:textId="77777777" w:rsidR="00257783" w:rsidRDefault="009560B4">
      <w:pPr>
        <w:spacing w:after="0" w:line="240" w:lineRule="auto"/>
        <w:rPr>
          <w:rFonts w:ascii="Garamond" w:eastAsia="Garamond" w:hAnsi="Garamond" w:cs="Garamond"/>
          <w:sz w:val="18"/>
          <w:szCs w:val="18"/>
        </w:rPr>
      </w:pPr>
      <w:r>
        <w:rPr>
          <w:vertAlign w:val="superscript"/>
        </w:rPr>
        <w:footnoteRef/>
      </w:r>
      <w:r>
        <w:rPr>
          <w:rFonts w:ascii="Garamond" w:eastAsia="Garamond" w:hAnsi="Garamond" w:cs="Garamond"/>
          <w:sz w:val="18"/>
          <w:szCs w:val="18"/>
        </w:rPr>
        <w:t>INSTITUTE FOR APPLIED ECONOMIC RESEARCH (</w:t>
      </w:r>
      <w:proofErr w:type="spellStart"/>
      <w:r>
        <w:rPr>
          <w:rFonts w:ascii="Garamond" w:eastAsia="Garamond" w:hAnsi="Garamond" w:cs="Garamond"/>
          <w:sz w:val="18"/>
          <w:szCs w:val="18"/>
        </w:rPr>
        <w:t>Ipea</w:t>
      </w:r>
      <w:proofErr w:type="spellEnd"/>
      <w:r>
        <w:rPr>
          <w:rFonts w:ascii="Garamond" w:eastAsia="Garamond" w:hAnsi="Garamond" w:cs="Garamond"/>
          <w:sz w:val="18"/>
          <w:szCs w:val="18"/>
        </w:rPr>
        <w:t xml:space="preserve">). Black women make up 69.9% of domestic or care service workers in Brazil. Brasília: </w:t>
      </w:r>
      <w:proofErr w:type="spellStart"/>
      <w:r>
        <w:rPr>
          <w:rFonts w:ascii="Garamond" w:eastAsia="Garamond" w:hAnsi="Garamond" w:cs="Garamond"/>
          <w:sz w:val="18"/>
          <w:szCs w:val="18"/>
        </w:rPr>
        <w:t>Ipea</w:t>
      </w:r>
      <w:proofErr w:type="spellEnd"/>
      <w:r>
        <w:rPr>
          <w:rFonts w:ascii="Garamond" w:eastAsia="Garamond" w:hAnsi="Garamond" w:cs="Garamond"/>
          <w:sz w:val="18"/>
          <w:szCs w:val="18"/>
        </w:rPr>
        <w:t xml:space="preserve">, March 19, 2025. Available at: </w:t>
      </w:r>
      <w:hyperlink r:id="rId1">
        <w:r>
          <w:rPr>
            <w:rFonts w:ascii="Garamond" w:eastAsia="Garamond" w:hAnsi="Garamond" w:cs="Garamond"/>
            <w:sz w:val="18"/>
            <w:szCs w:val="18"/>
          </w:rPr>
          <w:t xml:space="preserve">https://www.ipea.gov.br/portal/categorias/45-todas-as-noticias/noticias/15656-mulheres-Afrodescendentes-sao-69-9-no-servico-domestico-ou-de-cuidados-no-brasil Accessed : </w:t>
        </w:r>
      </w:hyperlink>
      <w:r>
        <w:rPr>
          <w:rFonts w:ascii="Garamond" w:eastAsia="Garamond" w:hAnsi="Garamond" w:cs="Garamond"/>
          <w:sz w:val="18"/>
          <w:szCs w:val="18"/>
        </w:rPr>
        <w:t>September 2025.</w:t>
      </w:r>
    </w:p>
  </w:footnote>
  <w:footnote w:id="3">
    <w:p w14:paraId="38BC25FC" w14:textId="77777777" w:rsidR="00257783" w:rsidRDefault="009560B4">
      <w:pPr>
        <w:spacing w:after="0" w:line="240" w:lineRule="auto"/>
        <w:rPr>
          <w:sz w:val="20"/>
          <w:szCs w:val="20"/>
        </w:rPr>
      </w:pPr>
      <w:r>
        <w:rPr>
          <w:vertAlign w:val="superscript"/>
        </w:rPr>
        <w:footnoteRef/>
      </w:r>
      <w:r>
        <w:rPr>
          <w:sz w:val="18"/>
          <w:szCs w:val="18"/>
        </w:rPr>
        <w:t xml:space="preserve"> </w:t>
      </w:r>
      <w:r>
        <w:rPr>
          <w:rFonts w:ascii="Garamond" w:eastAsia="Garamond" w:hAnsi="Garamond" w:cs="Garamond"/>
          <w:sz w:val="18"/>
          <w:szCs w:val="18"/>
        </w:rPr>
        <w:t xml:space="preserve">FIGUEIRA, E. Walking in silence: an introduction to the trajectory of people with disabilities in the History of Brazil. 1st ed. São Paulo: </w:t>
      </w:r>
      <w:proofErr w:type="spellStart"/>
      <w:r>
        <w:rPr>
          <w:rFonts w:ascii="Garamond" w:eastAsia="Garamond" w:hAnsi="Garamond" w:cs="Garamond"/>
          <w:sz w:val="18"/>
          <w:szCs w:val="18"/>
        </w:rPr>
        <w:t>Giz</w:t>
      </w:r>
      <w:proofErr w:type="spellEnd"/>
      <w:r>
        <w:rPr>
          <w:rFonts w:ascii="Garamond" w:eastAsia="Garamond" w:hAnsi="Garamond" w:cs="Garamond"/>
          <w:sz w:val="18"/>
          <w:szCs w:val="18"/>
        </w:rPr>
        <w:t>, 2008</w:t>
      </w:r>
    </w:p>
  </w:footnote>
  <w:footnote w:id="4">
    <w:p w14:paraId="250A094B" w14:textId="77777777" w:rsidR="00257783" w:rsidRDefault="009560B4">
      <w:pPr>
        <w:spacing w:after="0" w:line="240" w:lineRule="auto"/>
        <w:rPr>
          <w:rFonts w:ascii="Garamond" w:eastAsia="Garamond" w:hAnsi="Garamond" w:cs="Garamond"/>
          <w:sz w:val="18"/>
          <w:szCs w:val="18"/>
        </w:rPr>
      </w:pPr>
      <w:r>
        <w:rPr>
          <w:vertAlign w:val="superscript"/>
        </w:rPr>
        <w:footnoteRef/>
      </w:r>
      <w:r>
        <w:rPr>
          <w:rFonts w:ascii="Garamond" w:eastAsia="Garamond" w:hAnsi="Garamond" w:cs="Garamond"/>
          <w:sz w:val="18"/>
          <w:szCs w:val="18"/>
        </w:rPr>
        <w:t>Convention on the Rights of Persons with Disabilities, Preamble, p. 2006</w:t>
      </w:r>
    </w:p>
  </w:footnote>
  <w:footnote w:id="5">
    <w:p w14:paraId="0D13466F" w14:textId="77777777" w:rsidR="00257783" w:rsidRDefault="009560B4">
      <w:pPr>
        <w:spacing w:after="0" w:line="240" w:lineRule="auto"/>
        <w:rPr>
          <w:rFonts w:ascii="Garamond" w:eastAsia="Garamond" w:hAnsi="Garamond" w:cs="Garamond"/>
          <w:sz w:val="18"/>
          <w:szCs w:val="18"/>
        </w:rPr>
      </w:pPr>
      <w:r>
        <w:rPr>
          <w:vertAlign w:val="superscript"/>
        </w:rPr>
        <w:footnoteRef/>
      </w:r>
      <w:r>
        <w:rPr>
          <w:sz w:val="20"/>
          <w:szCs w:val="20"/>
        </w:rPr>
        <w:t xml:space="preserve"> </w:t>
      </w:r>
      <w:r>
        <w:rPr>
          <w:rFonts w:ascii="Garamond" w:eastAsia="Garamond" w:hAnsi="Garamond" w:cs="Garamond"/>
          <w:sz w:val="18"/>
          <w:szCs w:val="18"/>
        </w:rPr>
        <w:t xml:space="preserve">BRAZIL. </w:t>
      </w:r>
      <w:r>
        <w:rPr>
          <w:rFonts w:ascii="Garamond" w:eastAsia="Garamond" w:hAnsi="Garamond" w:cs="Garamond"/>
          <w:color w:val="444746"/>
          <w:sz w:val="18"/>
          <w:szCs w:val="18"/>
          <w:highlight w:val="white"/>
        </w:rPr>
        <w:t>2015. LAW No. 13.146, OF JULY 6, 2015.</w:t>
      </w:r>
    </w:p>
  </w:footnote>
  <w:footnote w:id="6">
    <w:p w14:paraId="3781CF0A" w14:textId="77777777" w:rsidR="00257783" w:rsidRDefault="009560B4">
      <w:pPr>
        <w:spacing w:after="0" w:line="240" w:lineRule="auto"/>
        <w:rPr>
          <w:rFonts w:ascii="Garamond" w:eastAsia="Garamond" w:hAnsi="Garamond" w:cs="Garamond"/>
          <w:sz w:val="18"/>
          <w:szCs w:val="18"/>
        </w:rPr>
      </w:pPr>
      <w:r>
        <w:rPr>
          <w:vertAlign w:val="superscript"/>
        </w:rPr>
        <w:footnoteRef/>
      </w:r>
      <w:r>
        <w:rPr>
          <w:sz w:val="20"/>
          <w:szCs w:val="20"/>
        </w:rPr>
        <w:t xml:space="preserve"> </w:t>
      </w:r>
      <w:r>
        <w:rPr>
          <w:rFonts w:ascii="Garamond" w:eastAsia="Garamond" w:hAnsi="Garamond" w:cs="Garamond"/>
          <w:sz w:val="18"/>
          <w:szCs w:val="18"/>
        </w:rPr>
        <w:t>BRAZIL. 1999. DECREE No. 3,298, OF DECEMBER 20, 1999</w:t>
      </w:r>
    </w:p>
  </w:footnote>
  <w:footnote w:id="7">
    <w:p w14:paraId="09F08DC0" w14:textId="77777777" w:rsidR="00257783" w:rsidRDefault="009560B4">
      <w:pPr>
        <w:spacing w:after="0" w:line="240" w:lineRule="auto"/>
        <w:rPr>
          <w:rFonts w:ascii="Garamond" w:eastAsia="Garamond" w:hAnsi="Garamond" w:cs="Garamond"/>
          <w:sz w:val="18"/>
          <w:szCs w:val="18"/>
        </w:rPr>
      </w:pPr>
      <w:r>
        <w:rPr>
          <w:vertAlign w:val="superscript"/>
        </w:rPr>
        <w:footnoteRef/>
      </w:r>
      <w:r>
        <w:rPr>
          <w:rFonts w:ascii="Garamond" w:eastAsia="Garamond" w:hAnsi="Garamond" w:cs="Garamond"/>
          <w:sz w:val="18"/>
          <w:szCs w:val="18"/>
        </w:rPr>
        <w:t xml:space="preserve">BRAZIL. 2025. </w:t>
      </w:r>
      <w:r>
        <w:rPr>
          <w:rFonts w:ascii="Garamond" w:eastAsia="Garamond" w:hAnsi="Garamond" w:cs="Garamond"/>
          <w:color w:val="162937"/>
          <w:sz w:val="18"/>
          <w:szCs w:val="18"/>
        </w:rPr>
        <w:t>DECREE No. 12,686, OF OCTOBER 20, 2025</w:t>
      </w:r>
    </w:p>
  </w:footnote>
  <w:footnote w:id="8">
    <w:p w14:paraId="6C7AAD6E" w14:textId="77777777" w:rsidR="00257783" w:rsidRDefault="009560B4">
      <w:pPr>
        <w:spacing w:after="0" w:line="240" w:lineRule="auto"/>
        <w:rPr>
          <w:sz w:val="20"/>
          <w:szCs w:val="20"/>
        </w:rPr>
      </w:pPr>
      <w:r>
        <w:rPr>
          <w:vertAlign w:val="superscript"/>
        </w:rPr>
        <w:footnoteRef/>
      </w:r>
      <w:r>
        <w:rPr>
          <w:sz w:val="20"/>
          <w:szCs w:val="20"/>
        </w:rPr>
        <w:t xml:space="preserve"> </w:t>
      </w:r>
      <w:r>
        <w:rPr>
          <w:rFonts w:ascii="Garamond" w:eastAsia="Garamond" w:hAnsi="Garamond" w:cs="Garamond"/>
          <w:sz w:val="18"/>
          <w:szCs w:val="18"/>
        </w:rPr>
        <w:t>BRAZIL. 2001. LAW No. 10,216, OF APRIL 6, 2001.</w:t>
      </w:r>
      <w:r>
        <w:rPr>
          <w:sz w:val="20"/>
          <w:szCs w:val="20"/>
        </w:rPr>
        <w:t xml:space="preserve"> </w:t>
      </w:r>
    </w:p>
  </w:footnote>
  <w:footnote w:id="9">
    <w:p w14:paraId="395C3505" w14:textId="77777777" w:rsidR="00257783" w:rsidRDefault="009560B4">
      <w:pPr>
        <w:spacing w:after="0" w:line="240" w:lineRule="auto"/>
        <w:rPr>
          <w:rFonts w:ascii="Garamond" w:eastAsia="Garamond" w:hAnsi="Garamond" w:cs="Garamond"/>
          <w:sz w:val="18"/>
          <w:szCs w:val="18"/>
        </w:rPr>
      </w:pPr>
      <w:r>
        <w:rPr>
          <w:vertAlign w:val="superscript"/>
        </w:rPr>
        <w:footnoteRef/>
      </w:r>
      <w:r>
        <w:rPr>
          <w:rFonts w:ascii="Garamond" w:eastAsia="Garamond" w:hAnsi="Garamond" w:cs="Garamond"/>
          <w:sz w:val="18"/>
          <w:szCs w:val="18"/>
        </w:rPr>
        <w:t>BRAZIL. 2012. LAW No. 12,711, OF AUGUST 29, 2012.</w:t>
      </w:r>
    </w:p>
  </w:footnote>
  <w:footnote w:id="10">
    <w:p w14:paraId="216AD590" w14:textId="77777777" w:rsidR="00257783" w:rsidRDefault="009560B4">
      <w:pPr>
        <w:spacing w:after="0" w:line="240" w:lineRule="auto"/>
        <w:rPr>
          <w:rFonts w:ascii="Garamond" w:eastAsia="Garamond" w:hAnsi="Garamond" w:cs="Garamond"/>
          <w:sz w:val="18"/>
          <w:szCs w:val="18"/>
        </w:rPr>
      </w:pPr>
      <w:r>
        <w:rPr>
          <w:vertAlign w:val="superscript"/>
        </w:rPr>
        <w:footnoteRef/>
      </w:r>
      <w:r>
        <w:rPr>
          <w:rFonts w:ascii="Garamond" w:eastAsia="Garamond" w:hAnsi="Garamond" w:cs="Garamond"/>
          <w:sz w:val="18"/>
          <w:szCs w:val="18"/>
        </w:rPr>
        <w:t>BRAZIL. 2011 DECREE No. 7,508, OF JUNE 28, 2011.</w:t>
      </w:r>
    </w:p>
  </w:footnote>
  <w:footnote w:id="11">
    <w:p w14:paraId="1A8FB980" w14:textId="77777777" w:rsidR="00257783" w:rsidRDefault="009560B4">
      <w:pPr>
        <w:spacing w:after="0" w:line="240" w:lineRule="auto"/>
        <w:rPr>
          <w:rFonts w:ascii="Garamond" w:eastAsia="Garamond" w:hAnsi="Garamond" w:cs="Garamond"/>
          <w:sz w:val="18"/>
          <w:szCs w:val="18"/>
        </w:rPr>
      </w:pPr>
      <w:r>
        <w:rPr>
          <w:vertAlign w:val="superscript"/>
        </w:rPr>
        <w:footnoteRef/>
      </w:r>
      <w:r>
        <w:rPr>
          <w:rFonts w:ascii="Garamond" w:eastAsia="Garamond" w:hAnsi="Garamond" w:cs="Garamond"/>
          <w:sz w:val="18"/>
          <w:szCs w:val="18"/>
        </w:rPr>
        <w:t>Brazil. 2007.</w:t>
      </w:r>
      <w:r>
        <w:rPr>
          <w:sz w:val="20"/>
          <w:szCs w:val="20"/>
        </w:rPr>
        <w:t xml:space="preserve"> </w:t>
      </w:r>
      <w:r>
        <w:rPr>
          <w:rFonts w:ascii="Garamond" w:eastAsia="Garamond" w:hAnsi="Garamond" w:cs="Garamond"/>
          <w:sz w:val="18"/>
          <w:szCs w:val="18"/>
        </w:rPr>
        <w:t>Decree No. 6,214, of September 26, 2007.</w:t>
      </w:r>
    </w:p>
  </w:footnote>
  <w:footnote w:id="12">
    <w:p w14:paraId="16CC2238" w14:textId="77777777" w:rsidR="00257783" w:rsidRDefault="009560B4">
      <w:pPr>
        <w:spacing w:after="0" w:line="240" w:lineRule="auto"/>
        <w:rPr>
          <w:rFonts w:ascii="Garamond" w:eastAsia="Garamond" w:hAnsi="Garamond" w:cs="Garamond"/>
          <w:sz w:val="18"/>
          <w:szCs w:val="18"/>
        </w:rPr>
      </w:pPr>
      <w:r>
        <w:rPr>
          <w:vertAlign w:val="superscript"/>
        </w:rPr>
        <w:footnoteRef/>
      </w:r>
      <w:r>
        <w:rPr>
          <w:rFonts w:ascii="Garamond" w:eastAsia="Garamond" w:hAnsi="Garamond" w:cs="Garamond"/>
          <w:sz w:val="18"/>
          <w:szCs w:val="18"/>
        </w:rPr>
        <w:t>BRAZIL. 2025. DECREE No. 12,534, OF JUNE 25, 2025</w:t>
      </w:r>
    </w:p>
  </w:footnote>
  <w:footnote w:id="13">
    <w:p w14:paraId="30497318" w14:textId="77777777" w:rsidR="00257783" w:rsidRDefault="009560B4">
      <w:pPr>
        <w:spacing w:after="0" w:line="240" w:lineRule="auto"/>
        <w:rPr>
          <w:rFonts w:ascii="Garamond" w:eastAsia="Garamond" w:hAnsi="Garamond" w:cs="Garamond"/>
          <w:sz w:val="18"/>
          <w:szCs w:val="18"/>
        </w:rPr>
      </w:pPr>
      <w:r>
        <w:rPr>
          <w:vertAlign w:val="superscript"/>
        </w:rPr>
        <w:footnoteRef/>
      </w:r>
      <w:r>
        <w:rPr>
          <w:rFonts w:ascii="Garamond" w:eastAsia="Garamond" w:hAnsi="Garamond" w:cs="Garamond"/>
          <w:sz w:val="18"/>
          <w:szCs w:val="18"/>
        </w:rPr>
        <w:t>BRAZIL. 2011. LAW No. 12,435, OF JULY 6, 2011.</w:t>
      </w:r>
    </w:p>
  </w:footnote>
  <w:footnote w:id="14">
    <w:p w14:paraId="0CD134C4" w14:textId="77777777" w:rsidR="00257783" w:rsidRDefault="009560B4">
      <w:pPr>
        <w:spacing w:after="0" w:line="240" w:lineRule="auto"/>
        <w:rPr>
          <w:rFonts w:ascii="Garamond" w:eastAsia="Garamond" w:hAnsi="Garamond" w:cs="Garamond"/>
          <w:sz w:val="18"/>
          <w:szCs w:val="18"/>
        </w:rPr>
      </w:pPr>
      <w:r>
        <w:rPr>
          <w:vertAlign w:val="superscript"/>
        </w:rPr>
        <w:footnoteRef/>
      </w:r>
      <w:r>
        <w:rPr>
          <w:sz w:val="20"/>
          <w:szCs w:val="20"/>
        </w:rPr>
        <w:t xml:space="preserve"> </w:t>
      </w:r>
      <w:r>
        <w:rPr>
          <w:rFonts w:ascii="Garamond" w:eastAsia="Garamond" w:hAnsi="Garamond" w:cs="Garamond"/>
          <w:sz w:val="18"/>
          <w:szCs w:val="18"/>
        </w:rPr>
        <w:t>BRAZIL. 2024.</w:t>
      </w:r>
      <w:r>
        <w:rPr>
          <w:rFonts w:ascii="Arial" w:eastAsia="Arial" w:hAnsi="Arial" w:cs="Arial"/>
          <w:b/>
          <w:color w:val="000080"/>
          <w:sz w:val="18"/>
          <w:szCs w:val="18"/>
        </w:rPr>
        <w:t xml:space="preserve"> </w:t>
      </w:r>
      <w:r>
        <w:rPr>
          <w:rFonts w:ascii="Garamond" w:eastAsia="Garamond" w:hAnsi="Garamond" w:cs="Garamond"/>
          <w:sz w:val="18"/>
          <w:szCs w:val="18"/>
        </w:rPr>
        <w:t>LAW No. 15,069, OF DECEMBER 23, 2024.</w:t>
      </w:r>
    </w:p>
  </w:footnote>
  <w:footnote w:id="15">
    <w:p w14:paraId="50E1FCE6" w14:textId="77777777" w:rsidR="00257783" w:rsidRDefault="009560B4">
      <w:pPr>
        <w:spacing w:after="0" w:line="240" w:lineRule="auto"/>
        <w:rPr>
          <w:rFonts w:ascii="Garamond" w:eastAsia="Garamond" w:hAnsi="Garamond" w:cs="Garamond"/>
          <w:sz w:val="18"/>
          <w:szCs w:val="18"/>
          <w:highlight w:val="white"/>
        </w:rPr>
      </w:pPr>
      <w:r>
        <w:rPr>
          <w:vertAlign w:val="superscript"/>
        </w:rPr>
        <w:footnoteRef/>
      </w:r>
      <w:r>
        <w:rPr>
          <w:sz w:val="20"/>
          <w:szCs w:val="20"/>
        </w:rPr>
        <w:t xml:space="preserve"> </w:t>
      </w:r>
      <w:r>
        <w:rPr>
          <w:rFonts w:ascii="Garamond" w:eastAsia="Garamond" w:hAnsi="Garamond" w:cs="Garamond"/>
          <w:sz w:val="18"/>
          <w:szCs w:val="18"/>
          <w:highlight w:val="white"/>
        </w:rPr>
        <w:t xml:space="preserve">Nicolau, SM, Blima </w:t>
      </w:r>
      <w:proofErr w:type="spellStart"/>
      <w:r>
        <w:rPr>
          <w:rFonts w:ascii="Garamond" w:eastAsia="Garamond" w:hAnsi="Garamond" w:cs="Garamond"/>
          <w:sz w:val="18"/>
          <w:szCs w:val="18"/>
          <w:highlight w:val="white"/>
        </w:rPr>
        <w:t>Schraiber</w:t>
      </w:r>
      <w:proofErr w:type="spellEnd"/>
      <w:r>
        <w:rPr>
          <w:rFonts w:ascii="Garamond" w:eastAsia="Garamond" w:hAnsi="Garamond" w:cs="Garamond"/>
          <w:sz w:val="18"/>
          <w:szCs w:val="18"/>
          <w:highlight w:val="white"/>
        </w:rPr>
        <w:t xml:space="preserve">, Lilia, José Ricardo de Carvalho Mesquita Ayres. Women with disabilities and their double vulnerability: contributions to the construction of comprehensive health care. Cien Saude Colet [online journal] (2011/Nov). [Cited 2025/10/30]. Available from: </w:t>
      </w:r>
      <w:hyperlink r:id="rId2">
        <w:r>
          <w:rPr>
            <w:rFonts w:ascii="Garamond" w:eastAsia="Garamond" w:hAnsi="Garamond" w:cs="Garamond"/>
            <w:color w:val="1155CC"/>
            <w:sz w:val="18"/>
            <w:szCs w:val="18"/>
            <w:highlight w:val="white"/>
            <w:u w:val="single"/>
          </w:rPr>
          <w:t>http://www.cienciaesaudecoletiva.com.br/artigos/mulheres-com-deficiencia-e-sua-dupla-vulnerabilidade-contribuicoes-para-a-construcao-da-integralidade-em-saude/9043?id=9043</w:t>
        </w:r>
      </w:hyperlink>
    </w:p>
  </w:footnote>
  <w:footnote w:id="16">
    <w:p w14:paraId="08AFD827" w14:textId="77777777" w:rsidR="00257783" w:rsidRDefault="009560B4">
      <w:pPr>
        <w:spacing w:after="0" w:line="240" w:lineRule="auto"/>
        <w:rPr>
          <w:rFonts w:ascii="Garamond" w:eastAsia="Garamond" w:hAnsi="Garamond" w:cs="Garamond"/>
          <w:sz w:val="18"/>
          <w:szCs w:val="18"/>
        </w:rPr>
      </w:pPr>
      <w:r>
        <w:rPr>
          <w:vertAlign w:val="superscript"/>
        </w:rPr>
        <w:footnoteRef/>
      </w:r>
      <w:r>
        <w:rPr>
          <w:rFonts w:ascii="Garamond" w:eastAsia="Garamond" w:hAnsi="Garamond" w:cs="Garamond"/>
          <w:sz w:val="18"/>
          <w:szCs w:val="18"/>
        </w:rPr>
        <w:t>Silva, Nelma Nunes da et al. 2020. Access of the black population to health services: an integrative review. Brazilian Journal of Nursing [online]. 73, no. 4. Available at: https://doi.org/10.1590/0034-7167-2018-0834</w:t>
      </w:r>
    </w:p>
  </w:footnote>
  <w:footnote w:id="17">
    <w:p w14:paraId="5D04066A" w14:textId="77777777" w:rsidR="00257783" w:rsidRDefault="009560B4">
      <w:pPr>
        <w:spacing w:after="0" w:line="240" w:lineRule="auto"/>
        <w:rPr>
          <w:rFonts w:ascii="Garamond" w:eastAsia="Garamond" w:hAnsi="Garamond" w:cs="Garamond"/>
          <w:sz w:val="18"/>
          <w:szCs w:val="18"/>
        </w:rPr>
      </w:pPr>
      <w:r>
        <w:rPr>
          <w:vertAlign w:val="superscript"/>
        </w:rPr>
        <w:footnoteRef/>
      </w:r>
      <w:r>
        <w:rPr>
          <w:rFonts w:ascii="Garamond" w:eastAsia="Garamond" w:hAnsi="Garamond" w:cs="Garamond"/>
          <w:sz w:val="18"/>
          <w:szCs w:val="18"/>
        </w:rPr>
        <w:t xml:space="preserve">Black Lives with Disabilities Matter; Minority Rights Group. </w:t>
      </w:r>
      <w:r>
        <w:rPr>
          <w:rFonts w:ascii="Garamond" w:eastAsia="Garamond" w:hAnsi="Garamond" w:cs="Garamond"/>
          <w:i/>
          <w:sz w:val="18"/>
          <w:szCs w:val="18"/>
        </w:rPr>
        <w:t xml:space="preserve">The Situation of Black People with Disabilities in Brazil = A </w:t>
      </w:r>
      <w:proofErr w:type="spellStart"/>
      <w:r>
        <w:rPr>
          <w:rFonts w:ascii="Garamond" w:eastAsia="Garamond" w:hAnsi="Garamond" w:cs="Garamond"/>
          <w:i/>
          <w:sz w:val="18"/>
          <w:szCs w:val="18"/>
        </w:rPr>
        <w:t>situação</w:t>
      </w:r>
      <w:proofErr w:type="spellEnd"/>
      <w:r>
        <w:rPr>
          <w:rFonts w:ascii="Garamond" w:eastAsia="Garamond" w:hAnsi="Garamond" w:cs="Garamond"/>
          <w:i/>
          <w:sz w:val="18"/>
          <w:szCs w:val="18"/>
        </w:rPr>
        <w:t xml:space="preserve"> das </w:t>
      </w:r>
      <w:proofErr w:type="spellStart"/>
      <w:r>
        <w:rPr>
          <w:rFonts w:ascii="Garamond" w:eastAsia="Garamond" w:hAnsi="Garamond" w:cs="Garamond"/>
          <w:i/>
          <w:sz w:val="18"/>
          <w:szCs w:val="18"/>
        </w:rPr>
        <w:t>pessoas</w:t>
      </w:r>
      <w:proofErr w:type="spellEnd"/>
      <w:r>
        <w:rPr>
          <w:rFonts w:ascii="Garamond" w:eastAsia="Garamond" w:hAnsi="Garamond" w:cs="Garamond"/>
          <w:i/>
          <w:sz w:val="18"/>
          <w:szCs w:val="18"/>
        </w:rPr>
        <w:t xml:space="preserve"> </w:t>
      </w:r>
      <w:proofErr w:type="spellStart"/>
      <w:r>
        <w:rPr>
          <w:rFonts w:ascii="Garamond" w:eastAsia="Garamond" w:hAnsi="Garamond" w:cs="Garamond"/>
          <w:i/>
          <w:sz w:val="18"/>
          <w:szCs w:val="18"/>
        </w:rPr>
        <w:t>Afrodescendentes</w:t>
      </w:r>
      <w:proofErr w:type="spellEnd"/>
      <w:r>
        <w:rPr>
          <w:rFonts w:ascii="Garamond" w:eastAsia="Garamond" w:hAnsi="Garamond" w:cs="Garamond"/>
          <w:i/>
          <w:sz w:val="18"/>
          <w:szCs w:val="18"/>
        </w:rPr>
        <w:t xml:space="preserve"> com </w:t>
      </w:r>
      <w:proofErr w:type="spellStart"/>
      <w:r>
        <w:rPr>
          <w:rFonts w:ascii="Garamond" w:eastAsia="Garamond" w:hAnsi="Garamond" w:cs="Garamond"/>
          <w:i/>
          <w:sz w:val="18"/>
          <w:szCs w:val="18"/>
        </w:rPr>
        <w:t>deficiência</w:t>
      </w:r>
      <w:proofErr w:type="spellEnd"/>
      <w:r>
        <w:rPr>
          <w:rFonts w:ascii="Garamond" w:eastAsia="Garamond" w:hAnsi="Garamond" w:cs="Garamond"/>
          <w:i/>
          <w:sz w:val="18"/>
          <w:szCs w:val="18"/>
        </w:rPr>
        <w:t xml:space="preserve"> no </w:t>
      </w:r>
      <w:proofErr w:type="spellStart"/>
      <w:proofErr w:type="gramStart"/>
      <w:r>
        <w:rPr>
          <w:rFonts w:ascii="Garamond" w:eastAsia="Garamond" w:hAnsi="Garamond" w:cs="Garamond"/>
          <w:i/>
          <w:sz w:val="18"/>
          <w:szCs w:val="18"/>
        </w:rPr>
        <w:t>Brasil</w:t>
      </w:r>
      <w:proofErr w:type="spellEnd"/>
      <w:r>
        <w:rPr>
          <w:rFonts w:ascii="Garamond" w:eastAsia="Garamond" w:hAnsi="Garamond" w:cs="Garamond"/>
          <w:i/>
          <w:sz w:val="18"/>
          <w:szCs w:val="18"/>
        </w:rPr>
        <w:t xml:space="preserve"> </w:t>
      </w:r>
      <w:r>
        <w:rPr>
          <w:rFonts w:ascii="Garamond" w:eastAsia="Garamond" w:hAnsi="Garamond" w:cs="Garamond"/>
          <w:sz w:val="18"/>
          <w:szCs w:val="18"/>
        </w:rPr>
        <w:t>.</w:t>
      </w:r>
      <w:proofErr w:type="gramEnd"/>
      <w:r>
        <w:rPr>
          <w:rFonts w:ascii="Garamond" w:eastAsia="Garamond" w:hAnsi="Garamond" w:cs="Garamond"/>
          <w:sz w:val="18"/>
          <w:szCs w:val="18"/>
        </w:rPr>
        <w:t xml:space="preserve"> London: Minority Rights Group, 2023. 32 p.</w:t>
      </w:r>
    </w:p>
  </w:footnote>
  <w:footnote w:id="18">
    <w:p w14:paraId="7E76FDD3" w14:textId="77777777" w:rsidR="00257783" w:rsidRDefault="009560B4">
      <w:pPr>
        <w:spacing w:after="0" w:line="240" w:lineRule="auto"/>
        <w:rPr>
          <w:rFonts w:ascii="Garamond" w:eastAsia="Garamond" w:hAnsi="Garamond" w:cs="Garamond"/>
          <w:sz w:val="18"/>
          <w:szCs w:val="18"/>
        </w:rPr>
      </w:pPr>
      <w:r>
        <w:rPr>
          <w:vertAlign w:val="superscript"/>
        </w:rPr>
        <w:footnoteRef/>
      </w:r>
      <w:r>
        <w:rPr>
          <w:sz w:val="20"/>
          <w:szCs w:val="20"/>
        </w:rPr>
        <w:t xml:space="preserve"> </w:t>
      </w:r>
      <w:r>
        <w:rPr>
          <w:rFonts w:ascii="Garamond" w:eastAsia="Garamond" w:hAnsi="Garamond" w:cs="Garamond"/>
          <w:sz w:val="18"/>
          <w:szCs w:val="18"/>
        </w:rPr>
        <w:t xml:space="preserve">Goes, Emanuelle Freitas and Nascimento, Enilda Rosendo </w:t>
      </w:r>
      <w:proofErr w:type="gramStart"/>
      <w:r>
        <w:rPr>
          <w:rFonts w:ascii="Garamond" w:eastAsia="Garamond" w:hAnsi="Garamond" w:cs="Garamond"/>
          <w:sz w:val="18"/>
          <w:szCs w:val="18"/>
        </w:rPr>
        <w:t>do</w:t>
      </w:r>
      <w:proofErr w:type="gramEnd"/>
      <w:r>
        <w:rPr>
          <w:rFonts w:ascii="Garamond" w:eastAsia="Garamond" w:hAnsi="Garamond" w:cs="Garamond"/>
          <w:sz w:val="18"/>
          <w:szCs w:val="18"/>
        </w:rPr>
        <w:t>. 2013. Black and white women and levels of access to preventive health services: an analysis of inequalities. Cielo. Health in Debate. 2013, v. 99, pp. Available at: https://www.scielo.br/j/sdeb/a/kw9SwJT5SHMYty6dhTYvsGg/?lang=pt Edition published on February 13, 2014. ISSN 2358-2898.</w:t>
      </w:r>
    </w:p>
  </w:footnote>
  <w:footnote w:id="19">
    <w:p w14:paraId="35F48861" w14:textId="77777777" w:rsidR="00257783" w:rsidRDefault="009560B4">
      <w:pPr>
        <w:spacing w:after="0" w:line="240" w:lineRule="auto"/>
        <w:jc w:val="both"/>
        <w:rPr>
          <w:rFonts w:ascii="Garamond" w:eastAsia="Garamond" w:hAnsi="Garamond" w:cs="Garamond"/>
          <w:sz w:val="18"/>
          <w:szCs w:val="18"/>
        </w:rPr>
      </w:pPr>
      <w:r>
        <w:rPr>
          <w:vertAlign w:val="superscript"/>
        </w:rPr>
        <w:footnoteRef/>
      </w:r>
      <w:r>
        <w:rPr>
          <w:rFonts w:ascii="Garamond" w:eastAsia="Garamond" w:hAnsi="Garamond" w:cs="Garamond"/>
          <w:sz w:val="18"/>
          <w:szCs w:val="18"/>
        </w:rPr>
        <w:t xml:space="preserve">Goes, Emanuelle Freitas and Nascimento, Enilda Rosendo </w:t>
      </w:r>
      <w:proofErr w:type="gramStart"/>
      <w:r>
        <w:rPr>
          <w:rFonts w:ascii="Garamond" w:eastAsia="Garamond" w:hAnsi="Garamond" w:cs="Garamond"/>
          <w:sz w:val="18"/>
          <w:szCs w:val="18"/>
        </w:rPr>
        <w:t>do</w:t>
      </w:r>
      <w:proofErr w:type="gramEnd"/>
      <w:r>
        <w:rPr>
          <w:rFonts w:ascii="Garamond" w:eastAsia="Garamond" w:hAnsi="Garamond" w:cs="Garamond"/>
          <w:sz w:val="18"/>
          <w:szCs w:val="18"/>
        </w:rPr>
        <w:t>. 2013. Black and white women and levels of access to preventive health services: an analysis of inequalities. Cielo. Health in Debate. 2013, v. 99, pp. Available at: https://www.scielo.br/j/sdeb/a/kw9SwJT5SHMYty6dhTYvsGg/?lang=pt Edition published on February 13, 2014. ISSN 2358-2898</w:t>
      </w:r>
    </w:p>
  </w:footnote>
  <w:footnote w:id="20">
    <w:p w14:paraId="0120CD7B" w14:textId="77777777" w:rsidR="00257783" w:rsidRDefault="009560B4">
      <w:pPr>
        <w:spacing w:after="0" w:line="240" w:lineRule="auto"/>
        <w:jc w:val="both"/>
        <w:rPr>
          <w:rFonts w:ascii="Garamond" w:eastAsia="Garamond" w:hAnsi="Garamond" w:cs="Garamond"/>
          <w:sz w:val="18"/>
          <w:szCs w:val="18"/>
        </w:rPr>
      </w:pPr>
      <w:r>
        <w:rPr>
          <w:vertAlign w:val="superscript"/>
        </w:rPr>
        <w:footnoteRef/>
      </w:r>
      <w:r>
        <w:rPr>
          <w:rFonts w:ascii="Garamond" w:eastAsia="Garamond" w:hAnsi="Garamond" w:cs="Garamond"/>
          <w:sz w:val="18"/>
          <w:szCs w:val="18"/>
        </w:rPr>
        <w:t xml:space="preserve">30 da Cunha MAO, Santos HF, de Carvalho MEL, Miranda GMD, de Albuquerque MDSV, de Oliveira RS, de Albuquerque AFC, Penn-Kekana L, Kuper H, Lyra TM. Healthcare for people with disabilities in the Brazilian Unified Health System: a scoping review. Int J Environ Res </w:t>
      </w:r>
      <w:proofErr w:type="spellStart"/>
      <w:r>
        <w:rPr>
          <w:rFonts w:ascii="Garamond" w:eastAsia="Garamond" w:hAnsi="Garamond" w:cs="Garamond"/>
          <w:sz w:val="18"/>
          <w:szCs w:val="18"/>
        </w:rPr>
        <w:t>Saúde</w:t>
      </w:r>
      <w:proofErr w:type="spellEnd"/>
      <w:r>
        <w:rPr>
          <w:rFonts w:ascii="Garamond" w:eastAsia="Garamond" w:hAnsi="Garamond" w:cs="Garamond"/>
          <w:sz w:val="18"/>
          <w:szCs w:val="18"/>
        </w:rPr>
        <w:t xml:space="preserve"> Pública. January 28, 2022;19(3):1472. </w:t>
      </w:r>
      <w:proofErr w:type="spellStart"/>
      <w:r>
        <w:rPr>
          <w:rFonts w:ascii="Garamond" w:eastAsia="Garamond" w:hAnsi="Garamond" w:cs="Garamond"/>
          <w:sz w:val="18"/>
          <w:szCs w:val="18"/>
        </w:rPr>
        <w:t>doi</w:t>
      </w:r>
      <w:proofErr w:type="spellEnd"/>
      <w:r>
        <w:rPr>
          <w:rFonts w:ascii="Garamond" w:eastAsia="Garamond" w:hAnsi="Garamond" w:cs="Garamond"/>
          <w:sz w:val="18"/>
          <w:szCs w:val="18"/>
        </w:rPr>
        <w:t>: 10.3390/ijerph19031472. PMID: 35162497; PMCID: PMC8834994.</w:t>
      </w:r>
    </w:p>
  </w:footnote>
  <w:footnote w:id="21">
    <w:p w14:paraId="62778BCC" w14:textId="77777777" w:rsidR="00257783" w:rsidRDefault="009560B4">
      <w:pPr>
        <w:spacing w:after="0" w:line="240" w:lineRule="auto"/>
        <w:jc w:val="both"/>
        <w:rPr>
          <w:rFonts w:ascii="Garamond" w:eastAsia="Garamond" w:hAnsi="Garamond" w:cs="Garamond"/>
          <w:sz w:val="18"/>
          <w:szCs w:val="18"/>
        </w:rPr>
      </w:pPr>
      <w:r>
        <w:rPr>
          <w:vertAlign w:val="superscript"/>
        </w:rPr>
        <w:footnoteRef/>
      </w:r>
      <w:r>
        <w:rPr>
          <w:sz w:val="20"/>
          <w:szCs w:val="20"/>
        </w:rPr>
        <w:t xml:space="preserve"> </w:t>
      </w:r>
      <w:r>
        <w:rPr>
          <w:rFonts w:ascii="Garamond" w:eastAsia="Garamond" w:hAnsi="Garamond" w:cs="Garamond"/>
          <w:sz w:val="18"/>
          <w:szCs w:val="18"/>
        </w:rPr>
        <w:t xml:space="preserve">Nicolau, Stella Maris, Schraiber, Lilia Blima and Ayres, José Ricardo de Carvalho Mesquita. Women with disabilities and their double vulnerability: contributions to the construction of integrality in health. </w:t>
      </w:r>
      <w:r w:rsidRPr="009560B4">
        <w:rPr>
          <w:rFonts w:ascii="Garamond" w:eastAsia="Garamond" w:hAnsi="Garamond" w:cs="Garamond"/>
          <w:sz w:val="18"/>
          <w:szCs w:val="18"/>
          <w:lang w:val="fr-FR"/>
        </w:rPr>
        <w:t xml:space="preserve">Ciência &amp; Saúde Coletiva [online]. 2013, v. 3, pages 863-872. Available at: https://doi.org/10.1590/S1413-81232013000300032. </w:t>
      </w:r>
      <w:r>
        <w:rPr>
          <w:rFonts w:ascii="Garamond" w:eastAsia="Garamond" w:hAnsi="Garamond" w:cs="Garamond"/>
          <w:sz w:val="18"/>
          <w:szCs w:val="18"/>
        </w:rPr>
        <w:t>Edition published on March 28, 2013. ISSN 1678-4561. https://doi.org/10.1590/S1413-81232013000300032.</w:t>
      </w:r>
    </w:p>
  </w:footnote>
  <w:footnote w:id="22">
    <w:p w14:paraId="1F3B0015" w14:textId="77777777" w:rsidR="00257783" w:rsidRDefault="009560B4">
      <w:pPr>
        <w:spacing w:after="0" w:line="240" w:lineRule="auto"/>
        <w:jc w:val="both"/>
        <w:rPr>
          <w:rFonts w:ascii="Garamond" w:eastAsia="Garamond" w:hAnsi="Garamond" w:cs="Garamond"/>
          <w:sz w:val="18"/>
          <w:szCs w:val="18"/>
        </w:rPr>
      </w:pPr>
      <w:r>
        <w:rPr>
          <w:vertAlign w:val="superscript"/>
        </w:rPr>
        <w:footnoteRef/>
      </w:r>
      <w:r>
        <w:rPr>
          <w:sz w:val="20"/>
          <w:szCs w:val="20"/>
        </w:rPr>
        <w:t xml:space="preserve"> </w:t>
      </w:r>
      <w:r>
        <w:rPr>
          <w:rFonts w:ascii="Garamond" w:eastAsia="Garamond" w:hAnsi="Garamond" w:cs="Garamond"/>
          <w:sz w:val="18"/>
          <w:szCs w:val="18"/>
        </w:rPr>
        <w:t xml:space="preserve">Goes, Emanuelle Freitas and Nascimento, Enilda Rosendo </w:t>
      </w:r>
      <w:proofErr w:type="gramStart"/>
      <w:r>
        <w:rPr>
          <w:rFonts w:ascii="Garamond" w:eastAsia="Garamond" w:hAnsi="Garamond" w:cs="Garamond"/>
          <w:sz w:val="18"/>
          <w:szCs w:val="18"/>
        </w:rPr>
        <w:t>do</w:t>
      </w:r>
      <w:proofErr w:type="gramEnd"/>
      <w:r>
        <w:rPr>
          <w:rFonts w:ascii="Garamond" w:eastAsia="Garamond" w:hAnsi="Garamond" w:cs="Garamond"/>
          <w:sz w:val="18"/>
          <w:szCs w:val="18"/>
        </w:rPr>
        <w:t>. 2013. Black and white women and levels of access to preventive health services: an analysis of inequalities. Cielo. Health in Debate. 2013, v. 99, pp. Available at: https://www.scielo.br/j/sdeb/a/kw9SwJT5SHMYty6dhTYvsGg/?lang=pt# Edition published on February 13, 2014. ISSN 2358-2898.</w:t>
      </w:r>
    </w:p>
  </w:footnote>
  <w:footnote w:id="23">
    <w:p w14:paraId="357EE4F2" w14:textId="77777777" w:rsidR="00257783" w:rsidRDefault="009560B4">
      <w:pPr>
        <w:spacing w:after="0" w:line="240" w:lineRule="auto"/>
        <w:jc w:val="both"/>
        <w:rPr>
          <w:rFonts w:ascii="Garamond" w:eastAsia="Garamond" w:hAnsi="Garamond" w:cs="Garamond"/>
          <w:sz w:val="18"/>
          <w:szCs w:val="18"/>
          <w:highlight w:val="white"/>
        </w:rPr>
      </w:pPr>
      <w:r>
        <w:rPr>
          <w:vertAlign w:val="superscript"/>
        </w:rPr>
        <w:footnoteRef/>
      </w:r>
      <w:r>
        <w:rPr>
          <w:sz w:val="20"/>
          <w:szCs w:val="20"/>
        </w:rPr>
        <w:t xml:space="preserve"> </w:t>
      </w:r>
      <w:proofErr w:type="spellStart"/>
      <w:r>
        <w:rPr>
          <w:rFonts w:ascii="Garamond" w:eastAsia="Garamond" w:hAnsi="Garamond" w:cs="Garamond"/>
          <w:sz w:val="18"/>
          <w:szCs w:val="18"/>
          <w:highlight w:val="white"/>
        </w:rPr>
        <w:t>SMSRio</w:t>
      </w:r>
      <w:proofErr w:type="spellEnd"/>
      <w:r>
        <w:rPr>
          <w:rFonts w:ascii="Garamond" w:eastAsia="Garamond" w:hAnsi="Garamond" w:cs="Garamond"/>
          <w:sz w:val="18"/>
          <w:szCs w:val="18"/>
          <w:highlight w:val="white"/>
        </w:rPr>
        <w:t xml:space="preserve">/General Sub-Secretariat/Regulatory Complex-SISREG/MS. Data collected on: 03/19/2025. Available at: </w:t>
      </w:r>
      <w:hyperlink r:id="rId3" w:anchor="/dados-transparencia">
        <w:r>
          <w:rPr>
            <w:rFonts w:ascii="Garamond" w:eastAsia="Garamond" w:hAnsi="Garamond" w:cs="Garamond"/>
            <w:color w:val="1155CC"/>
            <w:sz w:val="18"/>
            <w:szCs w:val="18"/>
            <w:highlight w:val="white"/>
            <w:u w:val="single"/>
          </w:rPr>
          <w:t>https://web2.smsrio.org/minhasaudeRio/#/dados-transparencia</w:t>
        </w:r>
      </w:hyperlink>
    </w:p>
  </w:footnote>
  <w:footnote w:id="24">
    <w:p w14:paraId="6021DE0C" w14:textId="77777777" w:rsidR="00257783" w:rsidRDefault="009560B4">
      <w:pPr>
        <w:spacing w:after="0" w:line="240" w:lineRule="auto"/>
        <w:jc w:val="both"/>
        <w:rPr>
          <w:rFonts w:ascii="Garamond" w:eastAsia="Garamond" w:hAnsi="Garamond" w:cs="Garamond"/>
          <w:sz w:val="18"/>
          <w:szCs w:val="18"/>
        </w:rPr>
      </w:pPr>
      <w:r>
        <w:rPr>
          <w:vertAlign w:val="superscript"/>
        </w:rPr>
        <w:footnoteRef/>
      </w:r>
      <w:r>
        <w:rPr>
          <w:sz w:val="20"/>
          <w:szCs w:val="20"/>
        </w:rPr>
        <w:t xml:space="preserve"> </w:t>
      </w:r>
      <w:r>
        <w:rPr>
          <w:rFonts w:ascii="Garamond" w:eastAsia="Garamond" w:hAnsi="Garamond" w:cs="Garamond"/>
          <w:sz w:val="18"/>
          <w:szCs w:val="18"/>
        </w:rPr>
        <w:t>Brazil. 2017. Ministry of Health. Secretariat of Strategic Management and Participation. Department of Support for Participatory Management and Social Control. National Policy for Comprehensive Health of the Black Population: a policy for the SUS / Ministry of Health, Secretariat of Strategic Management and Participation, Department of Support for Participatory Management and Social Control. – 3rd ed. – Brasília: Ministry of Health Publishing House, 2017. 44 p. ISBN 978-85-334-2515-6</w:t>
      </w:r>
    </w:p>
  </w:footnote>
  <w:footnote w:id="25">
    <w:p w14:paraId="0E504CCD" w14:textId="77777777" w:rsidR="00257783" w:rsidRDefault="009560B4">
      <w:pPr>
        <w:spacing w:after="0" w:line="240" w:lineRule="auto"/>
        <w:rPr>
          <w:rFonts w:ascii="Garamond" w:eastAsia="Garamond" w:hAnsi="Garamond" w:cs="Garamond"/>
          <w:sz w:val="18"/>
          <w:szCs w:val="18"/>
        </w:rPr>
      </w:pPr>
      <w:r>
        <w:rPr>
          <w:vertAlign w:val="superscript"/>
        </w:rPr>
        <w:footnoteRef/>
      </w:r>
      <w:r>
        <w:rPr>
          <w:rFonts w:ascii="Garamond" w:eastAsia="Garamond" w:hAnsi="Garamond" w:cs="Garamond"/>
          <w:sz w:val="20"/>
          <w:szCs w:val="20"/>
        </w:rPr>
        <w:t xml:space="preserve"> </w:t>
      </w:r>
      <w:r>
        <w:rPr>
          <w:rFonts w:ascii="Garamond" w:eastAsia="Garamond" w:hAnsi="Garamond" w:cs="Garamond"/>
          <w:sz w:val="18"/>
          <w:szCs w:val="18"/>
        </w:rPr>
        <w:t>Ibidem</w:t>
      </w:r>
    </w:p>
  </w:footnote>
  <w:footnote w:id="26">
    <w:p w14:paraId="399F112A" w14:textId="77777777" w:rsidR="00257783" w:rsidRDefault="009560B4">
      <w:pPr>
        <w:spacing w:after="0" w:line="240" w:lineRule="auto"/>
        <w:jc w:val="both"/>
        <w:rPr>
          <w:rFonts w:ascii="Garamond" w:eastAsia="Garamond" w:hAnsi="Garamond" w:cs="Garamond"/>
          <w:sz w:val="18"/>
          <w:szCs w:val="18"/>
        </w:rPr>
      </w:pPr>
      <w:r>
        <w:rPr>
          <w:vertAlign w:val="superscript"/>
        </w:rPr>
        <w:footnoteRef/>
      </w:r>
      <w:r>
        <w:rPr>
          <w:sz w:val="18"/>
          <w:szCs w:val="18"/>
        </w:rPr>
        <w:t xml:space="preserve"> </w:t>
      </w:r>
      <w:r>
        <w:rPr>
          <w:rFonts w:ascii="Garamond" w:eastAsia="Garamond" w:hAnsi="Garamond" w:cs="Garamond"/>
          <w:sz w:val="18"/>
          <w:szCs w:val="18"/>
        </w:rPr>
        <w:t xml:space="preserve">Silva B, Hens N, Gusso G, </w:t>
      </w:r>
      <w:proofErr w:type="spellStart"/>
      <w:r>
        <w:rPr>
          <w:rFonts w:ascii="Garamond" w:eastAsia="Garamond" w:hAnsi="Garamond" w:cs="Garamond"/>
          <w:sz w:val="18"/>
          <w:szCs w:val="18"/>
        </w:rPr>
        <w:t>Lagaert</w:t>
      </w:r>
      <w:proofErr w:type="spellEnd"/>
      <w:r>
        <w:rPr>
          <w:rFonts w:ascii="Garamond" w:eastAsia="Garamond" w:hAnsi="Garamond" w:cs="Garamond"/>
          <w:sz w:val="18"/>
          <w:szCs w:val="18"/>
        </w:rPr>
        <w:t xml:space="preserve"> S, </w:t>
      </w:r>
      <w:proofErr w:type="spellStart"/>
      <w:r>
        <w:rPr>
          <w:rFonts w:ascii="Garamond" w:eastAsia="Garamond" w:hAnsi="Garamond" w:cs="Garamond"/>
          <w:sz w:val="18"/>
          <w:szCs w:val="18"/>
        </w:rPr>
        <w:t>Macinko</w:t>
      </w:r>
      <w:proofErr w:type="spellEnd"/>
      <w:r>
        <w:rPr>
          <w:rFonts w:ascii="Garamond" w:eastAsia="Garamond" w:hAnsi="Garamond" w:cs="Garamond"/>
          <w:sz w:val="18"/>
          <w:szCs w:val="18"/>
        </w:rPr>
        <w:t xml:space="preserve"> J, Willems S. Dual use of public and private health services in Brazil. Int J Environ Res </w:t>
      </w:r>
      <w:proofErr w:type="spellStart"/>
      <w:r>
        <w:rPr>
          <w:rFonts w:ascii="Garamond" w:eastAsia="Garamond" w:hAnsi="Garamond" w:cs="Garamond"/>
          <w:sz w:val="18"/>
          <w:szCs w:val="18"/>
        </w:rPr>
        <w:t>Saúde</w:t>
      </w:r>
      <w:proofErr w:type="spellEnd"/>
      <w:r>
        <w:rPr>
          <w:rFonts w:ascii="Garamond" w:eastAsia="Garamond" w:hAnsi="Garamond" w:cs="Garamond"/>
          <w:sz w:val="18"/>
          <w:szCs w:val="18"/>
        </w:rPr>
        <w:t xml:space="preserve"> Pública. February 6, 2022;19(3):1829. </w:t>
      </w:r>
      <w:proofErr w:type="spellStart"/>
      <w:r>
        <w:rPr>
          <w:rFonts w:ascii="Garamond" w:eastAsia="Garamond" w:hAnsi="Garamond" w:cs="Garamond"/>
          <w:sz w:val="18"/>
          <w:szCs w:val="18"/>
        </w:rPr>
        <w:t>doi</w:t>
      </w:r>
      <w:proofErr w:type="spellEnd"/>
      <w:r>
        <w:rPr>
          <w:rFonts w:ascii="Garamond" w:eastAsia="Garamond" w:hAnsi="Garamond" w:cs="Garamond"/>
          <w:sz w:val="18"/>
          <w:szCs w:val="18"/>
        </w:rPr>
        <w:t>: 10.3390/ijerph19031829. PMID: 35162852; IDPM: PMC8835064</w:t>
      </w:r>
    </w:p>
  </w:footnote>
  <w:footnote w:id="27">
    <w:p w14:paraId="2662570B" w14:textId="77777777" w:rsidR="00257783" w:rsidRDefault="009560B4">
      <w:pPr>
        <w:spacing w:after="0" w:line="240" w:lineRule="auto"/>
        <w:jc w:val="both"/>
        <w:rPr>
          <w:rFonts w:ascii="Garamond" w:eastAsia="Garamond" w:hAnsi="Garamond" w:cs="Garamond"/>
          <w:sz w:val="18"/>
          <w:szCs w:val="18"/>
        </w:rPr>
      </w:pPr>
      <w:r>
        <w:rPr>
          <w:vertAlign w:val="superscript"/>
        </w:rPr>
        <w:footnoteRef/>
      </w:r>
      <w:r>
        <w:rPr>
          <w:rFonts w:ascii="Garamond" w:eastAsia="Garamond" w:hAnsi="Garamond" w:cs="Garamond"/>
          <w:sz w:val="16"/>
          <w:szCs w:val="16"/>
        </w:rPr>
        <w:t xml:space="preserve"> </w:t>
      </w:r>
      <w:proofErr w:type="spellStart"/>
      <w:r>
        <w:rPr>
          <w:rFonts w:ascii="Garamond" w:eastAsia="Garamond" w:hAnsi="Garamond" w:cs="Garamond"/>
          <w:sz w:val="18"/>
          <w:szCs w:val="18"/>
        </w:rPr>
        <w:t>Coube</w:t>
      </w:r>
      <w:proofErr w:type="spellEnd"/>
      <w:r>
        <w:rPr>
          <w:rFonts w:ascii="Garamond" w:eastAsia="Garamond" w:hAnsi="Garamond" w:cs="Garamond"/>
          <w:sz w:val="18"/>
          <w:szCs w:val="18"/>
        </w:rPr>
        <w:t xml:space="preserve"> M, </w:t>
      </w:r>
      <w:proofErr w:type="spellStart"/>
      <w:r>
        <w:rPr>
          <w:rFonts w:ascii="Garamond" w:eastAsia="Garamond" w:hAnsi="Garamond" w:cs="Garamond"/>
          <w:sz w:val="18"/>
          <w:szCs w:val="18"/>
        </w:rPr>
        <w:t>Nikoloski</w:t>
      </w:r>
      <w:proofErr w:type="spellEnd"/>
      <w:r>
        <w:rPr>
          <w:rFonts w:ascii="Garamond" w:eastAsia="Garamond" w:hAnsi="Garamond" w:cs="Garamond"/>
          <w:sz w:val="18"/>
          <w:szCs w:val="18"/>
        </w:rPr>
        <w:t xml:space="preserve"> Z, </w:t>
      </w:r>
      <w:proofErr w:type="spellStart"/>
      <w:r>
        <w:rPr>
          <w:rFonts w:ascii="Garamond" w:eastAsia="Garamond" w:hAnsi="Garamond" w:cs="Garamond"/>
          <w:sz w:val="18"/>
          <w:szCs w:val="18"/>
        </w:rPr>
        <w:t>Mrejen</w:t>
      </w:r>
      <w:proofErr w:type="spellEnd"/>
      <w:r>
        <w:rPr>
          <w:rFonts w:ascii="Garamond" w:eastAsia="Garamond" w:hAnsi="Garamond" w:cs="Garamond"/>
          <w:sz w:val="18"/>
          <w:szCs w:val="18"/>
        </w:rPr>
        <w:t xml:space="preserve"> M, </w:t>
      </w:r>
      <w:proofErr w:type="spellStart"/>
      <w:r>
        <w:rPr>
          <w:rFonts w:ascii="Garamond" w:eastAsia="Garamond" w:hAnsi="Garamond" w:cs="Garamond"/>
          <w:sz w:val="18"/>
          <w:szCs w:val="18"/>
        </w:rPr>
        <w:t>Mossialos</w:t>
      </w:r>
      <w:proofErr w:type="spellEnd"/>
      <w:r>
        <w:rPr>
          <w:rFonts w:ascii="Garamond" w:eastAsia="Garamond" w:hAnsi="Garamond" w:cs="Garamond"/>
          <w:sz w:val="18"/>
          <w:szCs w:val="18"/>
        </w:rPr>
        <w:t xml:space="preserve"> E. Persistent inequalities in the use of health services in Brazil (1998-2019). Int J </w:t>
      </w:r>
      <w:proofErr w:type="spellStart"/>
      <w:r>
        <w:rPr>
          <w:rFonts w:ascii="Garamond" w:eastAsia="Garamond" w:hAnsi="Garamond" w:cs="Garamond"/>
          <w:sz w:val="18"/>
          <w:szCs w:val="18"/>
        </w:rPr>
        <w:t>Equidade</w:t>
      </w:r>
      <w:proofErr w:type="spellEnd"/>
      <w:r>
        <w:rPr>
          <w:rFonts w:ascii="Garamond" w:eastAsia="Garamond" w:hAnsi="Garamond" w:cs="Garamond"/>
          <w:sz w:val="18"/>
          <w:szCs w:val="18"/>
        </w:rPr>
        <w:t xml:space="preserve"> Saúde. 2023, February 2;22(1):25. </w:t>
      </w:r>
      <w:proofErr w:type="spellStart"/>
      <w:r>
        <w:rPr>
          <w:rFonts w:ascii="Garamond" w:eastAsia="Garamond" w:hAnsi="Garamond" w:cs="Garamond"/>
          <w:sz w:val="18"/>
          <w:szCs w:val="18"/>
        </w:rPr>
        <w:t>doi</w:t>
      </w:r>
      <w:proofErr w:type="spellEnd"/>
      <w:r>
        <w:rPr>
          <w:rFonts w:ascii="Garamond" w:eastAsia="Garamond" w:hAnsi="Garamond" w:cs="Garamond"/>
          <w:sz w:val="18"/>
          <w:szCs w:val="18"/>
        </w:rPr>
        <w:t>: 10.1186/s12939-023-01828-3. PMID: 36732749; IDPM: PMC9893569.</w:t>
      </w:r>
    </w:p>
  </w:footnote>
  <w:footnote w:id="28">
    <w:p w14:paraId="25B21238" w14:textId="77777777" w:rsidR="00257783" w:rsidRDefault="009560B4">
      <w:pPr>
        <w:spacing w:after="0" w:line="240" w:lineRule="auto"/>
        <w:jc w:val="both"/>
        <w:rPr>
          <w:rFonts w:ascii="Garamond" w:eastAsia="Garamond" w:hAnsi="Garamond" w:cs="Garamond"/>
          <w:sz w:val="18"/>
          <w:szCs w:val="18"/>
        </w:rPr>
      </w:pPr>
      <w:r>
        <w:rPr>
          <w:vertAlign w:val="superscript"/>
        </w:rPr>
        <w:footnoteRef/>
      </w:r>
      <w:r>
        <w:rPr>
          <w:rFonts w:ascii="Garamond" w:eastAsia="Garamond" w:hAnsi="Garamond" w:cs="Garamond"/>
          <w:sz w:val="18"/>
          <w:szCs w:val="18"/>
        </w:rPr>
        <w:t xml:space="preserve">LEAL, Maria do Carmo; ESTEVEZ-PEREIRA, Ana Paula; BITTENCOURT, Sônia Azevedo; et al. </w:t>
      </w:r>
      <w:proofErr w:type="spellStart"/>
      <w:r>
        <w:rPr>
          <w:rFonts w:ascii="Garamond" w:eastAsia="Garamond" w:hAnsi="Garamond" w:cs="Garamond"/>
          <w:i/>
          <w:sz w:val="18"/>
          <w:szCs w:val="18"/>
        </w:rPr>
        <w:t>Protocolo</w:t>
      </w:r>
      <w:proofErr w:type="spellEnd"/>
      <w:r>
        <w:rPr>
          <w:rFonts w:ascii="Garamond" w:eastAsia="Garamond" w:hAnsi="Garamond" w:cs="Garamond"/>
          <w:i/>
          <w:sz w:val="18"/>
          <w:szCs w:val="18"/>
        </w:rPr>
        <w:t xml:space="preserve"> do </w:t>
      </w:r>
      <w:proofErr w:type="spellStart"/>
      <w:r>
        <w:rPr>
          <w:rFonts w:ascii="Garamond" w:eastAsia="Garamond" w:hAnsi="Garamond" w:cs="Garamond"/>
          <w:i/>
          <w:sz w:val="18"/>
          <w:szCs w:val="18"/>
        </w:rPr>
        <w:t>Nascer</w:t>
      </w:r>
      <w:proofErr w:type="spellEnd"/>
      <w:r>
        <w:rPr>
          <w:rFonts w:ascii="Garamond" w:eastAsia="Garamond" w:hAnsi="Garamond" w:cs="Garamond"/>
          <w:i/>
          <w:sz w:val="18"/>
          <w:szCs w:val="18"/>
        </w:rPr>
        <w:t xml:space="preserve"> no </w:t>
      </w:r>
      <w:proofErr w:type="spellStart"/>
      <w:r>
        <w:rPr>
          <w:rFonts w:ascii="Garamond" w:eastAsia="Garamond" w:hAnsi="Garamond" w:cs="Garamond"/>
          <w:i/>
          <w:sz w:val="18"/>
          <w:szCs w:val="18"/>
        </w:rPr>
        <w:t>Brasil</w:t>
      </w:r>
      <w:proofErr w:type="spellEnd"/>
      <w:r>
        <w:rPr>
          <w:rFonts w:ascii="Garamond" w:eastAsia="Garamond" w:hAnsi="Garamond" w:cs="Garamond"/>
          <w:i/>
          <w:sz w:val="18"/>
          <w:szCs w:val="18"/>
        </w:rPr>
        <w:t xml:space="preserve"> II: Pesquisa Nacional </w:t>
      </w:r>
      <w:proofErr w:type="spellStart"/>
      <w:r>
        <w:rPr>
          <w:rFonts w:ascii="Garamond" w:eastAsia="Garamond" w:hAnsi="Garamond" w:cs="Garamond"/>
          <w:i/>
          <w:sz w:val="18"/>
          <w:szCs w:val="18"/>
        </w:rPr>
        <w:t>sobre</w:t>
      </w:r>
      <w:proofErr w:type="spellEnd"/>
      <w:r>
        <w:rPr>
          <w:rFonts w:ascii="Garamond" w:eastAsia="Garamond" w:hAnsi="Garamond" w:cs="Garamond"/>
          <w:i/>
          <w:sz w:val="18"/>
          <w:szCs w:val="18"/>
        </w:rPr>
        <w:t xml:space="preserve"> </w:t>
      </w:r>
      <w:proofErr w:type="spellStart"/>
      <w:r>
        <w:rPr>
          <w:rFonts w:ascii="Garamond" w:eastAsia="Garamond" w:hAnsi="Garamond" w:cs="Garamond"/>
          <w:i/>
          <w:sz w:val="18"/>
          <w:szCs w:val="18"/>
        </w:rPr>
        <w:t>aborto</w:t>
      </w:r>
      <w:proofErr w:type="spellEnd"/>
      <w:r>
        <w:rPr>
          <w:rFonts w:ascii="Garamond" w:eastAsia="Garamond" w:hAnsi="Garamond" w:cs="Garamond"/>
          <w:i/>
          <w:sz w:val="18"/>
          <w:szCs w:val="18"/>
        </w:rPr>
        <w:t xml:space="preserve">, </w:t>
      </w:r>
      <w:proofErr w:type="spellStart"/>
      <w:r>
        <w:rPr>
          <w:rFonts w:ascii="Garamond" w:eastAsia="Garamond" w:hAnsi="Garamond" w:cs="Garamond"/>
          <w:i/>
          <w:sz w:val="18"/>
          <w:szCs w:val="18"/>
        </w:rPr>
        <w:t>parto</w:t>
      </w:r>
      <w:proofErr w:type="spellEnd"/>
      <w:r>
        <w:rPr>
          <w:rFonts w:ascii="Garamond" w:eastAsia="Garamond" w:hAnsi="Garamond" w:cs="Garamond"/>
          <w:i/>
          <w:sz w:val="18"/>
          <w:szCs w:val="18"/>
        </w:rPr>
        <w:t xml:space="preserve"> e </w:t>
      </w:r>
      <w:proofErr w:type="spellStart"/>
      <w:proofErr w:type="gramStart"/>
      <w:r>
        <w:rPr>
          <w:rFonts w:ascii="Garamond" w:eastAsia="Garamond" w:hAnsi="Garamond" w:cs="Garamond"/>
          <w:i/>
          <w:sz w:val="18"/>
          <w:szCs w:val="18"/>
        </w:rPr>
        <w:t>nascimento</w:t>
      </w:r>
      <w:proofErr w:type="spellEnd"/>
      <w:r>
        <w:rPr>
          <w:rFonts w:ascii="Garamond" w:eastAsia="Garamond" w:hAnsi="Garamond" w:cs="Garamond"/>
          <w:i/>
          <w:sz w:val="18"/>
          <w:szCs w:val="18"/>
        </w:rPr>
        <w:t xml:space="preserve"> </w:t>
      </w:r>
      <w:r>
        <w:rPr>
          <w:rFonts w:ascii="Garamond" w:eastAsia="Garamond" w:hAnsi="Garamond" w:cs="Garamond"/>
          <w:sz w:val="18"/>
          <w:szCs w:val="18"/>
        </w:rPr>
        <w:t>.</w:t>
      </w:r>
      <w:proofErr w:type="gramEnd"/>
      <w:r>
        <w:rPr>
          <w:rFonts w:ascii="Garamond" w:eastAsia="Garamond" w:hAnsi="Garamond" w:cs="Garamond"/>
          <w:sz w:val="18"/>
          <w:szCs w:val="18"/>
        </w:rPr>
        <w:t xml:space="preserve"> </w:t>
      </w:r>
      <w:r w:rsidRPr="009560B4">
        <w:rPr>
          <w:rFonts w:ascii="Garamond" w:eastAsia="Garamond" w:hAnsi="Garamond" w:cs="Garamond"/>
          <w:sz w:val="18"/>
          <w:szCs w:val="18"/>
          <w:lang w:val="es-ES"/>
        </w:rPr>
        <w:t xml:space="preserve">Cadernos de Saúde Pública, Rio de Janeiro, v. 40, n. 4, e00036223, 2024. </w:t>
      </w:r>
      <w:r>
        <w:rPr>
          <w:rFonts w:ascii="Garamond" w:eastAsia="Garamond" w:hAnsi="Garamond" w:cs="Garamond"/>
          <w:sz w:val="18"/>
          <w:szCs w:val="18"/>
        </w:rPr>
        <w:t>Available at:</w:t>
      </w:r>
      <w:hyperlink r:id="rId4">
        <w:r>
          <w:rPr>
            <w:rFonts w:ascii="Garamond" w:eastAsia="Garamond" w:hAnsi="Garamond" w:cs="Garamond"/>
            <w:sz w:val="18"/>
            <w:szCs w:val="18"/>
          </w:rPr>
          <w:t xml:space="preserve"> </w:t>
        </w:r>
      </w:hyperlink>
      <w:hyperlink r:id="rId5">
        <w:r>
          <w:rPr>
            <w:rFonts w:ascii="Garamond" w:eastAsia="Garamond" w:hAnsi="Garamond" w:cs="Garamond"/>
            <w:color w:val="1155CC"/>
            <w:sz w:val="18"/>
            <w:szCs w:val="18"/>
            <w:u w:val="single"/>
          </w:rPr>
          <w:t xml:space="preserve">https://www.scielo.br/j/csp/a/cPg3d9dRfqS3RHhqZrjmRVg/ </w:t>
        </w:r>
      </w:hyperlink>
      <w:r>
        <w:rPr>
          <w:rFonts w:ascii="Garamond" w:eastAsia="Garamond" w:hAnsi="Garamond" w:cs="Garamond"/>
          <w:sz w:val="18"/>
          <w:szCs w:val="18"/>
        </w:rPr>
        <w:t>.</w:t>
      </w:r>
    </w:p>
  </w:footnote>
  <w:footnote w:id="29">
    <w:p w14:paraId="3B71C449" w14:textId="77777777" w:rsidR="00257783" w:rsidRDefault="009560B4">
      <w:pPr>
        <w:spacing w:after="0" w:line="240" w:lineRule="auto"/>
        <w:jc w:val="both"/>
        <w:rPr>
          <w:rFonts w:ascii="Garamond" w:eastAsia="Garamond" w:hAnsi="Garamond" w:cs="Garamond"/>
          <w:sz w:val="18"/>
          <w:szCs w:val="18"/>
        </w:rPr>
      </w:pPr>
      <w:r>
        <w:rPr>
          <w:vertAlign w:val="superscript"/>
        </w:rPr>
        <w:footnoteRef/>
      </w:r>
      <w:proofErr w:type="spellStart"/>
      <w:r>
        <w:rPr>
          <w:rFonts w:ascii="Garamond" w:eastAsia="Garamond" w:hAnsi="Garamond" w:cs="Garamond"/>
          <w:sz w:val="18"/>
          <w:szCs w:val="18"/>
        </w:rPr>
        <w:t>Coube</w:t>
      </w:r>
      <w:proofErr w:type="spellEnd"/>
      <w:r>
        <w:rPr>
          <w:rFonts w:ascii="Garamond" w:eastAsia="Garamond" w:hAnsi="Garamond" w:cs="Garamond"/>
          <w:sz w:val="18"/>
          <w:szCs w:val="18"/>
        </w:rPr>
        <w:t xml:space="preserve"> M, </w:t>
      </w:r>
      <w:proofErr w:type="spellStart"/>
      <w:r>
        <w:rPr>
          <w:rFonts w:ascii="Garamond" w:eastAsia="Garamond" w:hAnsi="Garamond" w:cs="Garamond"/>
          <w:sz w:val="18"/>
          <w:szCs w:val="18"/>
        </w:rPr>
        <w:t>Nikoloski</w:t>
      </w:r>
      <w:proofErr w:type="spellEnd"/>
      <w:r>
        <w:rPr>
          <w:rFonts w:ascii="Garamond" w:eastAsia="Garamond" w:hAnsi="Garamond" w:cs="Garamond"/>
          <w:sz w:val="18"/>
          <w:szCs w:val="18"/>
        </w:rPr>
        <w:t xml:space="preserve"> Z, </w:t>
      </w:r>
      <w:proofErr w:type="spellStart"/>
      <w:r>
        <w:rPr>
          <w:rFonts w:ascii="Garamond" w:eastAsia="Garamond" w:hAnsi="Garamond" w:cs="Garamond"/>
          <w:sz w:val="18"/>
          <w:szCs w:val="18"/>
        </w:rPr>
        <w:t>Mrejen</w:t>
      </w:r>
      <w:proofErr w:type="spellEnd"/>
      <w:r>
        <w:rPr>
          <w:rFonts w:ascii="Garamond" w:eastAsia="Garamond" w:hAnsi="Garamond" w:cs="Garamond"/>
          <w:sz w:val="18"/>
          <w:szCs w:val="18"/>
        </w:rPr>
        <w:t xml:space="preserve"> M, </w:t>
      </w:r>
      <w:proofErr w:type="spellStart"/>
      <w:r>
        <w:rPr>
          <w:rFonts w:ascii="Garamond" w:eastAsia="Garamond" w:hAnsi="Garamond" w:cs="Garamond"/>
          <w:sz w:val="18"/>
          <w:szCs w:val="18"/>
        </w:rPr>
        <w:t>Mossialos</w:t>
      </w:r>
      <w:proofErr w:type="spellEnd"/>
      <w:r>
        <w:rPr>
          <w:rFonts w:ascii="Garamond" w:eastAsia="Garamond" w:hAnsi="Garamond" w:cs="Garamond"/>
          <w:sz w:val="18"/>
          <w:szCs w:val="18"/>
        </w:rPr>
        <w:t xml:space="preserve"> E. Persistent inequalities in the use of health services in Brazil (1998-2019). Int J </w:t>
      </w:r>
      <w:proofErr w:type="spellStart"/>
      <w:r>
        <w:rPr>
          <w:rFonts w:ascii="Garamond" w:eastAsia="Garamond" w:hAnsi="Garamond" w:cs="Garamond"/>
          <w:sz w:val="18"/>
          <w:szCs w:val="18"/>
        </w:rPr>
        <w:t>Equidade</w:t>
      </w:r>
      <w:proofErr w:type="spellEnd"/>
      <w:r>
        <w:rPr>
          <w:rFonts w:ascii="Garamond" w:eastAsia="Garamond" w:hAnsi="Garamond" w:cs="Garamond"/>
          <w:sz w:val="18"/>
          <w:szCs w:val="18"/>
        </w:rPr>
        <w:t xml:space="preserve"> Saúde. 2023, February 2;22(1):25. </w:t>
      </w:r>
      <w:proofErr w:type="spellStart"/>
      <w:r>
        <w:rPr>
          <w:rFonts w:ascii="Garamond" w:eastAsia="Garamond" w:hAnsi="Garamond" w:cs="Garamond"/>
          <w:sz w:val="18"/>
          <w:szCs w:val="18"/>
        </w:rPr>
        <w:t>doi</w:t>
      </w:r>
      <w:proofErr w:type="spellEnd"/>
      <w:r>
        <w:rPr>
          <w:rFonts w:ascii="Garamond" w:eastAsia="Garamond" w:hAnsi="Garamond" w:cs="Garamond"/>
          <w:sz w:val="18"/>
          <w:szCs w:val="18"/>
        </w:rPr>
        <w:t>: 10.1186/s12939-023-01828-3. PMID: 36732749; IDPM: PMC9893569.</w:t>
      </w:r>
    </w:p>
  </w:footnote>
  <w:footnote w:id="30">
    <w:p w14:paraId="16840B79" w14:textId="77777777" w:rsidR="00257783" w:rsidRDefault="009560B4">
      <w:pPr>
        <w:spacing w:after="0" w:line="240" w:lineRule="auto"/>
        <w:jc w:val="both"/>
        <w:rPr>
          <w:rFonts w:ascii="Garamond" w:eastAsia="Garamond" w:hAnsi="Garamond" w:cs="Garamond"/>
          <w:sz w:val="18"/>
          <w:szCs w:val="18"/>
        </w:rPr>
      </w:pPr>
      <w:r>
        <w:rPr>
          <w:vertAlign w:val="superscript"/>
        </w:rPr>
        <w:footnoteRef/>
      </w:r>
      <w:proofErr w:type="gramStart"/>
      <w:r>
        <w:rPr>
          <w:rFonts w:ascii="Garamond" w:eastAsia="Garamond" w:hAnsi="Garamond" w:cs="Garamond"/>
          <w:sz w:val="18"/>
          <w:szCs w:val="18"/>
        </w:rPr>
        <w:t>VNDI .</w:t>
      </w:r>
      <w:proofErr w:type="gramEnd"/>
      <w:r>
        <w:rPr>
          <w:rFonts w:ascii="Garamond" w:eastAsia="Garamond" w:hAnsi="Garamond" w:cs="Garamond"/>
          <w:sz w:val="18"/>
          <w:szCs w:val="18"/>
        </w:rPr>
        <w:t xml:space="preserve"> 2022. Experience reports collected from VNDI members in 2022.</w:t>
      </w:r>
    </w:p>
  </w:footnote>
  <w:footnote w:id="31">
    <w:p w14:paraId="62B8EA76" w14:textId="77777777" w:rsidR="00257783" w:rsidRDefault="009560B4">
      <w:pPr>
        <w:spacing w:after="0" w:line="240" w:lineRule="auto"/>
        <w:jc w:val="both"/>
        <w:rPr>
          <w:sz w:val="20"/>
          <w:szCs w:val="20"/>
        </w:rPr>
      </w:pPr>
      <w:r>
        <w:rPr>
          <w:vertAlign w:val="superscript"/>
        </w:rPr>
        <w:footnoteRef/>
      </w:r>
      <w:r>
        <w:rPr>
          <w:sz w:val="20"/>
          <w:szCs w:val="20"/>
        </w:rPr>
        <w:t xml:space="preserve"> </w:t>
      </w:r>
      <w:r>
        <w:rPr>
          <w:rFonts w:ascii="Garamond" w:eastAsia="Garamond" w:hAnsi="Garamond" w:cs="Garamond"/>
          <w:sz w:val="18"/>
          <w:szCs w:val="18"/>
        </w:rPr>
        <w:t xml:space="preserve">VNDI; Minority Rights Group. </w:t>
      </w:r>
      <w:r>
        <w:rPr>
          <w:rFonts w:ascii="Garamond" w:eastAsia="Garamond" w:hAnsi="Garamond" w:cs="Garamond"/>
          <w:i/>
          <w:sz w:val="18"/>
          <w:szCs w:val="18"/>
        </w:rPr>
        <w:t xml:space="preserve">Disability and care: resisting the lottery of access in the peripheries of </w:t>
      </w:r>
      <w:proofErr w:type="gramStart"/>
      <w:r>
        <w:rPr>
          <w:rFonts w:ascii="Garamond" w:eastAsia="Garamond" w:hAnsi="Garamond" w:cs="Garamond"/>
          <w:i/>
          <w:sz w:val="18"/>
          <w:szCs w:val="18"/>
        </w:rPr>
        <w:t xml:space="preserve">Brazil </w:t>
      </w:r>
      <w:r>
        <w:rPr>
          <w:rFonts w:ascii="Garamond" w:eastAsia="Garamond" w:hAnsi="Garamond" w:cs="Garamond"/>
          <w:sz w:val="18"/>
          <w:szCs w:val="18"/>
        </w:rPr>
        <w:t>,</w:t>
      </w:r>
      <w:proofErr w:type="gramEnd"/>
      <w:r>
        <w:rPr>
          <w:rFonts w:ascii="Garamond" w:eastAsia="Garamond" w:hAnsi="Garamond" w:cs="Garamond"/>
          <w:sz w:val="18"/>
          <w:szCs w:val="18"/>
        </w:rPr>
        <w:t xml:space="preserve"> 2025.</w:t>
      </w:r>
    </w:p>
  </w:footnote>
  <w:footnote w:id="32">
    <w:p w14:paraId="6B0791F9" w14:textId="77777777" w:rsidR="00257783" w:rsidRDefault="009560B4">
      <w:pPr>
        <w:spacing w:after="0" w:line="240" w:lineRule="auto"/>
        <w:rPr>
          <w:sz w:val="20"/>
          <w:szCs w:val="20"/>
        </w:rPr>
      </w:pPr>
      <w:r>
        <w:rPr>
          <w:vertAlign w:val="superscript"/>
        </w:rPr>
        <w:footnoteRef/>
      </w:r>
      <w:r>
        <w:rPr>
          <w:sz w:val="20"/>
          <w:szCs w:val="20"/>
        </w:rPr>
        <w:t xml:space="preserve"> </w:t>
      </w:r>
      <w:r>
        <w:rPr>
          <w:rFonts w:ascii="Garamond" w:eastAsia="Garamond" w:hAnsi="Garamond" w:cs="Garamond"/>
          <w:color w:val="444746"/>
          <w:sz w:val="18"/>
          <w:szCs w:val="18"/>
        </w:rPr>
        <w:t xml:space="preserve">DIEESE. The difficulties of paid domestic work in Brazil: a care job – Special Bulletin April 27 – Domestic Worker's Day. São Paulo: DIEESE, Apr. 2024. Available at: </w:t>
      </w:r>
      <w:hyperlink r:id="rId6">
        <w:r>
          <w:rPr>
            <w:rFonts w:ascii="Garamond" w:eastAsia="Garamond" w:hAnsi="Garamond" w:cs="Garamond"/>
            <w:color w:val="0B57D0"/>
            <w:sz w:val="18"/>
            <w:szCs w:val="18"/>
          </w:rPr>
          <w:t xml:space="preserve">https://www.dieese.org.br/boletimespecial/2024/trabalhoDomestico.html </w:t>
        </w:r>
      </w:hyperlink>
      <w:r>
        <w:rPr>
          <w:rFonts w:ascii="Garamond" w:eastAsia="Garamond" w:hAnsi="Garamond" w:cs="Garamond"/>
          <w:color w:val="444746"/>
          <w:sz w:val="18"/>
          <w:szCs w:val="18"/>
        </w:rPr>
        <w:t>Accessed on: Oct. 27, 2025.</w:t>
      </w:r>
    </w:p>
  </w:footnote>
  <w:footnote w:id="33">
    <w:p w14:paraId="1C77E6E2" w14:textId="77777777" w:rsidR="00257783" w:rsidRDefault="009560B4">
      <w:pPr>
        <w:spacing w:after="0" w:line="240" w:lineRule="auto"/>
        <w:jc w:val="both"/>
        <w:rPr>
          <w:rFonts w:ascii="Garamond" w:eastAsia="Garamond" w:hAnsi="Garamond" w:cs="Garamond"/>
          <w:sz w:val="18"/>
          <w:szCs w:val="18"/>
        </w:rPr>
      </w:pPr>
      <w:r>
        <w:rPr>
          <w:vertAlign w:val="superscript"/>
        </w:rPr>
        <w:footnoteRef/>
      </w:r>
      <w:r>
        <w:rPr>
          <w:sz w:val="20"/>
          <w:szCs w:val="20"/>
        </w:rPr>
        <w:t xml:space="preserve"> </w:t>
      </w:r>
      <w:r>
        <w:rPr>
          <w:rFonts w:ascii="Garamond" w:eastAsia="Garamond" w:hAnsi="Garamond" w:cs="Garamond"/>
          <w:color w:val="555555"/>
          <w:sz w:val="18"/>
          <w:szCs w:val="18"/>
          <w:highlight w:val="white"/>
        </w:rPr>
        <w:t xml:space="preserve">The Continuous Benefit Payment (BPC), provided for in the Organic Law of Social Assistance (LOAS), guarantees a minimum wage per month to elderly individuals aged 65 or older, or to people with disabilities of any age. In the case of people with disabilities, this condition must cause long-term physical, mental, intellectual, or sensory impairments (with effects lasting at least 2 years) that prevent them from fully and effectively participating in society on an equal footing with others. Brazil. Ministry </w:t>
      </w:r>
      <w:r>
        <w:rPr>
          <w:rFonts w:ascii="Garamond" w:eastAsia="Garamond" w:hAnsi="Garamond" w:cs="Garamond"/>
          <w:color w:val="555555"/>
          <w:sz w:val="18"/>
          <w:szCs w:val="18"/>
          <w:highlight w:val="white"/>
        </w:rPr>
        <w:t xml:space="preserve">of Development and Social Assistance. </w:t>
      </w:r>
      <w:r>
        <w:rPr>
          <w:rFonts w:ascii="Garamond" w:eastAsia="Garamond" w:hAnsi="Garamond" w:cs="Garamond"/>
          <w:i/>
          <w:color w:val="555555"/>
          <w:sz w:val="18"/>
          <w:szCs w:val="18"/>
          <w:highlight w:val="white"/>
        </w:rPr>
        <w:t xml:space="preserve">Continuous Benefit Payment (BPC) – Elderly and People with Disabilities. </w:t>
      </w:r>
      <w:r>
        <w:rPr>
          <w:rFonts w:ascii="Garamond" w:eastAsia="Garamond" w:hAnsi="Garamond" w:cs="Garamond"/>
          <w:color w:val="555555"/>
          <w:sz w:val="18"/>
          <w:szCs w:val="18"/>
          <w:highlight w:val="white"/>
        </w:rPr>
        <w:t>Available at: [link to source ]</w:t>
      </w:r>
      <w:hyperlink r:id="rId7">
        <w:r>
          <w:rPr>
            <w:rFonts w:ascii="Garamond" w:eastAsia="Garamond" w:hAnsi="Garamond" w:cs="Garamond"/>
            <w:color w:val="555555"/>
            <w:sz w:val="18"/>
            <w:szCs w:val="18"/>
            <w:highlight w:val="white"/>
          </w:rPr>
          <w:t xml:space="preserve"> </w:t>
        </w:r>
      </w:hyperlink>
      <w:hyperlink r:id="rId8">
        <w:r>
          <w:rPr>
            <w:rFonts w:ascii="Garamond" w:eastAsia="Garamond" w:hAnsi="Garamond" w:cs="Garamond"/>
            <w:color w:val="1155CC"/>
            <w:sz w:val="18"/>
            <w:szCs w:val="18"/>
            <w:highlight w:val="white"/>
            <w:u w:val="single"/>
          </w:rPr>
          <w:t>https://www.gov.br/mds/pt-br/acoes-e-programas/suas/beneficios-assistenciais/beneficio-assistencial-ao-idoso-ea-pessoa-com-deficiencia-bpc</w:t>
        </w:r>
      </w:hyperlink>
    </w:p>
  </w:footnote>
  <w:footnote w:id="34">
    <w:p w14:paraId="3EE13575" w14:textId="77777777" w:rsidR="00257783" w:rsidRDefault="009560B4">
      <w:pPr>
        <w:spacing w:after="0" w:line="240" w:lineRule="auto"/>
        <w:rPr>
          <w:rFonts w:ascii="Garamond" w:eastAsia="Garamond" w:hAnsi="Garamond" w:cs="Garamond"/>
          <w:sz w:val="18"/>
          <w:szCs w:val="18"/>
        </w:rPr>
      </w:pPr>
      <w:r>
        <w:rPr>
          <w:vertAlign w:val="superscript"/>
        </w:rPr>
        <w:footnoteRef/>
      </w:r>
      <w:r>
        <w:rPr>
          <w:sz w:val="20"/>
          <w:szCs w:val="20"/>
        </w:rPr>
        <w:t xml:space="preserve"> </w:t>
      </w:r>
      <w:r>
        <w:rPr>
          <w:rFonts w:ascii="Garamond" w:eastAsia="Garamond" w:hAnsi="Garamond" w:cs="Garamond"/>
          <w:sz w:val="18"/>
          <w:szCs w:val="18"/>
        </w:rPr>
        <w:t>Continuous Benefit Payment</w:t>
      </w:r>
    </w:p>
  </w:footnote>
  <w:footnote w:id="35">
    <w:p w14:paraId="60CC9CAC" w14:textId="77777777" w:rsidR="00257783" w:rsidRDefault="009560B4">
      <w:pPr>
        <w:spacing w:after="0" w:line="240" w:lineRule="auto"/>
        <w:rPr>
          <w:rFonts w:ascii="Garamond" w:eastAsia="Garamond" w:hAnsi="Garamond" w:cs="Garamond"/>
          <w:sz w:val="18"/>
          <w:szCs w:val="18"/>
        </w:rPr>
      </w:pPr>
      <w:r>
        <w:rPr>
          <w:vertAlign w:val="superscript"/>
        </w:rPr>
        <w:footnoteRef/>
      </w:r>
      <w:r>
        <w:rPr>
          <w:rFonts w:ascii="Garamond" w:eastAsia="Garamond" w:hAnsi="Garamond" w:cs="Garamond"/>
          <w:sz w:val="16"/>
          <w:szCs w:val="16"/>
        </w:rPr>
        <w:t xml:space="preserve"> </w:t>
      </w:r>
      <w:r>
        <w:rPr>
          <w:rFonts w:ascii="Garamond" w:eastAsia="Garamond" w:hAnsi="Garamond" w:cs="Garamond"/>
          <w:sz w:val="18"/>
          <w:szCs w:val="18"/>
        </w:rPr>
        <w:t>Data extracted from the official VIS Data – BPC platform, Ministry of Social Development and Assistance, Brazil. Available at:</w:t>
      </w:r>
      <w:hyperlink r:id="rId9">
        <w:r>
          <w:rPr>
            <w:rFonts w:ascii="Garamond" w:eastAsia="Garamond" w:hAnsi="Garamond" w:cs="Garamond"/>
            <w:sz w:val="18"/>
            <w:szCs w:val="18"/>
          </w:rPr>
          <w:t xml:space="preserve"> </w:t>
        </w:r>
      </w:hyperlink>
      <w:hyperlink r:id="rId10">
        <w:r>
          <w:rPr>
            <w:rFonts w:ascii="Garamond" w:eastAsia="Garamond" w:hAnsi="Garamond" w:cs="Garamond"/>
            <w:color w:val="1155CC"/>
            <w:sz w:val="18"/>
            <w:szCs w:val="18"/>
            <w:u w:val="single"/>
          </w:rPr>
          <w:t xml:space="preserve">https://aplicacoes.cidadania.gov.br/vis/data3/ </w:t>
        </w:r>
      </w:hyperlink>
      <w:r>
        <w:rPr>
          <w:rFonts w:ascii="Garamond" w:eastAsia="Garamond" w:hAnsi="Garamond" w:cs="Garamond"/>
          <w:sz w:val="18"/>
          <w:szCs w:val="18"/>
        </w:rPr>
        <w:t>. Accessed on: October 30, 2025.</w:t>
      </w:r>
    </w:p>
  </w:footnote>
  <w:footnote w:id="36">
    <w:p w14:paraId="24A36427" w14:textId="77777777" w:rsidR="00257783" w:rsidRDefault="009560B4">
      <w:pPr>
        <w:spacing w:after="0" w:line="240" w:lineRule="auto"/>
        <w:rPr>
          <w:rFonts w:ascii="Garamond" w:eastAsia="Garamond" w:hAnsi="Garamond" w:cs="Garamond"/>
          <w:sz w:val="18"/>
          <w:szCs w:val="18"/>
        </w:rPr>
      </w:pPr>
      <w:r>
        <w:rPr>
          <w:vertAlign w:val="superscript"/>
        </w:rPr>
        <w:footnoteRef/>
      </w:r>
      <w:r>
        <w:rPr>
          <w:sz w:val="16"/>
          <w:szCs w:val="16"/>
        </w:rPr>
        <w:t xml:space="preserve"> </w:t>
      </w:r>
      <w:r>
        <w:rPr>
          <w:rFonts w:ascii="Garamond" w:eastAsia="Garamond" w:hAnsi="Garamond" w:cs="Garamond"/>
          <w:sz w:val="18"/>
          <w:szCs w:val="18"/>
        </w:rPr>
        <w:t>Data extracted from the official VIS Data – BPC platform, Ministry of Social Development and Assistance, Brazil. Available at:</w:t>
      </w:r>
      <w:hyperlink r:id="rId11">
        <w:r>
          <w:rPr>
            <w:rFonts w:ascii="Garamond" w:eastAsia="Garamond" w:hAnsi="Garamond" w:cs="Garamond"/>
            <w:sz w:val="18"/>
            <w:szCs w:val="18"/>
          </w:rPr>
          <w:t xml:space="preserve"> </w:t>
        </w:r>
      </w:hyperlink>
      <w:hyperlink r:id="rId12">
        <w:r>
          <w:rPr>
            <w:rFonts w:ascii="Garamond" w:eastAsia="Garamond" w:hAnsi="Garamond" w:cs="Garamond"/>
            <w:color w:val="1155CC"/>
            <w:sz w:val="18"/>
            <w:szCs w:val="18"/>
            <w:u w:val="single"/>
          </w:rPr>
          <w:t xml:space="preserve">https://aplicacoes.cidadania.gov.br/vis/data3/ </w:t>
        </w:r>
      </w:hyperlink>
      <w:r>
        <w:rPr>
          <w:rFonts w:ascii="Garamond" w:eastAsia="Garamond" w:hAnsi="Garamond" w:cs="Garamond"/>
          <w:sz w:val="18"/>
          <w:szCs w:val="18"/>
        </w:rPr>
        <w:t>. Accessed on: October 30, 2025.</w:t>
      </w:r>
    </w:p>
  </w:footnote>
  <w:footnote w:id="37">
    <w:p w14:paraId="2B45F4B3" w14:textId="77777777" w:rsidR="00257783" w:rsidRDefault="009560B4">
      <w:pPr>
        <w:spacing w:after="0" w:line="240" w:lineRule="auto"/>
        <w:rPr>
          <w:rFonts w:ascii="Garamond" w:eastAsia="Garamond" w:hAnsi="Garamond" w:cs="Garamond"/>
          <w:sz w:val="18"/>
          <w:szCs w:val="18"/>
        </w:rPr>
      </w:pPr>
      <w:r>
        <w:rPr>
          <w:vertAlign w:val="superscript"/>
        </w:rPr>
        <w:footnoteRef/>
      </w:r>
      <w:r>
        <w:rPr>
          <w:rFonts w:ascii="Garamond" w:eastAsia="Garamond" w:hAnsi="Garamond" w:cs="Garamond"/>
          <w:sz w:val="18"/>
          <w:szCs w:val="18"/>
        </w:rPr>
        <w:t xml:space="preserve">See also: </w:t>
      </w:r>
      <w:hyperlink r:id="rId13">
        <w:r>
          <w:rPr>
            <w:rFonts w:ascii="Garamond" w:eastAsia="Garamond" w:hAnsi="Garamond" w:cs="Garamond"/>
            <w:color w:val="1155CC"/>
            <w:sz w:val="18"/>
            <w:szCs w:val="18"/>
            <w:u w:val="single"/>
          </w:rPr>
          <w:t>https://minorityrights.org/resources/the-situation-of-black-people-with-disabilities-in-brazil/</w:t>
        </w:r>
      </w:hyperlink>
    </w:p>
    <w:p w14:paraId="35C94A46" w14:textId="77777777" w:rsidR="00257783" w:rsidRDefault="00257783">
      <w:pPr>
        <w:spacing w:after="0" w:line="240" w:lineRule="auto"/>
        <w:rPr>
          <w:rFonts w:ascii="Garamond" w:eastAsia="Garamond" w:hAnsi="Garamond" w:cs="Garamond"/>
          <w:sz w:val="18"/>
          <w:szCs w:val="18"/>
        </w:rPr>
      </w:pPr>
    </w:p>
  </w:footnote>
  <w:footnote w:id="38">
    <w:p w14:paraId="063331B4" w14:textId="77777777" w:rsidR="00257783" w:rsidRDefault="009560B4">
      <w:pPr>
        <w:spacing w:after="0" w:line="240" w:lineRule="auto"/>
        <w:rPr>
          <w:rFonts w:ascii="Garamond" w:eastAsia="Garamond" w:hAnsi="Garamond" w:cs="Garamond"/>
          <w:sz w:val="18"/>
          <w:szCs w:val="18"/>
        </w:rPr>
      </w:pPr>
      <w:r>
        <w:rPr>
          <w:vertAlign w:val="superscript"/>
        </w:rPr>
        <w:footnoteRef/>
      </w:r>
      <w:r>
        <w:rPr>
          <w:rFonts w:ascii="Garamond" w:eastAsia="Garamond" w:hAnsi="Garamond" w:cs="Garamond"/>
          <w:sz w:val="18"/>
          <w:szCs w:val="18"/>
        </w:rPr>
        <w:t>IBGE. 2023. Continuous National Household Sample Survey: People with Disabilities 2022</w:t>
      </w:r>
    </w:p>
  </w:footnote>
  <w:footnote w:id="39">
    <w:p w14:paraId="75068ACC" w14:textId="77777777" w:rsidR="00257783" w:rsidRDefault="009560B4">
      <w:pPr>
        <w:spacing w:after="0" w:line="240" w:lineRule="auto"/>
        <w:rPr>
          <w:sz w:val="20"/>
          <w:szCs w:val="20"/>
        </w:rPr>
      </w:pPr>
      <w:r>
        <w:rPr>
          <w:vertAlign w:val="superscript"/>
        </w:rPr>
        <w:footnoteRef/>
      </w:r>
      <w:r>
        <w:rPr>
          <w:sz w:val="20"/>
          <w:szCs w:val="20"/>
        </w:rPr>
        <w:t xml:space="preserve">  </w:t>
      </w:r>
      <w:r>
        <w:rPr>
          <w:rFonts w:ascii="Garamond" w:eastAsia="Garamond" w:hAnsi="Garamond" w:cs="Garamond"/>
          <w:sz w:val="18"/>
          <w:szCs w:val="18"/>
        </w:rPr>
        <w:t xml:space="preserve">VNDI; Minority Rights Group. </w:t>
      </w:r>
      <w:r>
        <w:rPr>
          <w:rFonts w:ascii="Garamond" w:eastAsia="Garamond" w:hAnsi="Garamond" w:cs="Garamond"/>
          <w:i/>
          <w:sz w:val="18"/>
          <w:szCs w:val="18"/>
        </w:rPr>
        <w:t xml:space="preserve">Disability and care: resisting the lottery of access in the peripheries of </w:t>
      </w:r>
      <w:proofErr w:type="gramStart"/>
      <w:r>
        <w:rPr>
          <w:rFonts w:ascii="Garamond" w:eastAsia="Garamond" w:hAnsi="Garamond" w:cs="Garamond"/>
          <w:i/>
          <w:sz w:val="18"/>
          <w:szCs w:val="18"/>
        </w:rPr>
        <w:t xml:space="preserve">Brazil </w:t>
      </w:r>
      <w:r>
        <w:rPr>
          <w:rFonts w:ascii="Garamond" w:eastAsia="Garamond" w:hAnsi="Garamond" w:cs="Garamond"/>
          <w:sz w:val="18"/>
          <w:szCs w:val="18"/>
        </w:rPr>
        <w:t>,</w:t>
      </w:r>
      <w:proofErr w:type="gramEnd"/>
      <w:r>
        <w:rPr>
          <w:rFonts w:ascii="Garamond" w:eastAsia="Garamond" w:hAnsi="Garamond" w:cs="Garamond"/>
          <w:sz w:val="18"/>
          <w:szCs w:val="18"/>
        </w:rPr>
        <w:t xml:space="preserv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8B363" w14:textId="77777777" w:rsidR="00257783" w:rsidRDefault="0025778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5D142E"/>
    <w:multiLevelType w:val="multilevel"/>
    <w:tmpl w:val="C712A41C"/>
    <w:lvl w:ilvl="0">
      <w:start w:val="1"/>
      <w:numFmt w:val="decimal"/>
      <w:lvlText w:val="%1."/>
      <w:lvlJc w:val="left"/>
      <w:pPr>
        <w:ind w:left="-425" w:firstLine="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34C5666"/>
    <w:multiLevelType w:val="multilevel"/>
    <w:tmpl w:val="9F7859AE"/>
    <w:lvl w:ilvl="0">
      <w:start w:val="1"/>
      <w:numFmt w:val="decimal"/>
      <w:lvlText w:val="%1."/>
      <w:lvlJc w:val="left"/>
      <w:pPr>
        <w:ind w:left="720" w:hanging="1286"/>
      </w:pPr>
      <w:rPr>
        <w:rFonts w:ascii="Garamond" w:eastAsia="Garamond" w:hAnsi="Garamond" w:cs="Garamond"/>
        <w:b w:val="0"/>
        <w:sz w:val="20"/>
        <w:szCs w:val="2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7B35009C"/>
    <w:multiLevelType w:val="multilevel"/>
    <w:tmpl w:val="1846A4D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16cid:durableId="1286622150">
    <w:abstractNumId w:val="2"/>
  </w:num>
  <w:num w:numId="2" w16cid:durableId="19478474">
    <w:abstractNumId w:val="1"/>
  </w:num>
  <w:num w:numId="3" w16cid:durableId="15171873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7783"/>
    <w:rsid w:val="00257783"/>
    <w:rsid w:val="009560B4"/>
    <w:rsid w:val="00B445C9"/>
  </w:rsids>
  <m:mathPr>
    <m:mathFont m:val="Cambria Math"/>
    <m:brkBin m:val="before"/>
    <m:brkBinSub m:val="--"/>
    <m:smallFrac m:val="0"/>
    <m:dispDef/>
    <m:lMargin m:val="0"/>
    <m:rMargin m:val="0"/>
    <m:defJc m:val="centerGroup"/>
    <m:wrapIndent m:val="1440"/>
    <m:intLim m:val="subSup"/>
    <m:naryLim m:val="undOvr"/>
  </m:mathPr>
  <w:themeFontLang w:val="en-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BDAC2"/>
  <w15:docId w15:val="{ADCF80CF-FC36-4404-93FB-3BD51CB98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n"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libri" w:eastAsia="Calibri" w:hAnsi="Calibri" w:cs="Calibri"/>
      <w:b/>
      <w:color w:val="366091"/>
      <w:sz w:val="28"/>
      <w:szCs w:val="28"/>
    </w:rPr>
  </w:style>
  <w:style w:type="paragraph" w:styleId="Heading2">
    <w:name w:val="heading 2"/>
    <w:basedOn w:val="Normal"/>
    <w:next w:val="Normal"/>
    <w:uiPriority w:val="9"/>
    <w:semiHidden/>
    <w:unhideWhenUsed/>
    <w:qFormat/>
    <w:pPr>
      <w:keepNext/>
      <w:keepLines/>
      <w:spacing w:before="200" w:after="0"/>
      <w:outlineLvl w:val="1"/>
    </w:pPr>
    <w:rPr>
      <w:rFonts w:ascii="Calibri" w:eastAsia="Calibri" w:hAnsi="Calibri" w:cs="Calibri"/>
      <w:b/>
      <w:color w:val="4F81BD"/>
      <w:sz w:val="26"/>
      <w:szCs w:val="26"/>
    </w:rPr>
  </w:style>
  <w:style w:type="paragraph" w:styleId="Heading3">
    <w:name w:val="heading 3"/>
    <w:basedOn w:val="Normal"/>
    <w:next w:val="Normal"/>
    <w:uiPriority w:val="9"/>
    <w:semiHidden/>
    <w:unhideWhenUsed/>
    <w:qFormat/>
    <w:pPr>
      <w:keepNext/>
      <w:keepLines/>
      <w:spacing w:before="200" w:after="0"/>
      <w:outlineLvl w:val="2"/>
    </w:pPr>
    <w:rPr>
      <w:rFonts w:ascii="Calibri" w:eastAsia="Calibri" w:hAnsi="Calibri" w:cs="Calibri"/>
      <w:b/>
      <w:color w:val="4F81BD"/>
    </w:rPr>
  </w:style>
  <w:style w:type="paragraph" w:styleId="Heading4">
    <w:name w:val="heading 4"/>
    <w:basedOn w:val="Normal"/>
    <w:next w:val="Normal"/>
    <w:uiPriority w:val="9"/>
    <w:semiHidden/>
    <w:unhideWhenUsed/>
    <w:qFormat/>
    <w:pPr>
      <w:keepNext/>
      <w:keepLines/>
      <w:spacing w:before="200" w:after="0"/>
      <w:outlineLvl w:val="3"/>
    </w:pPr>
    <w:rPr>
      <w:rFonts w:ascii="Calibri" w:eastAsia="Calibri" w:hAnsi="Calibri" w:cs="Calibri"/>
      <w:b/>
      <w:i/>
      <w:color w:val="4F81BD"/>
    </w:rPr>
  </w:style>
  <w:style w:type="paragraph" w:styleId="Heading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uiPriority w:val="9"/>
    <w:semiHidden/>
    <w:unhideWhenUsed/>
    <w:qFormat/>
    <w:pPr>
      <w:keepNext/>
      <w:keepLines/>
      <w:spacing w:before="200" w:after="0"/>
      <w:outlineLvl w:val="5"/>
    </w:pPr>
    <w:rPr>
      <w:rFonts w:ascii="Calibri" w:eastAsia="Calibri" w:hAnsi="Calibri" w:cs="Calibri"/>
      <w:i/>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240" w:after="240"/>
      <w:jc w:val="both"/>
    </w:pPr>
    <w:rPr>
      <w:rFonts w:ascii="Garamond" w:eastAsia="Garamond" w:hAnsi="Garamond" w:cs="Garamond"/>
      <w:b/>
      <w:color w:val="4A4A4A"/>
      <w:sz w:val="24"/>
      <w:szCs w:val="24"/>
    </w:rPr>
  </w:style>
  <w:style w:type="paragraph" w:styleId="Subtitle">
    <w:name w:val="Subtitle"/>
    <w:basedOn w:val="Normal"/>
    <w:next w:val="Normal"/>
    <w:uiPriority w:val="11"/>
    <w:qFormat/>
    <w:rPr>
      <w:rFonts w:ascii="Calibri" w:eastAsia="Calibri" w:hAnsi="Calibri" w:cs="Calibri"/>
      <w:i/>
      <w:color w:val="4F81B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8" Type="http://schemas.openxmlformats.org/officeDocument/2006/relationships/hyperlink" Target="https://www.gov.br/mds/pt-br/acoes-e-programas/suas/beneficios-assistenciais/beneficio-assistencial-ao-idoso-e-a-pessoa-com-deficiencia-bpc?utm_source=chatgpt.com" TargetMode="External"/><Relationship Id="rId13" Type="http://schemas.openxmlformats.org/officeDocument/2006/relationships/hyperlink" Target="https://minorityrights.org/resources/the-situation-of-black-people-with-disabilities-in-brazil/" TargetMode="External"/><Relationship Id="rId3" Type="http://schemas.openxmlformats.org/officeDocument/2006/relationships/hyperlink" Target="https://web2.smsrio.org/minhasaudeRio/" TargetMode="External"/><Relationship Id="rId7" Type="http://schemas.openxmlformats.org/officeDocument/2006/relationships/hyperlink" Target="https://www.gov.br/mds/pt-br/acoes-e-programas/suas/beneficios-assistenciais/beneficio-assistencial-ao-idoso-e-a-pessoa-com-deficiencia-bpc?utm_source=chatgpt.com" TargetMode="External"/><Relationship Id="rId12" Type="http://schemas.openxmlformats.org/officeDocument/2006/relationships/hyperlink" Target="https://aplicacoes.cidadania.gov.br/vis/data3/" TargetMode="External"/><Relationship Id="rId2" Type="http://schemas.openxmlformats.org/officeDocument/2006/relationships/hyperlink" Target="http://www.cienciaesaudecoletiva.com.br/artigos/mulheres-com-deficiencia-e-sua-dupla-vulnerabilidade-contribuicoes-para-a-construcao-da-integralidade-em-saude/9043?id=9043" TargetMode="External"/><Relationship Id="rId1" Type="http://schemas.openxmlformats.org/officeDocument/2006/relationships/hyperlink" Target="https://www.ipea.gov.br/portal/categorias/45-todas-as-noticias/noticias/15656-mulheres-negras-sao-69-9-no-servico-domestico-ou-de-cuidados-no-brasil" TargetMode="External"/><Relationship Id="rId6" Type="http://schemas.openxmlformats.org/officeDocument/2006/relationships/hyperlink" Target="https://www.dieese.org.br/boletimespecial/2024/trabalhoDomestico.html" TargetMode="External"/><Relationship Id="rId11" Type="http://schemas.openxmlformats.org/officeDocument/2006/relationships/hyperlink" Target="https://aplicacoes.cidadania.gov.br/vis/data3/" TargetMode="External"/><Relationship Id="rId5" Type="http://schemas.openxmlformats.org/officeDocument/2006/relationships/hyperlink" Target="https://www.scielo.br/j/csp/a/cPg3d9dRfqS3RHhqZrjmRVg/" TargetMode="External"/><Relationship Id="rId10" Type="http://schemas.openxmlformats.org/officeDocument/2006/relationships/hyperlink" Target="https://aplicacoes.cidadania.gov.br/vis/data3/" TargetMode="External"/><Relationship Id="rId4" Type="http://schemas.openxmlformats.org/officeDocument/2006/relationships/hyperlink" Target="https://www.scielo.br/j/csp/a/cPg3d9dRfqS3RHhqZrjmRVg/" TargetMode="External"/><Relationship Id="rId9" Type="http://schemas.openxmlformats.org/officeDocument/2006/relationships/hyperlink" Target="https://aplicacoes.cidadania.gov.br/vis/data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25" ma:contentTypeDescription="Create a new document." ma:contentTypeScope="" ma:versionID="1bb1cb08ac5d581529d2f5b013dd7306">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1797fdc9064ab6522c1153dd1fdaef66"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Category xmlns="d42e65b2-cf21-49c1-b27d-d23f90380c0e">CSOs</Category>
    <Filename xmlns="d42e65b2-cf21-49c1-b27d-d23f90380c0e" xsi:nil="true"/>
    <Doctype xmlns="d42e65b2-cf21-49c1-b27d-d23f90380c0e">input</Doctype>
    <Contributor xmlns="d42e65b2-cf21-49c1-b27d-d23f90380c0e">The Black Lives with Disabilities Matter Institute</Contributor>
  </documentManagement>
</p:properties>
</file>

<file path=customXml/itemProps1.xml><?xml version="1.0" encoding="utf-8"?>
<ds:datastoreItem xmlns:ds="http://schemas.openxmlformats.org/officeDocument/2006/customXml" ds:itemID="{51C4687B-B495-4449-9734-E8587B63C343}"/>
</file>

<file path=customXml/itemProps2.xml><?xml version="1.0" encoding="utf-8"?>
<ds:datastoreItem xmlns:ds="http://schemas.openxmlformats.org/officeDocument/2006/customXml" ds:itemID="{03BCA6DF-57FF-4439-A1F4-BEA65CD5DBA4}"/>
</file>

<file path=customXml/itemProps3.xml><?xml version="1.0" encoding="utf-8"?>
<ds:datastoreItem xmlns:ds="http://schemas.openxmlformats.org/officeDocument/2006/customXml" ds:itemID="{96BD3BE1-B915-4095-92FD-0E72BBA817DF}"/>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3831</Words>
  <Characters>21838</Characters>
  <Application>Microsoft Office Word</Application>
  <DocSecurity>4</DocSecurity>
  <Lines>181</Lines>
  <Paragraphs>51</Paragraphs>
  <ScaleCrop>false</ScaleCrop>
  <Company/>
  <LinksUpToDate>false</LinksUpToDate>
  <CharactersWithSpaces>25618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Jorge Araya</cp:lastModifiedBy>
  <cp:revision>2</cp:revision>
  <dcterms:created xsi:type="dcterms:W3CDTF">2025-10-31T12:58:00Z</dcterms:created>
  <dcterms:modified xsi:type="dcterms:W3CDTF">2025-10-31T12:58:00Z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