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253EB" w14:textId="5C9CD458" w:rsidR="00D04169" w:rsidRDefault="00D04169" w:rsidP="00D04169">
      <w:pPr>
        <w:jc w:val="center"/>
        <w:rPr>
          <w:b/>
          <w:bCs/>
        </w:rPr>
      </w:pPr>
      <w:r w:rsidRPr="00D04169">
        <w:rPr>
          <w:b/>
          <w:bCs/>
        </w:rPr>
        <w:fldChar w:fldCharType="begin"/>
      </w:r>
      <w:r w:rsidRPr="00D04169">
        <w:rPr>
          <w:b/>
          <w:bCs/>
        </w:rPr>
        <w:instrText xml:space="preserve"> INCLUDEPICTURE "https://www.dpu.def.br/images/home-2021/Logo_Preferencial_SEMFUNDO_PRETA.png" \* MERGEFORMATINET </w:instrText>
      </w:r>
      <w:r w:rsidRPr="00D04169">
        <w:rPr>
          <w:b/>
          <w:bCs/>
        </w:rPr>
        <w:fldChar w:fldCharType="separate"/>
      </w:r>
      <w:r w:rsidRPr="00D04169">
        <w:rPr>
          <w:b/>
          <w:bCs/>
          <w:noProof/>
        </w:rPr>
        <w:drawing>
          <wp:inline distT="0" distB="0" distL="0" distR="0" wp14:anchorId="3A61BDE2" wp14:editId="67A0D4C9">
            <wp:extent cx="1647731" cy="633981"/>
            <wp:effectExtent l="0" t="0" r="3810" b="1270"/>
            <wp:docPr id="621920978" name="Imagem 1" descr="Defensoria Pública da Uni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ensoria Pública da Uniã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8430" cy="638098"/>
                    </a:xfrm>
                    <a:prstGeom prst="rect">
                      <a:avLst/>
                    </a:prstGeom>
                    <a:noFill/>
                    <a:ln>
                      <a:noFill/>
                    </a:ln>
                  </pic:spPr>
                </pic:pic>
              </a:graphicData>
            </a:graphic>
          </wp:inline>
        </w:drawing>
      </w:r>
      <w:r w:rsidRPr="00D04169">
        <w:rPr>
          <w:b/>
          <w:bCs/>
        </w:rPr>
        <w:fldChar w:fldCharType="end"/>
      </w:r>
    </w:p>
    <w:p w14:paraId="79BD7504" w14:textId="77777777" w:rsidR="00D04169" w:rsidRDefault="00D04169" w:rsidP="00D04169">
      <w:pPr>
        <w:rPr>
          <w:b/>
          <w:bCs/>
        </w:rPr>
      </w:pPr>
    </w:p>
    <w:p w14:paraId="2A524240" w14:textId="55AA1A3D" w:rsidR="00D04169" w:rsidRPr="00D04169" w:rsidRDefault="00D04169" w:rsidP="00D04169">
      <w:r w:rsidRPr="00D04169">
        <w:rPr>
          <w:b/>
          <w:bCs/>
        </w:rPr>
        <w:t>STATEMENT Nº 8369941/2025 – DPGU/SGAI DPGU/GTMLR DPGU</w:t>
      </w:r>
    </w:p>
    <w:p w14:paraId="30C4519D" w14:textId="77777777" w:rsidR="00D04169" w:rsidRPr="00D04169" w:rsidRDefault="00D04169" w:rsidP="00D04169">
      <w:r w:rsidRPr="00D04169">
        <w:t> </w:t>
      </w:r>
    </w:p>
    <w:p w14:paraId="767BCEFF" w14:textId="77777777" w:rsidR="00D04169" w:rsidRPr="00D04169" w:rsidRDefault="00D04169" w:rsidP="00D04169">
      <w:r w:rsidRPr="00D04169">
        <w:t>I refer to Information No. 8323976 from the CSDH in order to present the contribution of the Working Group on Women’s Rights (GTMLR) of the Federal Public Defenders’ Office to the public call issued by the Committee on the Rights of Persons with Disabilities (CRPD), regarding the guidelines on multiple and intersectional forms of discrimination against women and girls with disabilities.</w:t>
      </w:r>
    </w:p>
    <w:p w14:paraId="06C0FA1C" w14:textId="77777777" w:rsidR="00D04169" w:rsidRPr="00D04169" w:rsidRDefault="00D04169" w:rsidP="00D04169">
      <w:r w:rsidRPr="00D04169">
        <w:t> </w:t>
      </w:r>
    </w:p>
    <w:p w14:paraId="3447C62F" w14:textId="77777777" w:rsidR="00D04169" w:rsidRPr="00D04169" w:rsidRDefault="00D04169" w:rsidP="00D04169">
      <w:r w:rsidRPr="00D04169">
        <w:rPr>
          <w:b/>
          <w:bCs/>
        </w:rPr>
        <w:t>          BRIEF INTRODUCTORY REMARKS</w:t>
      </w:r>
    </w:p>
    <w:p w14:paraId="408AD3E3" w14:textId="77777777" w:rsidR="00D04169" w:rsidRPr="00D04169" w:rsidRDefault="00D04169" w:rsidP="00D04169">
      <w:r w:rsidRPr="00D04169">
        <w:t>In view of the mandate of the Working Group on Women’s Rights (GTMLR), the following sections outline the position of Brazilian legislation on multiple and intersectional forms of discrimination affecting women and girls with disabilities, and identify the groups most exposed to such violations.</w:t>
      </w:r>
    </w:p>
    <w:p w14:paraId="28EF8B00" w14:textId="77777777" w:rsidR="00D04169" w:rsidRPr="00D04169" w:rsidRDefault="00D04169" w:rsidP="00D04169">
      <w:r w:rsidRPr="00D04169">
        <w:t>The concept of discrimination adopted in this contribution is consistent with Decree No. 65,810/1969, according to which discrimination means “any distinction, exclusion, restriction, or preference based on race, color, descent, or national or ethnic origin.”</w:t>
      </w:r>
    </w:p>
    <w:p w14:paraId="08B4492F" w14:textId="77777777" w:rsidR="00D04169" w:rsidRPr="00D04169" w:rsidRDefault="00D04169" w:rsidP="00D04169">
      <w:r w:rsidRPr="00D04169">
        <w:t>In this context, the notions of multiple and intersectional discrimination are more recent developments in the legal and academic fields. Multiple discrimination refers to the accumulation of different forms of exclusion, whereas intersectional discrimination is characterized as a specific new form of discrimination resulting from the convergence of multiple factors, with compounded effects on the individual’s rights.</w:t>
      </w:r>
    </w:p>
    <w:p w14:paraId="07683CCF" w14:textId="77777777" w:rsidR="00D04169" w:rsidRPr="00D04169" w:rsidRDefault="00D04169" w:rsidP="00D04169">
      <w:r w:rsidRPr="00D04169">
        <w:t>However, although widely recognized, such concepts are still not explicitly reflected in legislation or legal practice, being only implicitly addressed in certain normative instruments. This causes difficulties in identifying high-risk groups when they are assisted in a generalized manner within society. In this regard, little is said about discrimination against women and girls with disabilities, which manifests itself in an intersectional manner, combining sexism and ableism.</w:t>
      </w:r>
    </w:p>
    <w:p w14:paraId="44F19589" w14:textId="77777777" w:rsidR="00D04169" w:rsidRPr="00D04169" w:rsidRDefault="00D04169" w:rsidP="00D04169">
      <w:r w:rsidRPr="00D04169">
        <w:t xml:space="preserve">The lack of disaggregated data by gender, race, and disability hampers both the formulation of specific public policies and the identification of the actual magnitude of the problem. It was only in 2023 that official data (from the 2022 </w:t>
      </w:r>
      <w:r w:rsidRPr="00D04169">
        <w:lastRenderedPageBreak/>
        <w:t>Continuous National Household Sample Survey – PNAD Contínua) were published for the first time, cross-referencing disability with self-declared racial categories—although the “Indigenous” category was not included. This statistical gap is even more serious with respect to Indigenous women and girls with disabilities, whose situation remains largely invisible, creating barriers to accessing basic services and to the development of adequate programs.</w:t>
      </w:r>
    </w:p>
    <w:p w14:paraId="0302756D" w14:textId="77777777" w:rsidR="00D04169" w:rsidRPr="00D04169" w:rsidRDefault="00D04169" w:rsidP="00D04169">
      <w:r w:rsidRPr="00D04169">
        <w:t> </w:t>
      </w:r>
    </w:p>
    <w:p w14:paraId="105F831C" w14:textId="77777777" w:rsidR="00D04169" w:rsidRPr="00D04169" w:rsidRDefault="00D04169" w:rsidP="00D04169">
      <w:r w:rsidRPr="00D04169">
        <w:rPr>
          <w:b/>
          <w:bCs/>
        </w:rPr>
        <w:t>LEGISLATION AND NORMATIVE FRAMEWORKS ON MULTIPLE AND INTERSECTIONAL DISCRIMINATION AGAINST WOMEN WITH DISABILITIES</w:t>
      </w:r>
    </w:p>
    <w:p w14:paraId="3B35789B" w14:textId="77777777" w:rsidR="00D04169" w:rsidRPr="00D04169" w:rsidRDefault="00D04169" w:rsidP="00D04169">
      <w:r w:rsidRPr="00D04169">
        <w:t>It is possible to list the following norms as those that indirectly encompass multiple and intersectional discrimination:</w:t>
      </w:r>
    </w:p>
    <w:p w14:paraId="0D609BF7" w14:textId="77777777" w:rsidR="00D04169" w:rsidRPr="00D04169" w:rsidRDefault="00D04169" w:rsidP="00D04169">
      <w:r w:rsidRPr="00D04169">
        <w:t>Article 3, item IV, Federal Constitution of 1988: “to promote the well-being of all, without prejudice as to origin, race, sex, color, age, or any other forms of discrimination”;</w:t>
      </w:r>
    </w:p>
    <w:p w14:paraId="4E4C1B69" w14:textId="77777777" w:rsidR="00D04169" w:rsidRPr="00D04169" w:rsidRDefault="00D04169" w:rsidP="00D04169">
      <w:r w:rsidRPr="00D04169">
        <w:t>Article 1, item III, Law No. 12,288/2010 (Statute of Racial Equality): “gender and race inequality: the asymmetry existing within society that accentuates the social gap between Black women and other social groups.”</w:t>
      </w:r>
    </w:p>
    <w:p w14:paraId="58C46C53" w14:textId="77777777" w:rsidR="00D04169" w:rsidRPr="00D04169" w:rsidRDefault="00D04169" w:rsidP="00D04169">
      <w:r w:rsidRPr="00D04169">
        <w:t>Article 8, items II, VIII and IX, Law No. 11,340/2006 (Maria da Penha Law):</w:t>
      </w:r>
    </w:p>
    <w:p w14:paraId="027C9C8D" w14:textId="77777777" w:rsidR="00D04169" w:rsidRPr="00D04169" w:rsidRDefault="00D04169" w:rsidP="00D04169">
      <w:r w:rsidRPr="00D04169">
        <w:t>II – “the promotion of studies and research, statistics and other relevant information, from a gender and race or ethnicity perspective, concerning the causes, consequences, and frequency of domestic and family violence against women, for the systematization of data to be unified nationwide, and the periodic evaluation of the results of the measures adopted”;</w:t>
      </w:r>
    </w:p>
    <w:p w14:paraId="018E6C06" w14:textId="77777777" w:rsidR="00D04169" w:rsidRPr="00D04169" w:rsidRDefault="00D04169" w:rsidP="00D04169">
      <w:r w:rsidRPr="00D04169">
        <w:t>VIII – “the promotion of educational programs that disseminate ethical values of unrestricted respect for human dignity, from a gender and race or ethnicity perspective”;</w:t>
      </w:r>
    </w:p>
    <w:p w14:paraId="4FD2C865" w14:textId="77777777" w:rsidR="00D04169" w:rsidRPr="00D04169" w:rsidRDefault="00D04169" w:rsidP="00D04169">
      <w:r w:rsidRPr="00D04169">
        <w:t>IX – “the inclusion, in school curricula at all levels of education, of content related to human rights, gender and race or ethnicity equality, and the issue of domestic and family violence against women.”</w:t>
      </w:r>
    </w:p>
    <w:p w14:paraId="645EAD97" w14:textId="77777777" w:rsidR="00D04169" w:rsidRPr="00D04169" w:rsidRDefault="00D04169" w:rsidP="00D04169">
      <w:r w:rsidRPr="00D04169">
        <w:t> </w:t>
      </w:r>
    </w:p>
    <w:p w14:paraId="1F365DF6" w14:textId="77777777" w:rsidR="00D04169" w:rsidRPr="00D04169" w:rsidRDefault="00D04169" w:rsidP="00D04169">
      <w:r w:rsidRPr="00D04169">
        <w:t>In 2019, Law nº 13,836/19 was enacted, adding a provision to Article 12 of Law No. 11,340/06 (the Maria da Penha Law), making it mandatory to include information on whether the victim of domestic or family violence is a woman with a disability.</w:t>
      </w:r>
    </w:p>
    <w:p w14:paraId="03BF739F" w14:textId="77777777" w:rsidR="00D04169" w:rsidRPr="00D04169" w:rsidRDefault="00D04169" w:rsidP="00D04169">
      <w:r w:rsidRPr="00D04169">
        <w:t xml:space="preserve">With regard to women, Brazilian legislation provides for specific anti-discrimination norms aimed at promoting equality and eliminating separation, </w:t>
      </w:r>
      <w:r w:rsidRPr="00D04169">
        <w:lastRenderedPageBreak/>
        <w:t>categorization, and differentiation based on sex. Ableism, in turn, is addressed in a similar way, with legal instruments specifically designed for persons with disabilities. Thus, the intersection between these two systems of oppression produces a fundamentally unjust inequality.</w:t>
      </w:r>
    </w:p>
    <w:p w14:paraId="62C358A7" w14:textId="77777777" w:rsidR="00D04169" w:rsidRPr="00D04169" w:rsidRDefault="00D04169" w:rsidP="00D04169">
      <w:r w:rsidRPr="00D04169">
        <w:t>However, concerning women and girls with disabilities, protection for this group remains limited to a few reports. The international document that most closely reflects normative recognition is paragraph “q” of the Preamble to the Convention on the Rights of Persons with Disabilities, which, however, does not express the practical consequences that this group may experience, nor does it indicate concrete mechanisms for the effective guarantee of their rights.</w:t>
      </w:r>
    </w:p>
    <w:p w14:paraId="7B2CD9DA" w14:textId="77777777" w:rsidR="00D04169" w:rsidRPr="00D04169" w:rsidRDefault="00D04169" w:rsidP="00D04169">
      <w:r w:rsidRPr="00D04169">
        <w:t>It is clear that the violence suffered by women cannot be reduced to a single form of oppression. In this context, women with disabilities are exposed to heightened risks and vulnerabilities, both due to the patriarchal structure of society and to the ableism present in a world that marginalizes bodies that do not conform to what is considered “normal.”</w:t>
      </w:r>
    </w:p>
    <w:p w14:paraId="02AE8293" w14:textId="77777777" w:rsidR="00D04169" w:rsidRPr="00D04169" w:rsidRDefault="00D04169" w:rsidP="00D04169">
      <w:r w:rsidRPr="00D04169">
        <w:t>The Atlas of Violence – 2025 reported, regarding violence against persons with disabilities, “that the rates are higher among women compared to men, especially in the case of intellectual disability, where the rate reaches 75.5 per 10,000 women, compared to 28.9 among men. This difference is repeated across other types of disability: for physical disability, rates are 24.9 for women and 10.3 for men; for hearing disability, 7.5 for women and 3.3 for men; and for visual disability, 2.2 for women and 1.5 for men.”</w:t>
      </w:r>
    </w:p>
    <w:p w14:paraId="7BD3F6F9" w14:textId="77777777" w:rsidR="00D04169" w:rsidRPr="00D04169" w:rsidRDefault="00D04169" w:rsidP="00D04169">
      <w:r w:rsidRPr="00D04169">
        <w:t>The report further highlights that “the gender-based analysis reveals distinct patterns of victimization. Among women with intellectual disabilities, sexual violence was the most frequently reported (43.8%), surpassing physical violence (42.1%). Among men, those with multiple or physical disabilities showed high rates of neglect and abandonment, with 45.9% and 41.5%, respectively.”</w:t>
      </w:r>
    </w:p>
    <w:p w14:paraId="0DB6A9CB" w14:textId="77777777" w:rsidR="00D04169" w:rsidRPr="00D04169" w:rsidRDefault="00D04169" w:rsidP="00D04169">
      <w:r w:rsidRPr="00D04169">
        <w:t>Therefore, the absence of a specific international treaty or a normative document equivalent to a declaration focused exclusively on women with disabilities reveals a significant normative gap. When approached from a single-axis perspective, victims tend to be portrayed in an essentialist manner, which contributes to the invisibility of minorities within minorities—both in society at large and within minority groups themselves—making them more susceptible to additional discrimination, including within those very groups.</w:t>
      </w:r>
    </w:p>
    <w:p w14:paraId="339C9A8D" w14:textId="77777777" w:rsidR="00D04169" w:rsidRPr="00D04169" w:rsidRDefault="00D04169" w:rsidP="00D04169">
      <w:r w:rsidRPr="00D04169">
        <w:t> </w:t>
      </w:r>
    </w:p>
    <w:p w14:paraId="19E1E9D8" w14:textId="77777777" w:rsidR="00D04169" w:rsidRPr="00D04169" w:rsidRDefault="00D04169" w:rsidP="00D04169">
      <w:r w:rsidRPr="00D04169">
        <w:rPr>
          <w:b/>
          <w:bCs/>
        </w:rPr>
        <w:t>          CONCLUSION</w:t>
      </w:r>
    </w:p>
    <w:p w14:paraId="0AD4B60D" w14:textId="77777777" w:rsidR="00D04169" w:rsidRPr="00D04169" w:rsidRDefault="00D04169" w:rsidP="00D04169">
      <w:r w:rsidRPr="00D04169">
        <w:lastRenderedPageBreak/>
        <w:t>It can be concluded that Brazilian legislation, through some of its normative instruments, allows for an interpretation capable of encompassing multiple and intersectional forms of discrimination, albeit implicitly. However, this is not sufficient to ensure the protection of groups affected by these newer and more complex forms of discrimination.</w:t>
      </w:r>
    </w:p>
    <w:p w14:paraId="1D58B524" w14:textId="77777777" w:rsidR="00D04169" w:rsidRPr="00D04169" w:rsidRDefault="00D04169" w:rsidP="00D04169">
      <w:r w:rsidRPr="00D04169">
        <w:t>It is also worth highlighting the need for the collection of disaggregated data based on intersectional markers, so as to enable the proper formulation of public policies.</w:t>
      </w:r>
    </w:p>
    <w:p w14:paraId="6F29E431" w14:textId="77777777" w:rsidR="00D04169" w:rsidRPr="00D04169" w:rsidRDefault="00D04169" w:rsidP="00D04169">
      <w:r w:rsidRPr="00D04169">
        <w:t>From this perspective, it is necessary to go beyond the mere arithmetic sum of the prohibited grounds of discrimination and to amplify the voices within the movement for the rights of women with disabilities, with the aim of fostering the creation of legislation specifically designed to protect their rights.</w:t>
      </w:r>
    </w:p>
    <w:p w14:paraId="35241BE5" w14:textId="77777777" w:rsidR="00D04169" w:rsidRPr="00D04169" w:rsidRDefault="00D04169" w:rsidP="00D04169">
      <w:r w:rsidRPr="00D04169">
        <w:t> </w:t>
      </w:r>
    </w:p>
    <w:p w14:paraId="454EEFD7" w14:textId="77777777" w:rsidR="00D04169" w:rsidRPr="00D04169" w:rsidRDefault="00D04169" w:rsidP="00D04169">
      <w:r w:rsidRPr="00D04169">
        <w:rPr>
          <w:b/>
          <w:bCs/>
        </w:rPr>
        <w:t>          REFERENCES</w:t>
      </w:r>
    </w:p>
    <w:p w14:paraId="0053E82C" w14:textId="77777777" w:rsidR="00D04169" w:rsidRPr="00D04169" w:rsidRDefault="00D04169" w:rsidP="00D04169">
      <w:r w:rsidRPr="00D04169">
        <w:t>BRASIL (1988). Constituição Federal, 5 de outubro de 1988. Available at: &lt;https://www.planalto.gov.br/ccivil_03/constituicao/constituicao.htm&gt;. Accessed on: 15 sept. 2025.</w:t>
      </w:r>
    </w:p>
    <w:p w14:paraId="2DFE8407" w14:textId="77777777" w:rsidR="00D04169" w:rsidRPr="00D04169" w:rsidRDefault="00D04169" w:rsidP="00D04169">
      <w:r w:rsidRPr="00D04169">
        <w:t> </w:t>
      </w:r>
    </w:p>
    <w:p w14:paraId="181BC22F" w14:textId="77777777" w:rsidR="00D04169" w:rsidRPr="00D04169" w:rsidRDefault="00D04169" w:rsidP="00D04169">
      <w:r w:rsidRPr="00D04169">
        <w:t>BRASIL (2009). Decreto n.º 6.949, de 25 de agosto de 2009. Available at: &lt;https://www.planalto.gov.br/ccivil_03/_ato2007-2010/2009/decreto/d6949.htm&gt;. Accessed on: 15 sept. 2025.</w:t>
      </w:r>
    </w:p>
    <w:p w14:paraId="7BF54B6E" w14:textId="77777777" w:rsidR="00D04169" w:rsidRPr="00D04169" w:rsidRDefault="00D04169" w:rsidP="00D04169">
      <w:r w:rsidRPr="00D04169">
        <w:t> </w:t>
      </w:r>
    </w:p>
    <w:p w14:paraId="0C5BAA4F" w14:textId="77777777" w:rsidR="00D04169" w:rsidRPr="00D04169" w:rsidRDefault="00D04169" w:rsidP="00D04169">
      <w:r w:rsidRPr="00D04169">
        <w:t>BRASIL (2006). Lei nº 11.340, de 7 de agosto de 2006. Available at: &lt;https://www.planalto.gov.br/ccivil_03/_ato2004-2006/2006/lei/l11340.htm&gt;. Accessed on: 15 sept. 2025.</w:t>
      </w:r>
    </w:p>
    <w:p w14:paraId="33A1492E" w14:textId="77777777" w:rsidR="00D04169" w:rsidRPr="00D04169" w:rsidRDefault="00D04169" w:rsidP="00D04169">
      <w:r w:rsidRPr="00D04169">
        <w:t> </w:t>
      </w:r>
    </w:p>
    <w:p w14:paraId="4D813131" w14:textId="77777777" w:rsidR="00D04169" w:rsidRPr="00D04169" w:rsidRDefault="00D04169" w:rsidP="00D04169">
      <w:r w:rsidRPr="00D04169">
        <w:t>BRASIL (2010). Lei n.º 12.288, de 20 de julho de 2010. Available at: &lt;https://www.planalto.gov.br/ccivil_03/_ato2007-2010/2010/lei/l12288.htm&gt;. Accessed on: 15 sept. 2025.</w:t>
      </w:r>
    </w:p>
    <w:p w14:paraId="70490994" w14:textId="77777777" w:rsidR="00D04169" w:rsidRPr="00D04169" w:rsidRDefault="00D04169" w:rsidP="00D04169">
      <w:r w:rsidRPr="00D04169">
        <w:t> </w:t>
      </w:r>
    </w:p>
    <w:p w14:paraId="3D01585E" w14:textId="77777777" w:rsidR="00D04169" w:rsidRPr="00D04169" w:rsidRDefault="00D04169" w:rsidP="00D04169">
      <w:r w:rsidRPr="00D04169">
        <w:t>CERQUEIRA, Daniel; BUENO, Samira (coord.). Atlas da violência 2025. Brasília: Ipea; FBSP, 2025. 174 p. Available at: https://repositorio.ipea.gov.br/handle/11058/17165. Accessed on 06 oct. 2025</w:t>
      </w:r>
    </w:p>
    <w:p w14:paraId="77A7F3AC" w14:textId="77777777" w:rsidR="00D04169" w:rsidRPr="00D04169" w:rsidRDefault="00D04169" w:rsidP="00D04169">
      <w:r w:rsidRPr="00D04169">
        <w:t> </w:t>
      </w:r>
    </w:p>
    <w:p w14:paraId="013C1269" w14:textId="77777777" w:rsidR="00D04169" w:rsidRPr="00D04169" w:rsidRDefault="00D04169" w:rsidP="00D04169">
      <w:r w:rsidRPr="00D04169">
        <w:lastRenderedPageBreak/>
        <w:t>RIOS, Roger Raupp; SILVA, Rodrigo da. Discriminação múltipla e discriminação interseccional: aportes do feminismo negro e do direito da antidiscriminação. Revista Brasileira de Ciência Política, Brasília, jan.-apr. 2015. Available at: </w:t>
      </w:r>
      <w:hyperlink r:id="rId5" w:tgtFrame="_blank" w:history="1">
        <w:r w:rsidRPr="00D04169">
          <w:rPr>
            <w:rStyle w:val="Hyperlink"/>
          </w:rPr>
          <w:t>https://www.scielo.br/j/rbcpol/a/xKt5hWwZFChwrbtfZxTGXKf/?format=pdf&amp;lang=pt</w:t>
        </w:r>
      </w:hyperlink>
      <w:r w:rsidRPr="00D04169">
        <w:t>  Accessed on: 15 sept. 2025</w:t>
      </w:r>
    </w:p>
    <w:p w14:paraId="1155F7AF" w14:textId="77777777" w:rsidR="00D04169" w:rsidRDefault="00D04169"/>
    <w:sectPr w:rsidR="00D041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169"/>
    <w:rsid w:val="005F5FC3"/>
    <w:rsid w:val="006B751E"/>
    <w:rsid w:val="00D04169"/>
    <w:rsid w:val="00EB0048"/>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2B258"/>
  <w15:chartTrackingRefBased/>
  <w15:docId w15:val="{362A558A-A63E-334A-8C4A-789F978E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1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1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1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1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169"/>
    <w:rPr>
      <w:rFonts w:eastAsiaTheme="majorEastAsia" w:cstheme="majorBidi"/>
      <w:color w:val="272727" w:themeColor="text1" w:themeTint="D8"/>
    </w:rPr>
  </w:style>
  <w:style w:type="paragraph" w:styleId="Title">
    <w:name w:val="Title"/>
    <w:basedOn w:val="Normal"/>
    <w:next w:val="Normal"/>
    <w:link w:val="TitleChar"/>
    <w:uiPriority w:val="10"/>
    <w:qFormat/>
    <w:rsid w:val="00D041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169"/>
    <w:pPr>
      <w:spacing w:before="160"/>
      <w:jc w:val="center"/>
    </w:pPr>
    <w:rPr>
      <w:i/>
      <w:iCs/>
      <w:color w:val="404040" w:themeColor="text1" w:themeTint="BF"/>
    </w:rPr>
  </w:style>
  <w:style w:type="character" w:customStyle="1" w:styleId="QuoteChar">
    <w:name w:val="Quote Char"/>
    <w:basedOn w:val="DefaultParagraphFont"/>
    <w:link w:val="Quote"/>
    <w:uiPriority w:val="29"/>
    <w:rsid w:val="00D04169"/>
    <w:rPr>
      <w:i/>
      <w:iCs/>
      <w:color w:val="404040" w:themeColor="text1" w:themeTint="BF"/>
    </w:rPr>
  </w:style>
  <w:style w:type="paragraph" w:styleId="ListParagraph">
    <w:name w:val="List Paragraph"/>
    <w:basedOn w:val="Normal"/>
    <w:uiPriority w:val="34"/>
    <w:qFormat/>
    <w:rsid w:val="00D04169"/>
    <w:pPr>
      <w:ind w:left="720"/>
      <w:contextualSpacing/>
    </w:pPr>
  </w:style>
  <w:style w:type="character" w:styleId="IntenseEmphasis">
    <w:name w:val="Intense Emphasis"/>
    <w:basedOn w:val="DefaultParagraphFont"/>
    <w:uiPriority w:val="21"/>
    <w:qFormat/>
    <w:rsid w:val="00D04169"/>
    <w:rPr>
      <w:i/>
      <w:iCs/>
      <w:color w:val="0F4761" w:themeColor="accent1" w:themeShade="BF"/>
    </w:rPr>
  </w:style>
  <w:style w:type="paragraph" w:styleId="IntenseQuote">
    <w:name w:val="Intense Quote"/>
    <w:basedOn w:val="Normal"/>
    <w:next w:val="Normal"/>
    <w:link w:val="IntenseQuoteChar"/>
    <w:uiPriority w:val="30"/>
    <w:qFormat/>
    <w:rsid w:val="00D04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169"/>
    <w:rPr>
      <w:i/>
      <w:iCs/>
      <w:color w:val="0F4761" w:themeColor="accent1" w:themeShade="BF"/>
    </w:rPr>
  </w:style>
  <w:style w:type="character" w:styleId="IntenseReference">
    <w:name w:val="Intense Reference"/>
    <w:basedOn w:val="DefaultParagraphFont"/>
    <w:uiPriority w:val="32"/>
    <w:qFormat/>
    <w:rsid w:val="00D04169"/>
    <w:rPr>
      <w:b/>
      <w:bCs/>
      <w:smallCaps/>
      <w:color w:val="0F4761" w:themeColor="accent1" w:themeShade="BF"/>
      <w:spacing w:val="5"/>
    </w:rPr>
  </w:style>
  <w:style w:type="character" w:styleId="Hyperlink">
    <w:name w:val="Hyperlink"/>
    <w:basedOn w:val="DefaultParagraphFont"/>
    <w:uiPriority w:val="99"/>
    <w:unhideWhenUsed/>
    <w:rsid w:val="00D04169"/>
    <w:rPr>
      <w:color w:val="467886" w:themeColor="hyperlink"/>
      <w:u w:val="single"/>
    </w:rPr>
  </w:style>
  <w:style w:type="character" w:styleId="UnresolvedMention">
    <w:name w:val="Unresolved Mention"/>
    <w:basedOn w:val="DefaultParagraphFont"/>
    <w:uiPriority w:val="99"/>
    <w:semiHidden/>
    <w:unhideWhenUsed/>
    <w:rsid w:val="00D041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cielo.br/j/rbcpol/a/xKt5hWwZFChwrbtfZxTGXKf/?format=pdf&amp;lang=pt" TargetMode="External"/><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bb1cb08ac5d581529d2f5b013dd7306">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797fdc9064ab6522c1153dd1fdaef66"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National mechanism</Category>
    <Filename xmlns="d42e65b2-cf21-49c1-b27d-d23f90380c0e" xsi:nil="true"/>
    <Doctype xmlns="d42e65b2-cf21-49c1-b27d-d23f90380c0e">input</Doctype>
    <Contributor xmlns="d42e65b2-cf21-49c1-b27d-d23f90380c0e">Federal Public Defender’s Office of Brazil</Contributor>
  </documentManagement>
</p:properties>
</file>

<file path=customXml/itemProps1.xml><?xml version="1.0" encoding="utf-8"?>
<ds:datastoreItem xmlns:ds="http://schemas.openxmlformats.org/officeDocument/2006/customXml" ds:itemID="{AD7BCB92-A415-40D0-9479-2CA2F3D91910}"/>
</file>

<file path=customXml/itemProps2.xml><?xml version="1.0" encoding="utf-8"?>
<ds:datastoreItem xmlns:ds="http://schemas.openxmlformats.org/officeDocument/2006/customXml" ds:itemID="{BC050922-EF1A-4179-A567-3F9829D3188E}"/>
</file>

<file path=customXml/itemProps3.xml><?xml version="1.0" encoding="utf-8"?>
<ds:datastoreItem xmlns:ds="http://schemas.openxmlformats.org/officeDocument/2006/customXml" ds:itemID="{C7C04815-FB65-4835-8FC4-749E49365588}"/>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1395</Words>
  <Characters>7957</Characters>
  <Application>Microsoft Office Word</Application>
  <DocSecurity>4</DocSecurity>
  <Lines>66</Lines>
  <Paragraphs>18</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Lívia Guimarães Padilha</dc:creator>
  <cp:keywords/>
  <dc:description/>
  <cp:lastModifiedBy>Jorge Araya</cp:lastModifiedBy>
  <cp:revision>2</cp:revision>
  <dcterms:created xsi:type="dcterms:W3CDTF">2025-10-17T07:10:00Z</dcterms:created>
  <dcterms:modified xsi:type="dcterms:W3CDTF">2025-10-17T07:10:00Z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