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EA8AC" w14:textId="484BCC29" w:rsidR="005D702F" w:rsidRPr="001A6D3B" w:rsidRDefault="005D702F" w:rsidP="00A90270">
      <w:pPr>
        <w:pStyle w:val="HMG"/>
        <w:ind w:right="0" w:hanging="283"/>
        <w:jc w:val="center"/>
        <w:rPr>
          <w:color w:val="548DD4" w:themeColor="text2" w:themeTint="99"/>
          <w:lang w:val="es-ES"/>
        </w:rPr>
      </w:pPr>
      <w:r w:rsidRPr="001A6D3B">
        <w:rPr>
          <w:color w:val="548DD4" w:themeColor="text2" w:themeTint="99"/>
          <w:lang w:val="es-ES"/>
        </w:rPr>
        <w:t>Llamado a contribuciones:</w:t>
      </w:r>
    </w:p>
    <w:p w14:paraId="175643A5" w14:textId="7BAB3572" w:rsidR="00A90270" w:rsidRPr="00A63206" w:rsidRDefault="00437C73" w:rsidP="00A90270">
      <w:pPr>
        <w:pStyle w:val="HMG"/>
        <w:ind w:right="0" w:hanging="283"/>
        <w:jc w:val="center"/>
        <w:rPr>
          <w:lang w:val="es-ES"/>
        </w:rPr>
      </w:pPr>
      <w:r>
        <w:rPr>
          <w:highlight w:val="yellow"/>
          <w:lang w:val="es-ES"/>
        </w:rPr>
        <w:t xml:space="preserve">Proyecto de </w:t>
      </w:r>
      <w:r w:rsidR="00A90270" w:rsidRPr="00437C73">
        <w:rPr>
          <w:highlight w:val="yellow"/>
          <w:lang w:val="es-ES"/>
        </w:rPr>
        <w:t>Observación general</w:t>
      </w:r>
      <w:r>
        <w:rPr>
          <w:highlight w:val="yellow"/>
          <w:lang w:val="es-ES"/>
        </w:rPr>
        <w:t xml:space="preserve"> del Comité contra la Desaparición Forzada</w:t>
      </w:r>
      <w:r w:rsidR="00A90270" w:rsidRPr="00437C73">
        <w:rPr>
          <w:highlight w:val="yellow"/>
          <w:lang w:val="es-ES"/>
        </w:rPr>
        <w:t xml:space="preserve"> sobre mujeres, niñas y desaparición forzada</w:t>
      </w:r>
    </w:p>
    <w:p w14:paraId="7CA43F64" w14:textId="77777777" w:rsidR="0091088A" w:rsidRDefault="005D702F" w:rsidP="0091088A">
      <w:pPr>
        <w:pStyle w:val="HChG"/>
        <w:rPr>
          <w:lang w:val="es-ES"/>
        </w:rPr>
      </w:pPr>
      <w:r>
        <w:rPr>
          <w:lang w:val="es-ES"/>
        </w:rPr>
        <w:tab/>
      </w:r>
      <w:r>
        <w:rPr>
          <w:lang w:val="es-ES"/>
        </w:rPr>
        <w:tab/>
      </w:r>
      <w:r w:rsidR="00910E71" w:rsidRPr="00910E71">
        <w:rPr>
          <w:lang w:val="es-ES"/>
        </w:rPr>
        <w:t xml:space="preserve">En su 27º periodo de sesiones, el Comité contra la Desaparición Forzada decidió elaborar un proyecto de observación general sobre las mujeres, las niñas y las desapariciones forzadas. </w:t>
      </w:r>
    </w:p>
    <w:p w14:paraId="72C14C7A" w14:textId="77777777" w:rsidR="0091088A" w:rsidRDefault="0091088A" w:rsidP="0091088A">
      <w:pPr>
        <w:pStyle w:val="HChG"/>
        <w:rPr>
          <w:lang w:val="es-ES"/>
        </w:rPr>
      </w:pPr>
      <w:r>
        <w:rPr>
          <w:lang w:val="es-ES"/>
        </w:rPr>
        <w:tab/>
      </w:r>
      <w:r>
        <w:rPr>
          <w:lang w:val="es-ES"/>
        </w:rPr>
        <w:tab/>
      </w:r>
      <w:r w:rsidR="00910E71" w:rsidRPr="00910E71">
        <w:rPr>
          <w:lang w:val="es-ES"/>
        </w:rPr>
        <w:t>En su 28ª sesión, el Comité adoptó la nota conceptual que se presenta a continuación</w:t>
      </w:r>
      <w:r>
        <w:rPr>
          <w:lang w:val="es-ES"/>
        </w:rPr>
        <w:t>,</w:t>
      </w:r>
      <w:r w:rsidR="00910E71" w:rsidRPr="00910E71">
        <w:rPr>
          <w:lang w:val="es-ES"/>
        </w:rPr>
        <w:t xml:space="preserve"> e invita ahora a todas las partes interesadas a enviar contribuciones por escrito </w:t>
      </w:r>
      <w:r w:rsidR="00910E71" w:rsidRPr="0006655B">
        <w:rPr>
          <w:highlight w:val="yellow"/>
          <w:lang w:val="es-ES"/>
        </w:rPr>
        <w:t>sobre las cuestiones planteadas en dicha nota</w:t>
      </w:r>
      <w:r w:rsidR="00910E71" w:rsidRPr="00910E71">
        <w:rPr>
          <w:lang w:val="es-ES"/>
        </w:rPr>
        <w:t xml:space="preserve">. </w:t>
      </w:r>
    </w:p>
    <w:p w14:paraId="7B7983B0" w14:textId="77777777" w:rsidR="0091088A" w:rsidRDefault="0091088A" w:rsidP="0091088A">
      <w:pPr>
        <w:pStyle w:val="HChG"/>
        <w:rPr>
          <w:lang w:val="es-ES"/>
        </w:rPr>
      </w:pPr>
      <w:r>
        <w:rPr>
          <w:lang w:val="es-ES"/>
        </w:rPr>
        <w:tab/>
      </w:r>
      <w:r>
        <w:rPr>
          <w:lang w:val="es-ES"/>
        </w:rPr>
        <w:tab/>
      </w:r>
      <w:r w:rsidR="00910E71" w:rsidRPr="00910E71">
        <w:rPr>
          <w:lang w:val="es-ES"/>
        </w:rPr>
        <w:t>Por lo tanto, les invitamos a enviar contribuciones concisas, precisas y acompañadas de ejemplos concretos que identifiquen tendencias y cuestiones específicas relevantes en</w:t>
      </w:r>
      <w:r>
        <w:rPr>
          <w:lang w:val="es-ES"/>
        </w:rPr>
        <w:t xml:space="preserve"> las</w:t>
      </w:r>
      <w:r w:rsidR="00910E71" w:rsidRPr="00910E71">
        <w:rPr>
          <w:lang w:val="es-ES"/>
        </w:rPr>
        <w:t xml:space="preserve"> diferentes regiones del mundo.</w:t>
      </w:r>
    </w:p>
    <w:p w14:paraId="7C82F6DD" w14:textId="0D198D10" w:rsidR="005D702F" w:rsidRDefault="0091088A" w:rsidP="0091088A">
      <w:pPr>
        <w:pStyle w:val="HChG"/>
        <w:rPr>
          <w:lang w:val="es-ES"/>
        </w:rPr>
      </w:pPr>
      <w:r>
        <w:rPr>
          <w:lang w:val="es-ES"/>
        </w:rPr>
        <w:tab/>
      </w:r>
      <w:r>
        <w:rPr>
          <w:lang w:val="es-ES"/>
        </w:rPr>
        <w:tab/>
      </w:r>
      <w:r w:rsidR="00910E71" w:rsidRPr="00910E71">
        <w:rPr>
          <w:lang w:val="es-ES"/>
        </w:rPr>
        <w:t xml:space="preserve">Las contribuciones deberán tener una extensión máxima de 7.000 palabras y enviarse antes del </w:t>
      </w:r>
      <w:r w:rsidR="00910E71" w:rsidRPr="0091088A">
        <w:rPr>
          <w:highlight w:val="yellow"/>
          <w:lang w:val="es-ES"/>
        </w:rPr>
        <w:t>15 de julio de 2025</w:t>
      </w:r>
      <w:r w:rsidR="00910E71" w:rsidRPr="00910E71">
        <w:rPr>
          <w:lang w:val="es-ES"/>
        </w:rPr>
        <w:t xml:space="preserve"> a la siguiente dirección de correo electrónico: </w:t>
      </w:r>
      <w:hyperlink r:id="rId10" w:history="1">
        <w:r w:rsidRPr="00CA7FDE">
          <w:rPr>
            <w:rStyle w:val="Hyperlink"/>
            <w:lang w:val="es-ES"/>
          </w:rPr>
          <w:t>ohchr-ced@un.org</w:t>
        </w:r>
      </w:hyperlink>
      <w:r>
        <w:rPr>
          <w:lang w:val="es-ES"/>
        </w:rPr>
        <w:t xml:space="preserve"> </w:t>
      </w:r>
    </w:p>
    <w:p w14:paraId="4D2E8C1D" w14:textId="47456D5A" w:rsidR="005D702F" w:rsidRPr="001A6D3B" w:rsidRDefault="005D702F" w:rsidP="005D702F">
      <w:pPr>
        <w:pStyle w:val="HMG"/>
        <w:ind w:right="0" w:hanging="283"/>
        <w:jc w:val="center"/>
        <w:rPr>
          <w:color w:val="548DD4" w:themeColor="text2" w:themeTint="99"/>
          <w:lang w:val="es-ES"/>
        </w:rPr>
      </w:pPr>
      <w:r w:rsidRPr="001A6D3B">
        <w:rPr>
          <w:color w:val="548DD4" w:themeColor="text2" w:themeTint="99"/>
          <w:lang w:val="es-ES"/>
        </w:rPr>
        <w:t>Nota conceptual</w:t>
      </w:r>
    </w:p>
    <w:p w14:paraId="5A83E21C" w14:textId="1D3CCD39" w:rsidR="00A90270" w:rsidRPr="00A63206" w:rsidRDefault="00A90270" w:rsidP="00A90270">
      <w:pPr>
        <w:pStyle w:val="HChG"/>
        <w:rPr>
          <w:lang w:val="es-ES"/>
        </w:rPr>
      </w:pPr>
      <w:r>
        <w:rPr>
          <w:lang w:val="es-ES"/>
        </w:rPr>
        <w:tab/>
        <w:t>I.</w:t>
      </w:r>
      <w:r>
        <w:rPr>
          <w:lang w:val="es-ES"/>
        </w:rPr>
        <w:tab/>
      </w:r>
      <w:r w:rsidRPr="00A63206">
        <w:rPr>
          <w:lang w:val="es-ES"/>
        </w:rPr>
        <w:t>Introducción</w:t>
      </w:r>
    </w:p>
    <w:p w14:paraId="505DB75A" w14:textId="77777777" w:rsidR="00A90270" w:rsidRPr="00A90270" w:rsidRDefault="00A90270" w:rsidP="00A90270">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s-ES"/>
        </w:rPr>
      </w:pPr>
      <w:r w:rsidRPr="00A90270">
        <w:rPr>
          <w:lang w:val="es-ES"/>
        </w:rPr>
        <w:t>La desaparición forzada ha pasado de ser una práctica estatal encubierta, a un crimen internacionalmente reconocido y condenado. Lejos de disminuir, su práctica se extiende por todo el mundo y son miles las personas víctimas de este horrendo crimen que agravia a la conciencia humana y la dignidad de las personas. La desaparición forzada y su impacto en las mujeres y las niñas presenta dos dimensiones interconectadas. Por un lado, están las mujeres y las niñas que han sido desaparecidas, cuya victimización puede responder a patrones específicos vinculados a su género. Por otro lado, están las mujeres que buscan a sus seres queridos, emprendiendo una lucha por la verdad y la justicia. Ambas dimensiones evidencian cómo la desaparición forzada no solo afecta de manera diferenciada a las mujeres y a las niñas, sino que también refuerza estructuras de violencia de género y control social en la condición de mujer.</w:t>
      </w:r>
    </w:p>
    <w:p w14:paraId="6560B1E0" w14:textId="77777777" w:rsidR="00A90270" w:rsidRDefault="00A90270" w:rsidP="00A90270">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s-ES"/>
        </w:rPr>
      </w:pPr>
      <w:r w:rsidRPr="00A90270">
        <w:rPr>
          <w:color w:val="000000"/>
          <w:sz w:val="22"/>
          <w:szCs w:val="22"/>
          <w:lang w:val="es-ES"/>
        </w:rPr>
        <w:t>Las desapariciones de mujeres son una de las manifestaciones más brutales de la violencia por motivos de género</w:t>
      </w:r>
      <w:r w:rsidRPr="00A63206">
        <w:rPr>
          <w:color w:val="000000"/>
          <w:sz w:val="22"/>
          <w:szCs w:val="22"/>
          <w:vertAlign w:val="superscript"/>
          <w:lang w:val="es-ES"/>
        </w:rPr>
        <w:endnoteReference w:id="2"/>
      </w:r>
      <w:r w:rsidRPr="00A90270">
        <w:rPr>
          <w:color w:val="000000"/>
          <w:sz w:val="22"/>
          <w:szCs w:val="22"/>
          <w:lang w:val="es-ES"/>
        </w:rPr>
        <w:t>. La desaparición forzada de mujeres responde a dinámicas específicas que la distinguen de la desaparición de los hombres. Junto con otras violaciones graves de los derechos humanos, la desaparición forzada contribuye al deterioro de las condiciones de vida de las víctimas, generando miedo, angustia, pobreza, violencia, múltiples formas de discriminación y la restricción o negación de sus derechos humanos</w:t>
      </w:r>
      <w:r w:rsidRPr="00A63206">
        <w:rPr>
          <w:color w:val="000000"/>
          <w:sz w:val="22"/>
          <w:szCs w:val="22"/>
          <w:vertAlign w:val="superscript"/>
          <w:lang w:val="es-ES"/>
        </w:rPr>
        <w:endnoteReference w:id="3"/>
      </w:r>
      <w:r w:rsidRPr="00A90270">
        <w:rPr>
          <w:color w:val="000000"/>
          <w:sz w:val="22"/>
          <w:szCs w:val="22"/>
          <w:lang w:val="es-ES"/>
        </w:rPr>
        <w:t xml:space="preserve">. Si bien estas consecuencias psicosociales y socioeconómicas afectan a todas las personas, independientemente de su </w:t>
      </w:r>
      <w:r w:rsidRPr="00A90270">
        <w:rPr>
          <w:color w:val="000000"/>
          <w:sz w:val="22"/>
          <w:szCs w:val="22"/>
          <w:lang w:val="es-ES"/>
        </w:rPr>
        <w:lastRenderedPageBreak/>
        <w:t>género, su impacto en las mujeres y las niñas puede ser aún más exacerbado. En efecto, según el contexto cultural, tradicional o religioso, este crimen puede convertirse en un estigma tan fuerte que, incluso si las mujeres desaparecidas forzadamente son encontradas con vida, corren el riesgo de ser rechazadas por sus familias y comunidades</w:t>
      </w:r>
      <w:r w:rsidRPr="00A63206">
        <w:rPr>
          <w:color w:val="000000"/>
          <w:sz w:val="22"/>
          <w:szCs w:val="22"/>
          <w:vertAlign w:val="superscript"/>
          <w:lang w:val="es-ES"/>
        </w:rPr>
        <w:endnoteReference w:id="4"/>
      </w:r>
      <w:r w:rsidRPr="00A90270">
        <w:rPr>
          <w:color w:val="000000"/>
          <w:sz w:val="22"/>
          <w:szCs w:val="22"/>
          <w:lang w:val="es-ES"/>
        </w:rPr>
        <w:t>, o incluso de ser asesinadas en nombre del honor</w:t>
      </w:r>
      <w:r w:rsidRPr="00A63206">
        <w:rPr>
          <w:color w:val="000000"/>
          <w:sz w:val="22"/>
          <w:szCs w:val="22"/>
          <w:vertAlign w:val="superscript"/>
          <w:lang w:val="es-ES"/>
        </w:rPr>
        <w:endnoteReference w:id="5"/>
      </w:r>
      <w:r w:rsidRPr="00A90270">
        <w:rPr>
          <w:color w:val="000000"/>
          <w:sz w:val="22"/>
          <w:szCs w:val="22"/>
          <w:lang w:val="es-ES"/>
        </w:rPr>
        <w:t xml:space="preserve">. </w:t>
      </w:r>
    </w:p>
    <w:p w14:paraId="484FD2D4" w14:textId="77777777" w:rsidR="00A90270" w:rsidRDefault="00A90270" w:rsidP="00A90270">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s-ES"/>
        </w:rPr>
      </w:pPr>
      <w:r w:rsidRPr="00A90270">
        <w:rPr>
          <w:color w:val="000000"/>
          <w:sz w:val="22"/>
          <w:szCs w:val="22"/>
          <w:lang w:val="es-ES"/>
        </w:rPr>
        <w:t>Los hombres representan la mayoría de las víctimas de desapariciones forzadas y las repercusiones de este crimen sobre sus familias son significativas, ya que provocan una desestructuración del núcleo familiar y generan consecuencias de orden económico, social y psicológico. En este sentido, las mujeres que enfrentan la desaparición de un familiar pueden experimentar impactos diferenciados y exacerbados por la intersección de múltiples formas de discriminación como su pertenencia a grupos en situación de marginalización estructural: los pueblos indígenas, las comunidades afrodescendientes, las personas migrantes, refugiadas, solicitantes de asilo o con discapacidad. Las mujeres y niñas lesbianas, bisexuales, trans o intersexuales</w:t>
      </w:r>
      <w:r w:rsidRPr="00A63206">
        <w:rPr>
          <w:color w:val="000000"/>
          <w:sz w:val="22"/>
          <w:szCs w:val="22"/>
          <w:vertAlign w:val="superscript"/>
          <w:lang w:val="es-ES"/>
        </w:rPr>
        <w:endnoteReference w:id="6"/>
      </w:r>
      <w:r w:rsidRPr="00A90270">
        <w:rPr>
          <w:color w:val="000000"/>
          <w:sz w:val="22"/>
          <w:szCs w:val="22"/>
          <w:lang w:val="es-ES"/>
        </w:rPr>
        <w:t>, así como aquellas en condiciones de vulnerabilidad socioeconómica, o pertenencia a minorías étnicas o religiosas también pueden enfrentar obstáculos y violencias derivadas de la intersección de múltiples factores de discriminación</w:t>
      </w:r>
      <w:r w:rsidRPr="00A63206">
        <w:rPr>
          <w:color w:val="000000"/>
          <w:sz w:val="22"/>
          <w:szCs w:val="22"/>
          <w:vertAlign w:val="superscript"/>
          <w:lang w:val="es-ES"/>
        </w:rPr>
        <w:endnoteReference w:id="7"/>
      </w:r>
      <w:r w:rsidRPr="00A90270">
        <w:rPr>
          <w:color w:val="000000"/>
          <w:sz w:val="22"/>
          <w:szCs w:val="22"/>
          <w:lang w:val="es-ES"/>
        </w:rPr>
        <w:t xml:space="preserve">. </w:t>
      </w:r>
    </w:p>
    <w:p w14:paraId="2431B23D" w14:textId="77777777" w:rsidR="00A90270" w:rsidRDefault="00A90270" w:rsidP="00A90270">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s-ES"/>
        </w:rPr>
      </w:pPr>
      <w:r w:rsidRPr="00A90270">
        <w:rPr>
          <w:color w:val="000000"/>
          <w:sz w:val="22"/>
          <w:szCs w:val="22"/>
          <w:lang w:val="es-ES"/>
        </w:rPr>
        <w:t>En contextos de conflictos armados</w:t>
      </w:r>
      <w:r w:rsidRPr="00A63206">
        <w:rPr>
          <w:color w:val="000000"/>
          <w:sz w:val="22"/>
          <w:szCs w:val="22"/>
          <w:vertAlign w:val="superscript"/>
          <w:lang w:val="es-ES"/>
        </w:rPr>
        <w:endnoteReference w:id="8"/>
      </w:r>
      <w:r w:rsidRPr="00A90270">
        <w:rPr>
          <w:color w:val="000000"/>
          <w:sz w:val="22"/>
          <w:szCs w:val="22"/>
          <w:lang w:val="es-ES"/>
        </w:rPr>
        <w:t xml:space="preserve">, de violencia política y gobiernos </w:t>
      </w:r>
      <w:proofErr w:type="gramStart"/>
      <w:r w:rsidRPr="00A90270">
        <w:rPr>
          <w:color w:val="000000"/>
          <w:sz w:val="22"/>
          <w:szCs w:val="22"/>
          <w:lang w:val="es-ES"/>
        </w:rPr>
        <w:t>autoritarios  las</w:t>
      </w:r>
      <w:proofErr w:type="gramEnd"/>
      <w:r w:rsidRPr="00A90270">
        <w:rPr>
          <w:color w:val="000000"/>
          <w:sz w:val="22"/>
          <w:szCs w:val="22"/>
          <w:lang w:val="es-ES"/>
        </w:rPr>
        <w:t xml:space="preserve"> personas desaparecidas forzadamente suelen ser víctimas de otras violaciones de derechos humanos tales como la tortura y/o ejecución extrajudicial. Las mujeres y niñas desaparecidas forzadamente pueden ser también objeto de otras formas de violencia especificas relacionadas con su condición de mujeres, tales como embarazos, abortos y esterilizaciones forzadas, y otras formas de violencia reproductiva que afectan su autonomía y su calidad de vida de manera diferenciada. Debido a su rol reproductivo y su condición de madres, sus hijos e hijas nacidos en cautiverio son frecuentemente entregados a sus represores o sometidos a adopciones ilegales en el ámbito nacional y/o internacional, privándolos así de su derecho a preservar su identidad</w:t>
      </w:r>
      <w:r w:rsidRPr="00A63206">
        <w:rPr>
          <w:color w:val="000000"/>
          <w:sz w:val="22"/>
          <w:szCs w:val="22"/>
          <w:vertAlign w:val="superscript"/>
          <w:lang w:val="es-ES"/>
        </w:rPr>
        <w:endnoteReference w:id="9"/>
      </w:r>
      <w:r w:rsidRPr="00A90270">
        <w:rPr>
          <w:color w:val="000000"/>
          <w:sz w:val="22"/>
          <w:szCs w:val="22"/>
          <w:lang w:val="es-ES"/>
        </w:rPr>
        <w:t>, y a las madres de su derecho a ejercer su maternidad.</w:t>
      </w:r>
    </w:p>
    <w:p w14:paraId="140ECD4B" w14:textId="790DDF05" w:rsidR="00A90270" w:rsidRPr="00A90270" w:rsidRDefault="00A90270" w:rsidP="00A90270">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s-ES"/>
        </w:rPr>
      </w:pPr>
      <w:r w:rsidRPr="00A90270">
        <w:rPr>
          <w:color w:val="000000"/>
          <w:sz w:val="22"/>
          <w:szCs w:val="22"/>
          <w:lang w:val="es-ES"/>
        </w:rPr>
        <w:t>En los últimos años la desaparición forzada de niñas y mujeres ha ido en aumento</w:t>
      </w:r>
      <w:r w:rsidRPr="00A63206">
        <w:rPr>
          <w:color w:val="000000"/>
          <w:sz w:val="22"/>
          <w:szCs w:val="22"/>
          <w:vertAlign w:val="superscript"/>
          <w:lang w:val="es-ES"/>
        </w:rPr>
        <w:endnoteReference w:id="10"/>
      </w:r>
      <w:r w:rsidRPr="00A90270">
        <w:rPr>
          <w:color w:val="000000"/>
          <w:sz w:val="22"/>
          <w:szCs w:val="22"/>
          <w:lang w:val="es-ES"/>
        </w:rPr>
        <w:t>. Con mayor frecuencia, las mujeres y las niñas son víctimas de desaparición forzada por parte de grupos de delincuencia organizada</w:t>
      </w:r>
      <w:r w:rsidRPr="00A63206">
        <w:rPr>
          <w:color w:val="000000"/>
          <w:sz w:val="22"/>
          <w:szCs w:val="22"/>
          <w:vertAlign w:val="superscript"/>
          <w:lang w:val="es-ES"/>
        </w:rPr>
        <w:endnoteReference w:id="11"/>
      </w:r>
      <w:r w:rsidRPr="00A90270">
        <w:rPr>
          <w:color w:val="000000"/>
          <w:sz w:val="22"/>
          <w:szCs w:val="22"/>
          <w:lang w:val="es-ES"/>
        </w:rPr>
        <w:t>, grupos armados ilegales, y paramilitares</w:t>
      </w:r>
      <w:r w:rsidRPr="00A63206">
        <w:rPr>
          <w:color w:val="000000"/>
          <w:sz w:val="22"/>
          <w:szCs w:val="22"/>
          <w:vertAlign w:val="superscript"/>
          <w:lang w:val="es-ES"/>
        </w:rPr>
        <w:endnoteReference w:id="12"/>
      </w:r>
      <w:r w:rsidRPr="00A90270">
        <w:rPr>
          <w:color w:val="000000"/>
          <w:sz w:val="22"/>
          <w:szCs w:val="22"/>
          <w:lang w:val="es-ES"/>
        </w:rPr>
        <w:t xml:space="preserve"> sea como botín de guerra o como instrumento para mantener el control de territorios y poblaciones. La desaparición forzada de mujeres y niñas también </w:t>
      </w:r>
      <w:r w:rsidRPr="00A90270">
        <w:rPr>
          <w:color w:val="000000"/>
          <w:sz w:val="22"/>
          <w:szCs w:val="22"/>
          <w:highlight w:val="white"/>
          <w:lang w:val="es-ES"/>
        </w:rPr>
        <w:t>se ha convertido en un negocio para traficar</w:t>
      </w:r>
      <w:r w:rsidRPr="00A63206">
        <w:rPr>
          <w:color w:val="000000"/>
          <w:sz w:val="22"/>
          <w:szCs w:val="22"/>
          <w:highlight w:val="white"/>
          <w:vertAlign w:val="superscript"/>
          <w:lang w:val="es-ES"/>
        </w:rPr>
        <w:endnoteReference w:id="13"/>
      </w:r>
      <w:r w:rsidRPr="00A90270">
        <w:rPr>
          <w:color w:val="000000"/>
          <w:sz w:val="22"/>
          <w:szCs w:val="22"/>
          <w:highlight w:val="white"/>
          <w:lang w:val="es-ES"/>
        </w:rPr>
        <w:t>, extorsionar, esclavizar, reclutar o vender a las personas, en un mecanismo de castigo, advertencia y limpieza social</w:t>
      </w:r>
      <w:r w:rsidRPr="00A63206">
        <w:rPr>
          <w:color w:val="000000"/>
          <w:sz w:val="22"/>
          <w:szCs w:val="22"/>
          <w:highlight w:val="white"/>
          <w:vertAlign w:val="superscript"/>
          <w:lang w:val="es-ES"/>
        </w:rPr>
        <w:endnoteReference w:id="14"/>
      </w:r>
      <w:r w:rsidRPr="00A90270">
        <w:rPr>
          <w:color w:val="000000"/>
          <w:sz w:val="22"/>
          <w:szCs w:val="22"/>
          <w:highlight w:val="white"/>
          <w:lang w:val="es-ES"/>
        </w:rPr>
        <w:t xml:space="preserve">. Igualmente, las mujeres son desaparecidas </w:t>
      </w:r>
      <w:r w:rsidRPr="00A90270">
        <w:rPr>
          <w:color w:val="000000"/>
          <w:sz w:val="22"/>
          <w:szCs w:val="22"/>
          <w:lang w:val="es-ES"/>
        </w:rPr>
        <w:t>forzadamente</w:t>
      </w:r>
      <w:r w:rsidRPr="00A90270">
        <w:rPr>
          <w:color w:val="000000"/>
          <w:sz w:val="22"/>
          <w:szCs w:val="22"/>
          <w:highlight w:val="white"/>
          <w:lang w:val="es-ES"/>
        </w:rPr>
        <w:t xml:space="preserve"> por</w:t>
      </w:r>
      <w:r w:rsidRPr="00A90270">
        <w:rPr>
          <w:color w:val="000000"/>
          <w:sz w:val="22"/>
          <w:szCs w:val="22"/>
          <w:lang w:val="es-ES"/>
        </w:rPr>
        <w:t xml:space="preserve"> desafiar las normas de género y el poder, por su participación en la esfera pública, por trabajar con víctimas o por participar en la búsqueda de los desaparecidos</w:t>
      </w:r>
      <w:r w:rsidRPr="00A63206">
        <w:rPr>
          <w:color w:val="000000"/>
          <w:sz w:val="22"/>
          <w:szCs w:val="22"/>
          <w:vertAlign w:val="superscript"/>
          <w:lang w:val="es-ES"/>
        </w:rPr>
        <w:endnoteReference w:id="15"/>
      </w:r>
      <w:r w:rsidRPr="00A90270">
        <w:rPr>
          <w:color w:val="000000"/>
          <w:sz w:val="22"/>
          <w:szCs w:val="22"/>
          <w:lang w:val="es-ES"/>
        </w:rPr>
        <w:t xml:space="preserve">.  </w:t>
      </w:r>
    </w:p>
    <w:p w14:paraId="1F89DA5B" w14:textId="1FC8E656" w:rsidR="00A90270" w:rsidRPr="00A63206" w:rsidRDefault="00A90270" w:rsidP="00A90270">
      <w:pPr>
        <w:pStyle w:val="SingleTxtG"/>
        <w:numPr>
          <w:ilvl w:val="0"/>
          <w:numId w:val="18"/>
        </w:numPr>
        <w:pBdr>
          <w:top w:val="nil"/>
          <w:left w:val="nil"/>
          <w:bottom w:val="nil"/>
          <w:right w:val="nil"/>
          <w:between w:val="nil"/>
        </w:pBdr>
        <w:shd w:val="clear" w:color="auto" w:fill="FFFFFF"/>
        <w:tabs>
          <w:tab w:val="left" w:pos="426"/>
        </w:tabs>
        <w:ind w:left="1134" w:right="49" w:firstLine="0"/>
        <w:rPr>
          <w:sz w:val="22"/>
          <w:szCs w:val="22"/>
          <w:lang w:val="es-ES"/>
        </w:rPr>
      </w:pPr>
      <w:r w:rsidRPr="00A63206">
        <w:rPr>
          <w:color w:val="000000"/>
          <w:sz w:val="22"/>
          <w:szCs w:val="22"/>
          <w:lang w:val="es-ES"/>
        </w:rPr>
        <w:t>No existe una cifra cierta sobre el universo de mujeres y niñas desaparecidas forzadamente; esto se debe a que los casos no se denuncian o a que los registros existentes dan cuenta de las desaparici</w:t>
      </w:r>
      <w:r w:rsidRPr="00A63206">
        <w:rPr>
          <w:sz w:val="22"/>
          <w:szCs w:val="22"/>
          <w:lang w:val="es-ES"/>
        </w:rPr>
        <w:t xml:space="preserve">ones </w:t>
      </w:r>
      <w:r w:rsidRPr="00A63206">
        <w:rPr>
          <w:color w:val="000000"/>
          <w:sz w:val="22"/>
          <w:szCs w:val="22"/>
          <w:lang w:val="es-ES"/>
        </w:rPr>
        <w:t>vinculadas a otras formas de violencia de género, entre ellas la violencia sexual, la trata de personas</w:t>
      </w:r>
      <w:r w:rsidRPr="00A63206">
        <w:rPr>
          <w:color w:val="000000"/>
          <w:sz w:val="22"/>
          <w:szCs w:val="22"/>
          <w:vertAlign w:val="superscript"/>
          <w:lang w:val="es-ES"/>
        </w:rPr>
        <w:endnoteReference w:id="16"/>
      </w:r>
      <w:r w:rsidRPr="00A63206">
        <w:rPr>
          <w:color w:val="000000"/>
          <w:sz w:val="22"/>
          <w:szCs w:val="22"/>
          <w:lang w:val="es-ES"/>
        </w:rPr>
        <w:t>, el tráfico ilegal de migrantes</w:t>
      </w:r>
      <w:r w:rsidRPr="00A63206">
        <w:rPr>
          <w:color w:val="000000"/>
          <w:sz w:val="22"/>
          <w:szCs w:val="22"/>
          <w:vertAlign w:val="superscript"/>
          <w:lang w:val="es-ES"/>
        </w:rPr>
        <w:endnoteReference w:id="17"/>
      </w:r>
      <w:r w:rsidRPr="00A63206">
        <w:rPr>
          <w:color w:val="000000"/>
          <w:sz w:val="22"/>
          <w:szCs w:val="22"/>
          <w:lang w:val="es-ES"/>
        </w:rPr>
        <w:t xml:space="preserve"> o los feminicidios/femicidios</w:t>
      </w:r>
      <w:r w:rsidRPr="00A63206">
        <w:rPr>
          <w:color w:val="000000"/>
          <w:sz w:val="22"/>
          <w:szCs w:val="22"/>
          <w:vertAlign w:val="superscript"/>
          <w:lang w:val="es-ES"/>
        </w:rPr>
        <w:endnoteReference w:id="18"/>
      </w:r>
      <w:r w:rsidRPr="00A63206">
        <w:rPr>
          <w:color w:val="000000"/>
          <w:sz w:val="22"/>
          <w:szCs w:val="22"/>
          <w:lang w:val="es-ES"/>
        </w:rPr>
        <w:t>. Cuando se denuncia la desaparición de una mujer o niña suele culparse del delito a la víctima y no al victimario, debido a la influencia de patrones socioculturales patriarcales, discriminatorios</w:t>
      </w:r>
      <w:r w:rsidRPr="00A63206">
        <w:rPr>
          <w:color w:val="000000"/>
          <w:sz w:val="22"/>
          <w:szCs w:val="22"/>
          <w:vertAlign w:val="superscript"/>
          <w:lang w:val="es-ES"/>
        </w:rPr>
        <w:t xml:space="preserve"> </w:t>
      </w:r>
      <w:r w:rsidRPr="00A63206">
        <w:rPr>
          <w:color w:val="000000"/>
          <w:sz w:val="22"/>
          <w:szCs w:val="22"/>
          <w:lang w:val="es-ES"/>
        </w:rPr>
        <w:t>y al uso de estereotipos de género. La investigación y la valoración de la prueba suele verse afectad</w:t>
      </w:r>
      <w:r w:rsidRPr="00A63206">
        <w:rPr>
          <w:sz w:val="22"/>
          <w:szCs w:val="22"/>
          <w:lang w:val="es-ES"/>
        </w:rPr>
        <w:t>o</w:t>
      </w:r>
      <w:r w:rsidRPr="00A63206">
        <w:rPr>
          <w:color w:val="000000"/>
          <w:sz w:val="22"/>
          <w:szCs w:val="22"/>
          <w:vertAlign w:val="superscript"/>
          <w:lang w:val="es-ES"/>
        </w:rPr>
        <w:endnoteReference w:id="19"/>
      </w:r>
      <w:r w:rsidRPr="00A63206">
        <w:rPr>
          <w:color w:val="000000"/>
          <w:sz w:val="22"/>
          <w:szCs w:val="22"/>
          <w:lang w:val="es-ES"/>
        </w:rPr>
        <w:t xml:space="preserve"> ya sea porque los funcionarios judiciales se forman una opinión negativa sobre la credibilidad de las mujeres y niñas víctimas y supervivientes o por su falta de entendimiento sobre el alcance de la violencia de género</w:t>
      </w:r>
      <w:r w:rsidRPr="00A63206">
        <w:rPr>
          <w:color w:val="000000"/>
          <w:sz w:val="22"/>
          <w:szCs w:val="22"/>
          <w:vertAlign w:val="superscript"/>
          <w:lang w:val="es-ES"/>
        </w:rPr>
        <w:endnoteReference w:id="20"/>
      </w:r>
      <w:r w:rsidRPr="00A63206">
        <w:rPr>
          <w:color w:val="000000"/>
          <w:sz w:val="22"/>
          <w:szCs w:val="22"/>
          <w:lang w:val="es-ES"/>
        </w:rPr>
        <w:t xml:space="preserve">. </w:t>
      </w:r>
      <w:r w:rsidRPr="00A63206">
        <w:rPr>
          <w:sz w:val="22"/>
          <w:szCs w:val="22"/>
          <w:lang w:val="es-ES"/>
        </w:rPr>
        <w:t xml:space="preserve">La falta de una respuesta efectiva por parte de las autoridades no solo perpetúa la impunidad, sino que también profundiza el sufrimiento de las familias y contribuye a la aceptación </w:t>
      </w:r>
      <w:r>
        <w:rPr>
          <w:sz w:val="22"/>
          <w:szCs w:val="22"/>
          <w:lang w:val="es-ES"/>
        </w:rPr>
        <w:t xml:space="preserve">y normalización </w:t>
      </w:r>
      <w:r w:rsidRPr="00A63206">
        <w:rPr>
          <w:sz w:val="22"/>
          <w:szCs w:val="22"/>
          <w:lang w:val="es-ES"/>
        </w:rPr>
        <w:t>de las formas más extremas de violencia de género contra las mujeres en la sociedad</w:t>
      </w:r>
      <w:r w:rsidRPr="00A63206">
        <w:rPr>
          <w:sz w:val="22"/>
          <w:szCs w:val="22"/>
          <w:vertAlign w:val="superscript"/>
          <w:lang w:val="es-ES"/>
        </w:rPr>
        <w:endnoteReference w:id="21"/>
      </w:r>
      <w:r w:rsidRPr="00A63206">
        <w:rPr>
          <w:sz w:val="22"/>
          <w:szCs w:val="22"/>
          <w:lang w:val="es-ES"/>
        </w:rPr>
        <w:t>.</w:t>
      </w:r>
    </w:p>
    <w:p w14:paraId="0F9B73CB" w14:textId="4E20285E" w:rsidR="00A90270" w:rsidRPr="00A63206" w:rsidRDefault="00A90270" w:rsidP="00A90270">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s-ES"/>
        </w:rPr>
      </w:pPr>
      <w:r w:rsidRPr="00A63206">
        <w:rPr>
          <w:color w:val="000000"/>
          <w:sz w:val="22"/>
          <w:szCs w:val="22"/>
          <w:lang w:val="es-ES"/>
        </w:rPr>
        <w:t>De otro lado, ante la falta de respuestas efectivas por parte de los Estados y la persistente y flagrante impunidad de las desapariciones forzadas, las mujeres —madres, hijas, esposas, hermanas, tías</w:t>
      </w:r>
      <w:r>
        <w:rPr>
          <w:color w:val="000000"/>
          <w:sz w:val="22"/>
          <w:szCs w:val="22"/>
          <w:lang w:val="es-ES"/>
        </w:rPr>
        <w:t>, abuelas</w:t>
      </w:r>
      <w:r w:rsidRPr="00A63206">
        <w:rPr>
          <w:color w:val="000000"/>
          <w:sz w:val="22"/>
          <w:szCs w:val="22"/>
          <w:lang w:val="es-ES"/>
        </w:rPr>
        <w:t>—, también reconocidas como víctimas</w:t>
      </w:r>
      <w:r w:rsidRPr="00A63206">
        <w:rPr>
          <w:color w:val="000000"/>
          <w:sz w:val="22"/>
          <w:szCs w:val="22"/>
          <w:vertAlign w:val="superscript"/>
          <w:lang w:val="es-ES"/>
        </w:rPr>
        <w:endnoteReference w:id="22"/>
      </w:r>
      <w:r w:rsidRPr="00A63206">
        <w:rPr>
          <w:color w:val="000000"/>
          <w:sz w:val="22"/>
          <w:szCs w:val="22"/>
          <w:lang w:val="es-ES"/>
        </w:rPr>
        <w:t xml:space="preserve">, han roto el silencio y ocupado el espacio público para exigir verdad y justicia. En calles y plazas, alzando las fotografías de sus seres queridos, claman </w:t>
      </w:r>
      <w:r w:rsidRPr="00A63206">
        <w:rPr>
          <w:rFonts w:ascii="Arimo" w:eastAsia="Arimo" w:hAnsi="Arimo" w:cs="Arimo"/>
          <w:color w:val="000000"/>
          <w:sz w:val="22"/>
          <w:szCs w:val="22"/>
          <w:lang w:val="es-ES"/>
        </w:rPr>
        <w:t>‘¿</w:t>
      </w:r>
      <w:r w:rsidRPr="00A63206">
        <w:rPr>
          <w:color w:val="000000"/>
          <w:sz w:val="22"/>
          <w:szCs w:val="22"/>
          <w:lang w:val="es-ES"/>
        </w:rPr>
        <w:t>Dónde están?</w:t>
      </w:r>
      <w:r w:rsidRPr="00A63206">
        <w:rPr>
          <w:rFonts w:ascii="Arimo" w:eastAsia="Arimo" w:hAnsi="Arimo" w:cs="Arimo"/>
          <w:color w:val="000000"/>
          <w:sz w:val="22"/>
          <w:szCs w:val="22"/>
          <w:lang w:val="es-ES"/>
        </w:rPr>
        <w:t xml:space="preserve">’ </w:t>
      </w:r>
      <w:r w:rsidRPr="00A63206">
        <w:rPr>
          <w:color w:val="000000"/>
          <w:sz w:val="22"/>
          <w:szCs w:val="22"/>
          <w:lang w:val="es-ES"/>
        </w:rPr>
        <w:t xml:space="preserve">y reivindican con firmeza que </w:t>
      </w:r>
      <w:r w:rsidRPr="00A63206">
        <w:rPr>
          <w:rFonts w:ascii="Arimo" w:eastAsia="Arimo" w:hAnsi="Arimo" w:cs="Arimo"/>
          <w:color w:val="000000"/>
          <w:sz w:val="22"/>
          <w:szCs w:val="22"/>
          <w:lang w:val="es-ES"/>
        </w:rPr>
        <w:t>‘</w:t>
      </w:r>
      <w:r w:rsidRPr="00A63206">
        <w:rPr>
          <w:color w:val="000000"/>
          <w:sz w:val="22"/>
          <w:szCs w:val="22"/>
          <w:lang w:val="es-ES"/>
        </w:rPr>
        <w:t>Vivos se los llevaron, vivos los queremos</w:t>
      </w:r>
      <w:r w:rsidRPr="00A63206">
        <w:rPr>
          <w:rFonts w:ascii="Arimo" w:eastAsia="Arimo" w:hAnsi="Arimo" w:cs="Arimo"/>
          <w:color w:val="000000"/>
          <w:sz w:val="22"/>
          <w:szCs w:val="22"/>
          <w:lang w:val="es-ES"/>
        </w:rPr>
        <w:t>’</w:t>
      </w:r>
      <w:r w:rsidRPr="00A63206">
        <w:rPr>
          <w:color w:val="000000"/>
          <w:sz w:val="22"/>
          <w:szCs w:val="22"/>
          <w:lang w:val="es-ES"/>
        </w:rPr>
        <w:t>.</w:t>
      </w:r>
      <w:r w:rsidRPr="00A63206">
        <w:rPr>
          <w:b/>
          <w:color w:val="000000"/>
          <w:sz w:val="22"/>
          <w:szCs w:val="22"/>
          <w:lang w:val="es-ES"/>
        </w:rPr>
        <w:t xml:space="preserve"> </w:t>
      </w:r>
      <w:r w:rsidRPr="00A63206">
        <w:rPr>
          <w:color w:val="000000"/>
          <w:sz w:val="22"/>
          <w:szCs w:val="22"/>
          <w:lang w:val="es-ES"/>
        </w:rPr>
        <w:t xml:space="preserve">Esta movilización, marcada por una labor incansable y sostenida en la búsqueda de sus familiares, parece enraizarse en una responsabilidad históricamente </w:t>
      </w:r>
      <w:r w:rsidRPr="00A63206">
        <w:rPr>
          <w:color w:val="000000"/>
          <w:sz w:val="22"/>
          <w:szCs w:val="22"/>
          <w:lang w:val="es-ES"/>
        </w:rPr>
        <w:lastRenderedPageBreak/>
        <w:t xml:space="preserve">asignada a las mujeres como es el sostenimiento de la vida y el cuidado de los otros. No obstante, en ciertos contextos, esta lucha se enfrenta a serias limitaciones </w:t>
      </w:r>
      <w:r>
        <w:rPr>
          <w:color w:val="000000"/>
          <w:sz w:val="22"/>
          <w:szCs w:val="22"/>
          <w:lang w:val="es-ES"/>
        </w:rPr>
        <w:t xml:space="preserve">económicas, sociales y políticas </w:t>
      </w:r>
      <w:r w:rsidRPr="00A63206">
        <w:rPr>
          <w:color w:val="000000"/>
          <w:sz w:val="22"/>
          <w:szCs w:val="22"/>
          <w:lang w:val="es-ES"/>
        </w:rPr>
        <w:t>y obstáculos</w:t>
      </w:r>
      <w:r>
        <w:rPr>
          <w:color w:val="000000"/>
          <w:sz w:val="22"/>
          <w:szCs w:val="22"/>
          <w:lang w:val="es-ES"/>
        </w:rPr>
        <w:t xml:space="preserve"> para acceder a la justicia</w:t>
      </w:r>
      <w:r w:rsidRPr="00A63206">
        <w:rPr>
          <w:color w:val="000000"/>
          <w:sz w:val="22"/>
          <w:szCs w:val="22"/>
          <w:lang w:val="es-ES"/>
        </w:rPr>
        <w:t>, evidenciando las tensiones entre la reivindicación de derechos y las estructuras de poder que perpetúan la impunidad</w:t>
      </w:r>
      <w:r>
        <w:rPr>
          <w:color w:val="000000"/>
          <w:sz w:val="22"/>
          <w:szCs w:val="22"/>
          <w:lang w:val="es-ES"/>
        </w:rPr>
        <w:t xml:space="preserve"> y alienta a la comisión de estos delitos.</w:t>
      </w:r>
      <w:r w:rsidRPr="00A63206" w:rsidDel="00AF0D4F">
        <w:rPr>
          <w:color w:val="000000"/>
          <w:sz w:val="22"/>
          <w:szCs w:val="22"/>
          <w:lang w:val="es-ES"/>
        </w:rPr>
        <w:t xml:space="preserve"> </w:t>
      </w:r>
    </w:p>
    <w:p w14:paraId="32B285DB" w14:textId="4E9891DA" w:rsidR="00A90270" w:rsidRPr="00A63206" w:rsidRDefault="00A90270" w:rsidP="00A90270">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s-ES"/>
        </w:rPr>
      </w:pPr>
      <w:r w:rsidRPr="00A63206">
        <w:rPr>
          <w:color w:val="000000"/>
          <w:sz w:val="22"/>
          <w:szCs w:val="22"/>
          <w:lang w:val="es-ES"/>
        </w:rPr>
        <w:t>Durante la búsqueda, las mujeres enfrentan graves riesgos, sufren discriminación, se les niega u oculta información y, basado en estereotipos de género, las madres, hijas, esposas, hermanas, tías</w:t>
      </w:r>
      <w:r>
        <w:rPr>
          <w:color w:val="000000"/>
          <w:sz w:val="22"/>
          <w:szCs w:val="22"/>
          <w:lang w:val="es-ES"/>
        </w:rPr>
        <w:t xml:space="preserve"> y abuelas</w:t>
      </w:r>
      <w:r w:rsidRPr="00A63206">
        <w:rPr>
          <w:color w:val="000000"/>
          <w:sz w:val="22"/>
          <w:szCs w:val="22"/>
          <w:lang w:val="es-ES"/>
        </w:rPr>
        <w:t xml:space="preserve"> de personas desaparecidas, llamadas comúnmente </w:t>
      </w:r>
      <w:r w:rsidRPr="00A63206">
        <w:rPr>
          <w:rFonts w:ascii="Arimo" w:eastAsia="Arimo" w:hAnsi="Arimo" w:cs="Arimo"/>
          <w:color w:val="000000"/>
          <w:sz w:val="22"/>
          <w:szCs w:val="22"/>
          <w:lang w:val="es-ES"/>
        </w:rPr>
        <w:t>“</w:t>
      </w:r>
      <w:r w:rsidRPr="002960EF">
        <w:rPr>
          <w:rFonts w:eastAsia="Arimo"/>
          <w:color w:val="000000"/>
          <w:sz w:val="22"/>
          <w:szCs w:val="22"/>
          <w:lang w:val="es-ES"/>
        </w:rPr>
        <w:t>mujeres</w:t>
      </w:r>
      <w:r>
        <w:rPr>
          <w:rFonts w:eastAsia="Arimo"/>
          <w:color w:val="000000"/>
          <w:sz w:val="22"/>
          <w:szCs w:val="22"/>
          <w:lang w:val="es-ES"/>
        </w:rPr>
        <w:t xml:space="preserve"> </w:t>
      </w:r>
      <w:r w:rsidRPr="00A63206">
        <w:rPr>
          <w:color w:val="000000"/>
          <w:sz w:val="22"/>
          <w:szCs w:val="22"/>
          <w:lang w:val="es-ES"/>
        </w:rPr>
        <w:t>buscadoras”</w:t>
      </w:r>
      <w:r>
        <w:rPr>
          <w:color w:val="000000"/>
          <w:sz w:val="22"/>
          <w:szCs w:val="22"/>
          <w:lang w:val="es-ES"/>
        </w:rPr>
        <w:t xml:space="preserve"> y también “madres </w:t>
      </w:r>
      <w:proofErr w:type="spellStart"/>
      <w:r>
        <w:rPr>
          <w:color w:val="000000"/>
          <w:sz w:val="22"/>
          <w:szCs w:val="22"/>
          <w:lang w:val="es-ES"/>
        </w:rPr>
        <w:t>bsucadoras</w:t>
      </w:r>
      <w:proofErr w:type="spellEnd"/>
      <w:r>
        <w:rPr>
          <w:color w:val="000000"/>
          <w:sz w:val="22"/>
          <w:szCs w:val="22"/>
          <w:lang w:val="es-ES"/>
        </w:rPr>
        <w:t>”</w:t>
      </w:r>
      <w:r w:rsidRPr="00A63206">
        <w:rPr>
          <w:color w:val="000000"/>
          <w:sz w:val="22"/>
          <w:szCs w:val="22"/>
          <w:lang w:val="es-ES"/>
        </w:rPr>
        <w:t>, suelen ser estigmatizadas. Se les responsabiliza por la desaparición de sus hijos e hijas, cuestionando sus capacidades de crianza y colocándolas como únicas responsables del cuidado de sus hijos e hijas desaparecidos</w:t>
      </w:r>
      <w:r w:rsidRPr="00A63206">
        <w:rPr>
          <w:color w:val="000000"/>
          <w:sz w:val="22"/>
          <w:szCs w:val="22"/>
          <w:vertAlign w:val="superscript"/>
          <w:lang w:val="es-ES"/>
        </w:rPr>
        <w:endnoteReference w:id="23"/>
      </w:r>
      <w:r w:rsidRPr="00A63206">
        <w:rPr>
          <w:color w:val="000000"/>
          <w:sz w:val="22"/>
          <w:szCs w:val="22"/>
          <w:lang w:val="es-ES"/>
        </w:rPr>
        <w:t>. Durante la búsqueda son además intimidadas, atacadas, perseguidas, desplazadas, a menudo se enfrentan a represalias</w:t>
      </w:r>
      <w:r w:rsidRPr="00A63206">
        <w:rPr>
          <w:color w:val="000000"/>
          <w:sz w:val="22"/>
          <w:szCs w:val="22"/>
          <w:vertAlign w:val="superscript"/>
          <w:lang w:val="es-ES"/>
        </w:rPr>
        <w:endnoteReference w:id="24"/>
      </w:r>
      <w:r w:rsidRPr="00A63206">
        <w:rPr>
          <w:color w:val="000000"/>
          <w:sz w:val="22"/>
          <w:szCs w:val="22"/>
          <w:lang w:val="es-ES"/>
        </w:rPr>
        <w:t xml:space="preserve">  y en algunos casos se ven obligadas al exilio</w:t>
      </w:r>
      <w:r w:rsidRPr="00A63206">
        <w:rPr>
          <w:color w:val="000000"/>
          <w:sz w:val="22"/>
          <w:szCs w:val="22"/>
          <w:vertAlign w:val="superscript"/>
          <w:lang w:val="es-ES"/>
        </w:rPr>
        <w:endnoteReference w:id="25"/>
      </w:r>
      <w:r w:rsidRPr="00A63206">
        <w:rPr>
          <w:color w:val="000000"/>
          <w:sz w:val="22"/>
          <w:szCs w:val="22"/>
          <w:lang w:val="es-ES"/>
        </w:rPr>
        <w:t xml:space="preserve">. A medida que avanzan en </w:t>
      </w:r>
      <w:r w:rsidRPr="00A63206">
        <w:rPr>
          <w:sz w:val="22"/>
          <w:szCs w:val="22"/>
          <w:lang w:val="es-ES"/>
        </w:rPr>
        <w:t>la búsqueda</w:t>
      </w:r>
      <w:r w:rsidRPr="00A63206">
        <w:rPr>
          <w:color w:val="000000"/>
          <w:sz w:val="22"/>
          <w:szCs w:val="22"/>
          <w:lang w:val="es-ES"/>
        </w:rPr>
        <w:t>, se convierten en objetivo de los perpetradores y corren el riesgo de ser asesinadas o ellas mismas desaparecidas</w:t>
      </w:r>
      <w:r w:rsidRPr="00A63206">
        <w:rPr>
          <w:color w:val="000000"/>
          <w:sz w:val="22"/>
          <w:szCs w:val="22"/>
          <w:vertAlign w:val="superscript"/>
          <w:lang w:val="es-ES"/>
        </w:rPr>
        <w:endnoteReference w:id="26"/>
      </w:r>
      <w:r w:rsidRPr="00A63206">
        <w:rPr>
          <w:color w:val="000000"/>
          <w:sz w:val="22"/>
          <w:szCs w:val="22"/>
          <w:lang w:val="es-ES"/>
        </w:rPr>
        <w:t xml:space="preserve">.  </w:t>
      </w:r>
    </w:p>
    <w:p w14:paraId="130139D0" w14:textId="09B21210" w:rsidR="00A90270" w:rsidRPr="00A63206" w:rsidRDefault="00A90270" w:rsidP="00A90270">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s-ES"/>
        </w:rPr>
      </w:pPr>
      <w:r w:rsidRPr="00A63206">
        <w:rPr>
          <w:color w:val="000000"/>
          <w:sz w:val="22"/>
          <w:szCs w:val="22"/>
          <w:lang w:val="es-ES"/>
        </w:rPr>
        <w:t xml:space="preserve">Las mujeres afirman que buscan a sus seres queridos para proteger a otros miembros de la familia, principalmente a los hijos e hijas restantes, o en el caso de las abuelas, a </w:t>
      </w:r>
      <w:proofErr w:type="gramStart"/>
      <w:r w:rsidRPr="00A63206">
        <w:rPr>
          <w:color w:val="000000"/>
          <w:sz w:val="22"/>
          <w:szCs w:val="22"/>
          <w:lang w:val="es-ES"/>
        </w:rPr>
        <w:t>los nietos y nietas</w:t>
      </w:r>
      <w:proofErr w:type="gramEnd"/>
      <w:r w:rsidRPr="00A63206">
        <w:rPr>
          <w:color w:val="000000"/>
          <w:sz w:val="22"/>
          <w:szCs w:val="22"/>
          <w:vertAlign w:val="superscript"/>
          <w:lang w:val="es-ES"/>
        </w:rPr>
        <w:endnoteReference w:id="27"/>
      </w:r>
      <w:r w:rsidRPr="00A63206">
        <w:rPr>
          <w:color w:val="000000"/>
          <w:sz w:val="22"/>
          <w:szCs w:val="22"/>
          <w:lang w:val="es-ES"/>
        </w:rPr>
        <w:t>. La búsqueda se convierte en el elemento central de su vida, llevándolas a construir lazos de solidaridad y apoyo que no se limitan al conocimiento de la verdad, los hechos o la certeza del destino de sus familiares, sino que también incluyen la reivindicación del valor de estos</w:t>
      </w:r>
      <w:r w:rsidRPr="00A63206">
        <w:rPr>
          <w:color w:val="000000"/>
          <w:sz w:val="22"/>
          <w:szCs w:val="22"/>
          <w:vertAlign w:val="superscript"/>
          <w:lang w:val="es-ES"/>
        </w:rPr>
        <w:endnoteReference w:id="28"/>
      </w:r>
      <w:r w:rsidRPr="00A63206">
        <w:rPr>
          <w:color w:val="000000"/>
          <w:sz w:val="22"/>
          <w:szCs w:val="22"/>
          <w:lang w:val="es-ES"/>
        </w:rPr>
        <w:t>, a quienes en muchas ocasiones se les señala como presuntos delincuentes, justificando así su desaparición.</w:t>
      </w:r>
      <w:r w:rsidRPr="00A63206">
        <w:rPr>
          <w:b/>
          <w:color w:val="000000"/>
          <w:sz w:val="22"/>
          <w:szCs w:val="22"/>
          <w:lang w:val="es-ES"/>
        </w:rPr>
        <w:t xml:space="preserve"> </w:t>
      </w:r>
    </w:p>
    <w:p w14:paraId="3113A426" w14:textId="77777777" w:rsidR="00A90270" w:rsidRPr="00A63206" w:rsidRDefault="00A90270" w:rsidP="00A90270">
      <w:pPr>
        <w:pBdr>
          <w:top w:val="nil"/>
          <w:left w:val="nil"/>
          <w:bottom w:val="nil"/>
          <w:right w:val="nil"/>
          <w:between w:val="nil"/>
        </w:pBdr>
        <w:tabs>
          <w:tab w:val="left" w:pos="142"/>
          <w:tab w:val="left" w:pos="284"/>
          <w:tab w:val="left" w:pos="567"/>
        </w:tabs>
        <w:ind w:left="2771"/>
        <w:jc w:val="both"/>
        <w:rPr>
          <w:b/>
          <w:color w:val="000000"/>
          <w:sz w:val="22"/>
          <w:szCs w:val="22"/>
          <w:lang w:val="es-ES"/>
        </w:rPr>
      </w:pPr>
    </w:p>
    <w:p w14:paraId="598D1980" w14:textId="1C9FF186" w:rsidR="00A90270" w:rsidRPr="00A63206" w:rsidRDefault="00A90270" w:rsidP="00A90270">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s-ES"/>
        </w:rPr>
      </w:pPr>
      <w:r w:rsidRPr="00A63206">
        <w:rPr>
          <w:color w:val="000000"/>
          <w:sz w:val="22"/>
          <w:szCs w:val="22"/>
          <w:lang w:val="es-ES"/>
        </w:rPr>
        <w:t>Los colectivos de víctimas, las asociaciones de familiares y las mujeres buscadoras desarrollan tanto un trabajo de campo como de incidencia política que, en muchos casos, se extiende más allá de sus fronteras</w:t>
      </w:r>
      <w:r w:rsidRPr="00A63206">
        <w:rPr>
          <w:color w:val="000000"/>
          <w:sz w:val="22"/>
          <w:szCs w:val="22"/>
          <w:vertAlign w:val="superscript"/>
          <w:lang w:val="es-ES"/>
        </w:rPr>
        <w:endnoteReference w:id="29"/>
      </w:r>
      <w:r w:rsidRPr="00A63206">
        <w:rPr>
          <w:color w:val="000000"/>
          <w:sz w:val="22"/>
          <w:szCs w:val="22"/>
          <w:lang w:val="es-ES"/>
        </w:rPr>
        <w:t>. Estos colectivos de mujeres han</w:t>
      </w:r>
      <w:r>
        <w:rPr>
          <w:color w:val="000000"/>
          <w:sz w:val="22"/>
          <w:szCs w:val="22"/>
          <w:lang w:val="es-ES"/>
        </w:rPr>
        <w:t xml:space="preserve"> tenido en algunos contextos un impacto político y han </w:t>
      </w:r>
      <w:r w:rsidRPr="00A63206">
        <w:rPr>
          <w:color w:val="000000"/>
          <w:sz w:val="22"/>
          <w:szCs w:val="22"/>
          <w:lang w:val="es-ES"/>
        </w:rPr>
        <w:t>sido clave en la elaboración de procesos de verdad, justicia, reparación y garantías de no repetición, convirtiéndose en defensoras de derechos humanos</w:t>
      </w:r>
      <w:r>
        <w:rPr>
          <w:color w:val="000000"/>
          <w:sz w:val="22"/>
          <w:szCs w:val="22"/>
          <w:lang w:val="es-ES"/>
        </w:rPr>
        <w:t xml:space="preserve"> y en tal condición son también víctimas de amenazas y represalias</w:t>
      </w:r>
      <w:r w:rsidRPr="00A63206">
        <w:rPr>
          <w:color w:val="000000"/>
          <w:sz w:val="22"/>
          <w:szCs w:val="22"/>
          <w:vertAlign w:val="superscript"/>
          <w:lang w:val="es-ES"/>
        </w:rPr>
        <w:endnoteReference w:id="30"/>
      </w:r>
      <w:r w:rsidRPr="00A63206">
        <w:rPr>
          <w:color w:val="000000"/>
          <w:sz w:val="22"/>
          <w:szCs w:val="22"/>
          <w:lang w:val="es-ES"/>
        </w:rPr>
        <w:t>. Su movilización ha permitido visibilizar la desaparición forzada como un crimen autónomo</w:t>
      </w:r>
      <w:r w:rsidRPr="00A63206">
        <w:rPr>
          <w:color w:val="000000"/>
          <w:sz w:val="22"/>
          <w:szCs w:val="22"/>
          <w:vertAlign w:val="superscript"/>
          <w:lang w:val="es-ES"/>
        </w:rPr>
        <w:endnoteReference w:id="31"/>
      </w:r>
      <w:r w:rsidRPr="00A63206">
        <w:rPr>
          <w:color w:val="000000"/>
          <w:sz w:val="22"/>
          <w:szCs w:val="22"/>
          <w:lang w:val="es-ES"/>
        </w:rPr>
        <w:t>, fortalecer el marco normativo tanto en el ámbito nacional como internacional y desempeñar un papel central en la elaboración de la Convención Internacional para la Protección de Todas las Personas contra las Desapariciones Forzadas</w:t>
      </w:r>
      <w:r w:rsidRPr="00A63206">
        <w:rPr>
          <w:color w:val="000000"/>
          <w:sz w:val="22"/>
          <w:szCs w:val="22"/>
          <w:vertAlign w:val="superscript"/>
          <w:lang w:val="es-ES"/>
        </w:rPr>
        <w:endnoteReference w:id="32"/>
      </w:r>
      <w:r w:rsidRPr="00A63206">
        <w:rPr>
          <w:color w:val="000000"/>
          <w:sz w:val="22"/>
          <w:szCs w:val="22"/>
          <w:lang w:val="es-ES"/>
        </w:rPr>
        <w:t>. Estas mujeres siguen colaborando con los mecanismos internacionales de seguimiento como el GTDFI y el CED, documentando casos y denunciando la impunidad</w:t>
      </w:r>
      <w:r w:rsidRPr="00A63206">
        <w:rPr>
          <w:color w:val="000000"/>
          <w:sz w:val="22"/>
          <w:szCs w:val="22"/>
          <w:vertAlign w:val="superscript"/>
          <w:lang w:val="es-ES"/>
        </w:rPr>
        <w:endnoteReference w:id="33"/>
      </w:r>
      <w:r w:rsidRPr="00A63206">
        <w:rPr>
          <w:color w:val="000000"/>
          <w:sz w:val="22"/>
          <w:szCs w:val="22"/>
          <w:lang w:val="es-ES"/>
        </w:rPr>
        <w:t xml:space="preserve">. </w:t>
      </w:r>
    </w:p>
    <w:p w14:paraId="588C4B64" w14:textId="697EC5D8" w:rsidR="00A90270" w:rsidRPr="00A63206" w:rsidRDefault="00A90270" w:rsidP="00A90270">
      <w:pPr>
        <w:pStyle w:val="SingleTxtG"/>
        <w:numPr>
          <w:ilvl w:val="0"/>
          <w:numId w:val="18"/>
        </w:numPr>
        <w:pBdr>
          <w:top w:val="nil"/>
          <w:left w:val="nil"/>
          <w:bottom w:val="nil"/>
          <w:right w:val="nil"/>
          <w:between w:val="nil"/>
        </w:pBdr>
        <w:shd w:val="clear" w:color="auto" w:fill="FFFFFF"/>
        <w:tabs>
          <w:tab w:val="left" w:pos="426"/>
        </w:tabs>
        <w:ind w:left="1134" w:right="49" w:firstLine="0"/>
        <w:rPr>
          <w:sz w:val="22"/>
          <w:szCs w:val="22"/>
          <w:lang w:val="es-ES"/>
        </w:rPr>
      </w:pPr>
      <w:r w:rsidRPr="00A63206">
        <w:rPr>
          <w:color w:val="000000"/>
          <w:sz w:val="22"/>
          <w:szCs w:val="22"/>
          <w:lang w:val="es-ES"/>
        </w:rPr>
        <w:t>Muchas mujeres, llevan décadas buscando a sus seres queridos desaparecidos, alterando su proyecto de vida para dedicarse por entero a esta tarea</w:t>
      </w:r>
      <w:r w:rsidRPr="00A63206">
        <w:rPr>
          <w:color w:val="000000"/>
          <w:sz w:val="22"/>
          <w:szCs w:val="22"/>
          <w:vertAlign w:val="superscript"/>
          <w:lang w:val="es-ES"/>
        </w:rPr>
        <w:endnoteReference w:id="34"/>
      </w:r>
      <w:r w:rsidRPr="00A63206">
        <w:rPr>
          <w:color w:val="000000"/>
          <w:sz w:val="22"/>
          <w:szCs w:val="22"/>
          <w:lang w:val="es-ES"/>
        </w:rPr>
        <w:t xml:space="preserve"> con graves consecuencias económicas, sociales, físicas y psicológicas para ellas y sus familias. Muchas de ellas envejecen buscando a sus seres queridos y mueren sin encontrarlos, provocando un trauma transgeneracional, pues la búsqueda se convierte en una tarea de sus hijos, hijas y familiares</w:t>
      </w:r>
      <w:r>
        <w:rPr>
          <w:color w:val="000000"/>
          <w:sz w:val="22"/>
          <w:szCs w:val="22"/>
          <w:lang w:val="es-ES"/>
        </w:rPr>
        <w:t xml:space="preserve"> replicándose en ellos el impacto sufrido por sus antecesores</w:t>
      </w:r>
      <w:proofErr w:type="gramStart"/>
      <w:r>
        <w:rPr>
          <w:color w:val="000000"/>
          <w:sz w:val="22"/>
          <w:szCs w:val="22"/>
          <w:lang w:val="es-ES"/>
        </w:rPr>
        <w:t xml:space="preserve">. </w:t>
      </w:r>
      <w:r w:rsidRPr="00A63206">
        <w:rPr>
          <w:color w:val="000000"/>
          <w:sz w:val="22"/>
          <w:szCs w:val="22"/>
          <w:lang w:val="es-ES"/>
        </w:rPr>
        <w:t>.</w:t>
      </w:r>
      <w:proofErr w:type="gramEnd"/>
      <w:r w:rsidRPr="00A63206">
        <w:rPr>
          <w:color w:val="000000"/>
          <w:sz w:val="22"/>
          <w:szCs w:val="22"/>
          <w:lang w:val="es-ES"/>
        </w:rPr>
        <w:t xml:space="preserve"> </w:t>
      </w:r>
    </w:p>
    <w:p w14:paraId="23E18B26" w14:textId="7A823DF8" w:rsidR="00A90270" w:rsidRPr="00A63206" w:rsidRDefault="00A90270" w:rsidP="00A90270">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s-ES"/>
        </w:rPr>
      </w:pPr>
      <w:r w:rsidRPr="00A63206">
        <w:rPr>
          <w:color w:val="000000"/>
          <w:sz w:val="22"/>
          <w:szCs w:val="22"/>
          <w:lang w:val="es-ES"/>
        </w:rPr>
        <w:t xml:space="preserve">El Grupo de Trabajo sobre Desapariciones Forzadas o Involuntarias, </w:t>
      </w:r>
      <w:r w:rsidRPr="00A63206">
        <w:rPr>
          <w:color w:val="000000"/>
          <w:sz w:val="22"/>
          <w:szCs w:val="22"/>
          <w:highlight w:val="white"/>
          <w:lang w:val="es-ES"/>
        </w:rPr>
        <w:t>en su Observación General sobre las mujeres afectadas por desapariciones forzadas (2013) señaló que cuando una mujer o niña es víctima de una desaparición forzada por ser mujer, también es víctima de violencia de género. Asimismo, señaló que es crucial adoptar una perspectiva de género</w:t>
      </w:r>
      <w:r w:rsidRPr="00A63206">
        <w:rPr>
          <w:color w:val="000000"/>
          <w:sz w:val="22"/>
          <w:szCs w:val="22"/>
          <w:lang w:val="es-ES"/>
        </w:rPr>
        <w:t xml:space="preserve"> para explicar, comprender y tratar las desventajas y obstáculos específicos a los que se enfrentan las mujeres a la hora de ejercer sus derechos humanos y esbozar soluciones para intentar abordar estas cuestiones en el marco de las desapariciones forzadas</w:t>
      </w:r>
      <w:r w:rsidRPr="00A63206">
        <w:rPr>
          <w:color w:val="000000"/>
          <w:sz w:val="22"/>
          <w:szCs w:val="22"/>
          <w:vertAlign w:val="superscript"/>
          <w:lang w:val="es-ES"/>
        </w:rPr>
        <w:endnoteReference w:id="35"/>
      </w:r>
      <w:r w:rsidRPr="00A63206">
        <w:rPr>
          <w:color w:val="000000"/>
          <w:sz w:val="22"/>
          <w:szCs w:val="22"/>
          <w:lang w:val="es-ES"/>
        </w:rPr>
        <w:t>.</w:t>
      </w:r>
      <w:r>
        <w:rPr>
          <w:color w:val="000000"/>
          <w:sz w:val="22"/>
          <w:szCs w:val="22"/>
          <w:lang w:val="es-ES"/>
        </w:rPr>
        <w:t xml:space="preserve"> A la luz de la experiencia acumulada por el Comité contra la desaparición forzada (CED), habiendo transcurrido doce años desde la adopción de la Observación General del GTDFI, resulta oportuno ahondar en estos aspectos. </w:t>
      </w:r>
    </w:p>
    <w:p w14:paraId="1464A2B2" w14:textId="0A6E3D64" w:rsidR="00A90270" w:rsidRPr="00A63206" w:rsidRDefault="00A90270" w:rsidP="00A90270">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s-ES"/>
        </w:rPr>
      </w:pPr>
      <w:r w:rsidRPr="00A63206">
        <w:rPr>
          <w:color w:val="000000"/>
          <w:sz w:val="22"/>
          <w:szCs w:val="22"/>
          <w:lang w:val="es-ES"/>
        </w:rPr>
        <w:t>El Comité contra la Desaparición Forzada (CED) desde la entrada en vigor de la Convención Internacional para la protección de todas las personas contra las desapariciones forzadas, ha enfatizado el efecto particularmente cruel de las desapariciones forzadas en las mujeres y niñas y ha recordado a los Estados la necesidad de prestarles especial atención.  A través de sus conclusiones y observaciones finales</w:t>
      </w:r>
      <w:r w:rsidRPr="00A63206">
        <w:rPr>
          <w:color w:val="000000"/>
          <w:sz w:val="22"/>
          <w:szCs w:val="22"/>
          <w:vertAlign w:val="superscript"/>
          <w:lang w:val="es-ES"/>
        </w:rPr>
        <w:endnoteReference w:id="36"/>
      </w:r>
      <w:r w:rsidRPr="00A63206">
        <w:rPr>
          <w:color w:val="000000"/>
          <w:sz w:val="22"/>
          <w:szCs w:val="22"/>
          <w:lang w:val="es-ES"/>
        </w:rPr>
        <w:t>, informes de visitas</w:t>
      </w:r>
      <w:r w:rsidRPr="00A63206">
        <w:rPr>
          <w:color w:val="000000"/>
          <w:sz w:val="22"/>
          <w:szCs w:val="22"/>
          <w:vertAlign w:val="superscript"/>
          <w:lang w:val="es-ES"/>
        </w:rPr>
        <w:endnoteReference w:id="37"/>
      </w:r>
      <w:r w:rsidRPr="00A63206">
        <w:rPr>
          <w:color w:val="000000"/>
          <w:sz w:val="22"/>
          <w:szCs w:val="22"/>
          <w:lang w:val="es-ES"/>
        </w:rPr>
        <w:t xml:space="preserve"> y de acciones urgentes, ha puesto de manifiesto la necesidad de incorporar en la búsqueda una </w:t>
      </w:r>
      <w:r w:rsidRPr="00A63206">
        <w:rPr>
          <w:color w:val="000000"/>
          <w:sz w:val="22"/>
          <w:szCs w:val="22"/>
          <w:lang w:val="es-ES"/>
        </w:rPr>
        <w:lastRenderedPageBreak/>
        <w:t>perspectiva de género y el enfoque diferencial de conformidad con el principio 4 de los Principios Rectores para la Búsqueda de Personas Desaparecidas y que, en los casos de niños desaparecidos, se contemple el respeto del principio del interés superior del niño en todas las etapas del proceso de búsqueda. Además, el CED recordó que, en virtud del derecho internacional, los Estados tienen obligaciones estrictas en materia de debida diligencia cuando se trata de mujeres o niñas, debido al vínculo que la desaparición puede tener con actos de violencia sexual, feminicidio, violencia reproductiva y trata de personas</w:t>
      </w:r>
      <w:r w:rsidRPr="00A63206">
        <w:rPr>
          <w:color w:val="000000"/>
          <w:sz w:val="22"/>
          <w:szCs w:val="22"/>
          <w:vertAlign w:val="superscript"/>
          <w:lang w:val="es-ES"/>
        </w:rPr>
        <w:endnoteReference w:id="38"/>
      </w:r>
      <w:r w:rsidRPr="00A63206">
        <w:rPr>
          <w:color w:val="000000"/>
          <w:sz w:val="22"/>
          <w:szCs w:val="22"/>
          <w:lang w:val="es-ES"/>
        </w:rPr>
        <w:t xml:space="preserve"> entre otros.</w:t>
      </w:r>
    </w:p>
    <w:p w14:paraId="001A47C7" w14:textId="622A8763" w:rsidR="00A90270" w:rsidRPr="00101D84" w:rsidRDefault="00A90270" w:rsidP="00A90270">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s-ES"/>
        </w:rPr>
      </w:pPr>
      <w:r w:rsidRPr="00101D84">
        <w:rPr>
          <w:color w:val="222222"/>
          <w:sz w:val="22"/>
          <w:szCs w:val="22"/>
          <w:shd w:val="clear" w:color="auto" w:fill="FFFFFF"/>
          <w:lang w:val="es-PA"/>
        </w:rPr>
        <w:t xml:space="preserve">El </w:t>
      </w:r>
      <w:proofErr w:type="gramStart"/>
      <w:r w:rsidRPr="00101D84">
        <w:rPr>
          <w:color w:val="222222"/>
          <w:sz w:val="22"/>
          <w:szCs w:val="22"/>
          <w:shd w:val="clear" w:color="auto" w:fill="FFFFFF"/>
          <w:lang w:val="es-PA"/>
        </w:rPr>
        <w:t>Secretario General</w:t>
      </w:r>
      <w:proofErr w:type="gramEnd"/>
      <w:r w:rsidRPr="00101D84">
        <w:rPr>
          <w:color w:val="222222"/>
          <w:sz w:val="22"/>
          <w:szCs w:val="22"/>
          <w:shd w:val="clear" w:color="auto" w:fill="FFFFFF"/>
          <w:lang w:val="es-PA"/>
        </w:rPr>
        <w:t xml:space="preserve"> de las Naciones Unidas, en su Nota de Orientación sobre justicia transicional en el capítulo relativo a la perspectiva de género, subrayó que, en contextos de violaciones manifiestas de los derechos humanos y de infracciones graves del derecho internacional humanitario, la integración de la perspectiva de género no debe limitarse al reconocimiento de las violencias específicas sufridas por mujeres y niñas. </w:t>
      </w:r>
      <w:r w:rsidRPr="00101D84">
        <w:rPr>
          <w:color w:val="000000"/>
          <w:sz w:val="22"/>
          <w:szCs w:val="22"/>
          <w:lang w:val="es-ES"/>
        </w:rPr>
        <w:t xml:space="preserve">Debe además </w:t>
      </w:r>
      <w:r w:rsidRPr="00101D84">
        <w:rPr>
          <w:color w:val="222222"/>
          <w:sz w:val="22"/>
          <w:szCs w:val="22"/>
          <w:shd w:val="clear" w:color="auto" w:fill="FFFFFF"/>
          <w:lang w:val="es-PA"/>
        </w:rPr>
        <w:t>incorporar consideraciones que garanticen su participación plena y significativa en los procesos de justicia transicional, así como un análisis de los patrones sociales que han generado o exacerbado la violencia de género</w:t>
      </w:r>
      <w:r w:rsidRPr="00101D84">
        <w:rPr>
          <w:rFonts w:ascii="Arial" w:hAnsi="Arial" w:cs="Arial"/>
          <w:color w:val="222222"/>
          <w:shd w:val="clear" w:color="auto" w:fill="FFFFFF"/>
          <w:lang w:val="es-PA"/>
        </w:rPr>
        <w:t>.</w:t>
      </w:r>
      <w:r w:rsidRPr="00101D84">
        <w:rPr>
          <w:color w:val="000000"/>
          <w:sz w:val="22"/>
          <w:szCs w:val="22"/>
          <w:vertAlign w:val="superscript"/>
          <w:lang w:val="es-ES"/>
        </w:rPr>
        <w:endnoteReference w:id="39"/>
      </w:r>
      <w:r w:rsidRPr="00101D84">
        <w:rPr>
          <w:color w:val="000000"/>
          <w:sz w:val="22"/>
          <w:szCs w:val="22"/>
          <w:lang w:val="es-ES"/>
        </w:rPr>
        <w:t>.</w:t>
      </w:r>
    </w:p>
    <w:p w14:paraId="3B1741E2" w14:textId="578F2F48" w:rsidR="00A90270" w:rsidRPr="00A63206" w:rsidRDefault="00A90270" w:rsidP="00A90270">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s-ES"/>
        </w:rPr>
      </w:pPr>
      <w:r w:rsidRPr="00A63206">
        <w:rPr>
          <w:color w:val="000000"/>
          <w:sz w:val="22"/>
          <w:szCs w:val="22"/>
          <w:lang w:val="es-ES"/>
        </w:rPr>
        <w:t>El nuevo examen periódico de la Declaración y Plataforma de Acción de Beijing en 2025 (Beijing +30), y el reciente Pacto por el Futuro, acordado por la Asamblea General de las Naciones Unidas, reafirma el compromiso de los Estados de eliminar todas las formas de discriminación y violencia contra las mujeres y las niñas y de emprender acciones para erradicar todas las formas de violencia y acoso contra todas las mujeres y niñas, incluida la violencia sexual y de género</w:t>
      </w:r>
      <w:r w:rsidRPr="00A63206">
        <w:rPr>
          <w:color w:val="000000"/>
          <w:sz w:val="22"/>
          <w:szCs w:val="22"/>
          <w:vertAlign w:val="superscript"/>
          <w:lang w:val="es-ES"/>
        </w:rPr>
        <w:endnoteReference w:id="40"/>
      </w:r>
      <w:r w:rsidRPr="00A63206">
        <w:rPr>
          <w:color w:val="000000"/>
          <w:sz w:val="22"/>
          <w:szCs w:val="22"/>
          <w:lang w:val="es-ES"/>
        </w:rPr>
        <w:t xml:space="preserve">. </w:t>
      </w:r>
    </w:p>
    <w:p w14:paraId="06474174" w14:textId="77777777" w:rsidR="00A90270" w:rsidRPr="00A63206" w:rsidRDefault="00A90270" w:rsidP="00A90270">
      <w:pPr>
        <w:pBdr>
          <w:top w:val="nil"/>
          <w:left w:val="nil"/>
          <w:bottom w:val="nil"/>
          <w:right w:val="nil"/>
          <w:between w:val="nil"/>
        </w:pBdr>
        <w:tabs>
          <w:tab w:val="left" w:pos="142"/>
          <w:tab w:val="left" w:pos="284"/>
          <w:tab w:val="left" w:pos="426"/>
          <w:tab w:val="left" w:pos="567"/>
        </w:tabs>
        <w:ind w:left="32" w:hanging="32"/>
        <w:jc w:val="both"/>
        <w:rPr>
          <w:color w:val="000000"/>
          <w:sz w:val="22"/>
          <w:szCs w:val="22"/>
          <w:lang w:val="es-ES"/>
        </w:rPr>
      </w:pPr>
    </w:p>
    <w:p w14:paraId="76A6B8D5" w14:textId="713BFBF4" w:rsidR="00A90270" w:rsidRPr="00A63206"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s-ES"/>
        </w:rPr>
      </w:pPr>
      <w:r w:rsidRPr="00A63206">
        <w:rPr>
          <w:color w:val="000000"/>
          <w:sz w:val="22"/>
          <w:szCs w:val="22"/>
          <w:lang w:val="es-ES"/>
        </w:rPr>
        <w:t>El reciente Primer Congreso Mundial sobre Desaparición forzada evidenció que las desapariciones forzadas tienen unas profundas dimensiones de género y un impacto diferenciado hacía las mujeres y niñas que debe ser abordado como un imperativo legal bajo el derecho internacional de los derechos humanos</w:t>
      </w:r>
      <w:r w:rsidRPr="00A63206">
        <w:rPr>
          <w:color w:val="000000"/>
          <w:sz w:val="22"/>
          <w:szCs w:val="22"/>
          <w:vertAlign w:val="superscript"/>
          <w:lang w:val="es-ES"/>
        </w:rPr>
        <w:endnoteReference w:id="41"/>
      </w:r>
      <w:r w:rsidRPr="00A63206">
        <w:rPr>
          <w:color w:val="000000"/>
          <w:sz w:val="22"/>
          <w:szCs w:val="22"/>
          <w:lang w:val="es-ES"/>
        </w:rPr>
        <w:t>.</w:t>
      </w:r>
    </w:p>
    <w:p w14:paraId="2B4BC5EE" w14:textId="39275DC0" w:rsidR="00A90270" w:rsidRPr="00A63206" w:rsidRDefault="0055550A" w:rsidP="0016694D">
      <w:pPr>
        <w:pStyle w:val="HChG"/>
        <w:rPr>
          <w:b w:val="0"/>
          <w:lang w:val="es-ES"/>
        </w:rPr>
      </w:pPr>
      <w:r>
        <w:rPr>
          <w:lang w:val="es-ES"/>
        </w:rPr>
        <w:tab/>
        <w:t>II.</w:t>
      </w:r>
      <w:r>
        <w:rPr>
          <w:lang w:val="es-ES"/>
        </w:rPr>
        <w:tab/>
      </w:r>
      <w:r w:rsidR="00A90270" w:rsidRPr="00A63206">
        <w:rPr>
          <w:lang w:val="es-ES"/>
        </w:rPr>
        <w:t xml:space="preserve">Objetivos de la Observación General  </w:t>
      </w:r>
    </w:p>
    <w:p w14:paraId="1778D115" w14:textId="77DA86FB" w:rsidR="00A90270" w:rsidRPr="00A63206"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b/>
          <w:color w:val="000000"/>
          <w:sz w:val="22"/>
          <w:szCs w:val="22"/>
          <w:lang w:val="es-ES"/>
        </w:rPr>
      </w:pPr>
      <w:r w:rsidRPr="00A63206">
        <w:rPr>
          <w:color w:val="000000"/>
          <w:sz w:val="22"/>
          <w:szCs w:val="22"/>
          <w:lang w:val="es-ES"/>
        </w:rPr>
        <w:t xml:space="preserve">El Comité contra la Desaparición Forzada (CED), a través de sus diferentes métodos de trabajo ha observado que la desaparición forzada tiene dimensiones de género que deben ser visibilizadas. La Observación General estará orientada a que i) los casos de desaparición forzada se aborden con perspectiva de género e interseccional; </w:t>
      </w:r>
      <w:proofErr w:type="spellStart"/>
      <w:r w:rsidRPr="00A63206">
        <w:rPr>
          <w:color w:val="000000"/>
          <w:sz w:val="22"/>
          <w:szCs w:val="22"/>
          <w:lang w:val="es-ES"/>
        </w:rPr>
        <w:t>ii</w:t>
      </w:r>
      <w:proofErr w:type="spellEnd"/>
      <w:r w:rsidRPr="00A63206">
        <w:rPr>
          <w:color w:val="000000"/>
          <w:sz w:val="22"/>
          <w:szCs w:val="22"/>
          <w:lang w:val="es-ES"/>
        </w:rPr>
        <w:t xml:space="preserve">) se comprenda y atienda las necesidades específicas de mujeres y niñas al ejercer sus derechos; </w:t>
      </w:r>
      <w:proofErr w:type="spellStart"/>
      <w:r w:rsidRPr="00A63206">
        <w:rPr>
          <w:color w:val="000000"/>
          <w:sz w:val="22"/>
          <w:szCs w:val="22"/>
          <w:lang w:val="es-ES"/>
        </w:rPr>
        <w:t>iii</w:t>
      </w:r>
      <w:proofErr w:type="spellEnd"/>
      <w:r w:rsidRPr="00A63206">
        <w:rPr>
          <w:color w:val="000000"/>
          <w:sz w:val="22"/>
          <w:szCs w:val="22"/>
          <w:lang w:val="es-ES"/>
        </w:rPr>
        <w:t xml:space="preserve">) </w:t>
      </w:r>
      <w:r>
        <w:rPr>
          <w:color w:val="000000"/>
          <w:sz w:val="22"/>
          <w:szCs w:val="22"/>
          <w:lang w:val="es-ES"/>
        </w:rPr>
        <w:t xml:space="preserve">se identifiquen situaciones de particular riesgo para las mujeres y </w:t>
      </w:r>
      <w:proofErr w:type="spellStart"/>
      <w:r>
        <w:rPr>
          <w:color w:val="000000"/>
          <w:sz w:val="22"/>
          <w:szCs w:val="22"/>
          <w:lang w:val="es-ES"/>
        </w:rPr>
        <w:t>iv</w:t>
      </w:r>
      <w:proofErr w:type="spellEnd"/>
      <w:r>
        <w:rPr>
          <w:color w:val="000000"/>
          <w:sz w:val="22"/>
          <w:szCs w:val="22"/>
          <w:lang w:val="es-ES"/>
        </w:rPr>
        <w:t xml:space="preserve">) </w:t>
      </w:r>
      <w:r w:rsidRPr="00A63206">
        <w:rPr>
          <w:color w:val="000000"/>
          <w:sz w:val="22"/>
          <w:szCs w:val="22"/>
          <w:lang w:val="es-ES"/>
        </w:rPr>
        <w:t>se garantice que los recursos prescritos por la Convención Internacional para la Protección de todas las personas contra las desapariciones forzadas estén efectivamente a su disposición.</w:t>
      </w:r>
    </w:p>
    <w:p w14:paraId="58F84E11" w14:textId="7851BAB0" w:rsidR="00A90270" w:rsidRPr="00A63206"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s-ES"/>
        </w:rPr>
      </w:pPr>
      <w:proofErr w:type="gramStart"/>
      <w:r w:rsidRPr="00A63206">
        <w:rPr>
          <w:color w:val="000000"/>
          <w:sz w:val="22"/>
          <w:szCs w:val="22"/>
          <w:lang w:val="es-ES"/>
        </w:rPr>
        <w:t>Igualmente</w:t>
      </w:r>
      <w:proofErr w:type="gramEnd"/>
      <w:r w:rsidRPr="00A63206">
        <w:rPr>
          <w:color w:val="000000"/>
          <w:sz w:val="22"/>
          <w:szCs w:val="22"/>
          <w:lang w:val="es-ES"/>
        </w:rPr>
        <w:t xml:space="preserve"> la Observación General busca apoyar a los Estados a que analicen dichos   impactos diferenciados e identifiquen y reconozcan las circunstancias particulares y las desigualdades interseccionales que afectan su cumplimiento de las obligaciones derivadas de la Convención Internacional para la Protección de Todas las Personas contra las Desapariciones Forzada (CIPPDF).</w:t>
      </w:r>
    </w:p>
    <w:p w14:paraId="181DEE13" w14:textId="0BCD6CB1" w:rsidR="00A90270" w:rsidRPr="00A63206"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s-ES"/>
        </w:rPr>
      </w:pPr>
      <w:r w:rsidRPr="00A63206">
        <w:rPr>
          <w:color w:val="000000"/>
          <w:sz w:val="22"/>
          <w:szCs w:val="22"/>
          <w:lang w:val="es-ES"/>
        </w:rPr>
        <w:t>La Observación general busca destacar la labor de las mujeres en la búsqueda de sus familiares y en consecuencia su reconocimiento como defensoras de derechos humanos y constructoras de paz, a efecto que se garanticen sus derechos y se les brinde protección tomando en consideración sus roles en las distintas sociedades.</w:t>
      </w:r>
    </w:p>
    <w:p w14:paraId="5B70F5DF" w14:textId="156AB3E9" w:rsidR="00A90270" w:rsidRPr="00A63206"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s-ES"/>
        </w:rPr>
      </w:pPr>
      <w:r w:rsidRPr="00A63206">
        <w:rPr>
          <w:color w:val="000000"/>
          <w:sz w:val="22"/>
          <w:szCs w:val="22"/>
          <w:lang w:val="es-ES"/>
        </w:rPr>
        <w:t>Reconociendo que la desaparición forzada de mujeres y niñas constituye una de las formas más extremas de violencia contra la mujer, la Observación general pretende ayudar a los Estados a tomar medidas para su aplicación reforzada de la debida diligencia para prevenir, sancionar y erradicar la desaparición forzada de mujeres y niñas.</w:t>
      </w:r>
    </w:p>
    <w:p w14:paraId="55D64028" w14:textId="758CC404" w:rsidR="00A90270" w:rsidRPr="005D702F" w:rsidRDefault="0055550A" w:rsidP="0016694D">
      <w:pPr>
        <w:pStyle w:val="HChG"/>
        <w:rPr>
          <w:lang w:val="es-419"/>
        </w:rPr>
      </w:pPr>
      <w:r>
        <w:rPr>
          <w:rFonts w:ascii="Garamond" w:eastAsia="Garamond" w:hAnsi="Garamond" w:cs="Garamond"/>
          <w:lang w:val="es-ES"/>
        </w:rPr>
        <w:lastRenderedPageBreak/>
        <w:tab/>
      </w:r>
      <w:r w:rsidR="00A90270" w:rsidRPr="005D702F">
        <w:rPr>
          <w:rFonts w:eastAsia="Garamond"/>
          <w:lang w:val="es-419"/>
        </w:rPr>
        <w:t>III</w:t>
      </w:r>
      <w:r w:rsidR="00A90270" w:rsidRPr="005D702F">
        <w:rPr>
          <w:lang w:val="es-419"/>
        </w:rPr>
        <w:t xml:space="preserve">. </w:t>
      </w:r>
      <w:r w:rsidRPr="005D702F">
        <w:rPr>
          <w:lang w:val="es-419"/>
        </w:rPr>
        <w:tab/>
      </w:r>
      <w:r w:rsidR="00A90270" w:rsidRPr="005D702F">
        <w:rPr>
          <w:lang w:val="es-419"/>
        </w:rPr>
        <w:t>Esquema de la Observación General</w:t>
      </w:r>
    </w:p>
    <w:p w14:paraId="12F11E5B" w14:textId="77777777" w:rsidR="00A90270" w:rsidRPr="00A63206"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s-ES"/>
        </w:rPr>
      </w:pPr>
      <w:r w:rsidRPr="00A63206">
        <w:rPr>
          <w:color w:val="000000"/>
          <w:sz w:val="22"/>
          <w:szCs w:val="22"/>
          <w:lang w:val="es-ES"/>
        </w:rPr>
        <w:t>La estructura y el contenido definitivo de la Observación General serán el resultado de un proceso dirigido por el CED que incluirá consultas regionales, análisis de las contribuciones de Estados, organizaciones de la sociedad civil y personas interesadas. Por lo tanto, lo que se presenta a continuación es una primera propuesta de temas a considerar en la Observación General.</w:t>
      </w:r>
    </w:p>
    <w:p w14:paraId="205D6BE9" w14:textId="2D51405B" w:rsidR="00A90270" w:rsidRPr="00A63206" w:rsidRDefault="0055550A" w:rsidP="0055550A">
      <w:pPr>
        <w:pStyle w:val="H1G"/>
        <w:rPr>
          <w:lang w:val="es-ES"/>
        </w:rPr>
      </w:pPr>
      <w:r>
        <w:rPr>
          <w:lang w:val="es-ES"/>
        </w:rPr>
        <w:tab/>
      </w:r>
      <w:r w:rsidR="00A90270" w:rsidRPr="00A63206">
        <w:rPr>
          <w:lang w:val="es-ES"/>
        </w:rPr>
        <w:t xml:space="preserve">i. </w:t>
      </w:r>
      <w:r>
        <w:rPr>
          <w:lang w:val="es-ES"/>
        </w:rPr>
        <w:tab/>
      </w:r>
      <w:r w:rsidR="00A90270" w:rsidRPr="00A63206">
        <w:rPr>
          <w:lang w:val="es-ES"/>
        </w:rPr>
        <w:t>Prevención</w:t>
      </w:r>
    </w:p>
    <w:p w14:paraId="453AC823" w14:textId="4B354472" w:rsidR="00A90270" w:rsidRPr="00A63206"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s-ES"/>
        </w:rPr>
      </w:pPr>
      <w:r w:rsidRPr="00A63206">
        <w:rPr>
          <w:color w:val="000000"/>
          <w:sz w:val="22"/>
          <w:szCs w:val="22"/>
          <w:lang w:val="es-ES"/>
        </w:rPr>
        <w:t xml:space="preserve">La desaparición forzada de mujeres y niñas no solo representa una grave violación de derechos humanos, sino que también evidencia fallas estructurales en la respuesta estatal ante la violencia de género. </w:t>
      </w:r>
      <w:r>
        <w:rPr>
          <w:color w:val="000000"/>
          <w:sz w:val="22"/>
          <w:szCs w:val="22"/>
          <w:lang w:val="es-ES"/>
        </w:rPr>
        <w:t xml:space="preserve">En los últimos </w:t>
      </w:r>
      <w:proofErr w:type="gramStart"/>
      <w:r>
        <w:rPr>
          <w:color w:val="000000"/>
          <w:sz w:val="22"/>
          <w:szCs w:val="22"/>
          <w:lang w:val="es-ES"/>
        </w:rPr>
        <w:t>tiempos,  se</w:t>
      </w:r>
      <w:proofErr w:type="gramEnd"/>
      <w:r>
        <w:rPr>
          <w:color w:val="000000"/>
          <w:sz w:val="22"/>
          <w:szCs w:val="22"/>
          <w:lang w:val="es-ES"/>
        </w:rPr>
        <w:t xml:space="preserve"> evidencia una corriente negacionista de esta violencia, que llega incluso a desestimar en el lenguaje el término género.  </w:t>
      </w:r>
      <w:r w:rsidRPr="00A63206">
        <w:rPr>
          <w:color w:val="000000"/>
          <w:sz w:val="22"/>
          <w:szCs w:val="22"/>
          <w:lang w:val="es-ES"/>
        </w:rPr>
        <w:t>La prevención debe enfocarse en la detección de situaciones de riesgo y en la erradicación de las causas estructurales y sociales que perpetúan la práctica de las desapariciones forzadas tales como la discriminación y la violencia sistemática contra las mujeres.</w:t>
      </w:r>
    </w:p>
    <w:p w14:paraId="1A5B8A84" w14:textId="164C1979" w:rsidR="00A90270" w:rsidRPr="00A63206"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s-ES"/>
        </w:rPr>
      </w:pPr>
      <w:r w:rsidRPr="00A63206">
        <w:rPr>
          <w:color w:val="000000"/>
          <w:sz w:val="22"/>
          <w:szCs w:val="22"/>
          <w:lang w:val="es-ES"/>
        </w:rPr>
        <w:t>Los artículos 17 y 18 de la CIPPCD exponen medidas de prevención en materia de desaparición forzada.  En el marco de la prevención de la desaparición forzada de mujeres y niñas la recopilación sistemática y desagregada de datos con perspectiva de género es esencial para la implementación de políticas públicas efectivas. La falta de datos específicos sobre las mujeres y niñas desaparecidas forzadamente impide identificar patrones y tendencias de violencia que afectan de manera diferenciada a las mujeres, especialmente a aquellas en contextos de conflicto armado o regímenes autoritarios.</w:t>
      </w:r>
    </w:p>
    <w:p w14:paraId="0931A57E" w14:textId="27193A70" w:rsidR="00A90270" w:rsidRPr="00A63206"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s-ES"/>
        </w:rPr>
      </w:pPr>
      <w:r w:rsidRPr="00A63206">
        <w:rPr>
          <w:color w:val="000000"/>
          <w:sz w:val="22"/>
          <w:szCs w:val="22"/>
          <w:lang w:val="es-ES"/>
        </w:rPr>
        <w:t>La recopilación de datos no solo debe enfocarse en el número de mujeres y niñas desaparecidas forzadamente, sino también en el contexto en el que se produce las desapariciones, las causas subyacentes y las características particulares de las víctimas, como su edad, estado civil, pertenencia étnica o social y su rol dentro de la comunidad. Este enfoque permite reconocer las distintas formas de violencia de género que subyacen a la desaparición forzada, como la explotación sexual, la trata de personas o el reclutamiento forzado para trabajos en estructuras criminales</w:t>
      </w:r>
      <w:r w:rsidRPr="00A63206">
        <w:rPr>
          <w:color w:val="000000"/>
          <w:sz w:val="22"/>
          <w:szCs w:val="22"/>
          <w:vertAlign w:val="superscript"/>
          <w:lang w:val="es-ES"/>
        </w:rPr>
        <w:endnoteReference w:id="42"/>
      </w:r>
      <w:r w:rsidRPr="00A63206">
        <w:rPr>
          <w:color w:val="000000"/>
          <w:sz w:val="22"/>
          <w:szCs w:val="22"/>
          <w:lang w:val="es-ES"/>
        </w:rPr>
        <w:t xml:space="preserve">. </w:t>
      </w:r>
    </w:p>
    <w:p w14:paraId="20704BCD" w14:textId="5C6CA6DB" w:rsidR="00A90270" w:rsidRPr="00A63206"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s-ES"/>
        </w:rPr>
      </w:pPr>
      <w:r w:rsidRPr="00A63206">
        <w:rPr>
          <w:color w:val="000000"/>
          <w:sz w:val="22"/>
          <w:szCs w:val="22"/>
          <w:lang w:val="es-ES"/>
        </w:rPr>
        <w:t>El fenómeno de la desaparición forzada ha evolucionado más allá de su perpetración exclusiva por parte de agentes estatales; actores no estatales como el crimen organizado, redes de trata de personas y grupos armados que se aprovechan de la situación de vulnerabilidad de algunas poblaciones o comunidades también participan en este fenómeno, afectando de manera desproporcionada a mujeres y niñas. En este contexto, la desaparición forzada de mujeres y niñas debe abordarse con una perspectiva integral que combine la acción penal con políticas de prevención y protección con una perspectiva de género</w:t>
      </w:r>
      <w:r w:rsidRPr="00A63206">
        <w:rPr>
          <w:color w:val="000000"/>
          <w:sz w:val="22"/>
          <w:szCs w:val="22"/>
          <w:vertAlign w:val="superscript"/>
          <w:lang w:val="es-ES"/>
        </w:rPr>
        <w:endnoteReference w:id="43"/>
      </w:r>
      <w:r w:rsidRPr="00A63206">
        <w:rPr>
          <w:color w:val="000000"/>
          <w:sz w:val="22"/>
          <w:szCs w:val="22"/>
          <w:lang w:val="es-ES"/>
        </w:rPr>
        <w:t xml:space="preserve">. </w:t>
      </w:r>
    </w:p>
    <w:p w14:paraId="44B2CC4A" w14:textId="59A95AF8" w:rsidR="00A90270" w:rsidRPr="00A63206" w:rsidRDefault="003B7CEC" w:rsidP="003B7CEC">
      <w:pPr>
        <w:pStyle w:val="H1G"/>
        <w:rPr>
          <w:lang w:val="es-ES"/>
        </w:rPr>
      </w:pPr>
      <w:r>
        <w:rPr>
          <w:lang w:val="es-ES"/>
        </w:rPr>
        <w:tab/>
      </w:r>
      <w:proofErr w:type="spellStart"/>
      <w:r w:rsidR="00A90270" w:rsidRPr="00A63206">
        <w:rPr>
          <w:lang w:val="es-ES"/>
        </w:rPr>
        <w:t>ii</w:t>
      </w:r>
      <w:proofErr w:type="spellEnd"/>
      <w:r w:rsidR="00A90270" w:rsidRPr="00A63206">
        <w:rPr>
          <w:lang w:val="es-ES"/>
        </w:rPr>
        <w:t>.</w:t>
      </w:r>
      <w:r>
        <w:rPr>
          <w:lang w:val="es-ES"/>
        </w:rPr>
        <w:tab/>
      </w:r>
      <w:r w:rsidR="00A90270" w:rsidRPr="00A63206">
        <w:rPr>
          <w:lang w:val="es-ES"/>
        </w:rPr>
        <w:t>Investigación y juzgamiento</w:t>
      </w:r>
    </w:p>
    <w:p w14:paraId="23F7B836" w14:textId="2A0B1B5E" w:rsidR="00A90270" w:rsidRPr="00A63206"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s-ES"/>
        </w:rPr>
      </w:pPr>
      <w:r w:rsidRPr="00A63206">
        <w:rPr>
          <w:color w:val="000000"/>
          <w:sz w:val="22"/>
          <w:szCs w:val="22"/>
          <w:lang w:val="es-ES"/>
        </w:rPr>
        <w:t>En el marco de sus obligaciones internacionales, los Estados tienen el deber de investigar, juzgar y sancionar las graves violaciones a los derechos humanos y al derecho internacional humanitario</w:t>
      </w:r>
      <w:r w:rsidRPr="00A63206">
        <w:rPr>
          <w:color w:val="000000"/>
          <w:sz w:val="22"/>
          <w:szCs w:val="22"/>
          <w:vertAlign w:val="superscript"/>
          <w:lang w:val="es-ES"/>
        </w:rPr>
        <w:endnoteReference w:id="44"/>
      </w:r>
      <w:r w:rsidRPr="00A63206">
        <w:rPr>
          <w:color w:val="000000"/>
          <w:sz w:val="22"/>
          <w:szCs w:val="22"/>
          <w:lang w:val="es-ES"/>
        </w:rPr>
        <w:t xml:space="preserve">. El cumplimiento de este deber es fundamental no </w:t>
      </w:r>
      <w:r w:rsidRPr="00A63206">
        <w:rPr>
          <w:sz w:val="22"/>
          <w:szCs w:val="22"/>
          <w:lang w:val="es-ES"/>
        </w:rPr>
        <w:t>sólo</w:t>
      </w:r>
      <w:r w:rsidRPr="00A63206">
        <w:rPr>
          <w:color w:val="000000"/>
          <w:sz w:val="22"/>
          <w:szCs w:val="22"/>
          <w:lang w:val="es-ES"/>
        </w:rPr>
        <w:t xml:space="preserve"> en términos de sanción sino también de prevención, pues permite restablecer la confianza en las instituciones del Estado</w:t>
      </w:r>
      <w:r w:rsidRPr="00A63206">
        <w:rPr>
          <w:color w:val="000000"/>
          <w:sz w:val="22"/>
          <w:szCs w:val="22"/>
          <w:vertAlign w:val="superscript"/>
          <w:lang w:val="es-ES"/>
        </w:rPr>
        <w:endnoteReference w:id="45"/>
      </w:r>
      <w:r w:rsidRPr="00A63206">
        <w:rPr>
          <w:color w:val="000000"/>
          <w:sz w:val="22"/>
          <w:szCs w:val="22"/>
          <w:lang w:val="es-ES"/>
        </w:rPr>
        <w:t>.</w:t>
      </w:r>
    </w:p>
    <w:p w14:paraId="724B080A" w14:textId="77D78BFF" w:rsidR="00A90270"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sz w:val="22"/>
          <w:szCs w:val="22"/>
          <w:lang w:val="es-ES"/>
        </w:rPr>
      </w:pPr>
      <w:r w:rsidRPr="00A63206">
        <w:rPr>
          <w:color w:val="000000"/>
          <w:sz w:val="22"/>
          <w:szCs w:val="22"/>
          <w:lang w:val="es-ES"/>
        </w:rPr>
        <w:t>Uno de los principales obstáculos para el acceso a la justicia de las mujeres y niñas víctimas y de las mujeres buscadoras es la persistencia de estereotipos de género en el sistema judicial</w:t>
      </w:r>
      <w:r w:rsidRPr="00A63206">
        <w:rPr>
          <w:color w:val="000000"/>
          <w:sz w:val="22"/>
          <w:szCs w:val="22"/>
          <w:vertAlign w:val="superscript"/>
          <w:lang w:val="es-ES"/>
        </w:rPr>
        <w:endnoteReference w:id="46"/>
      </w:r>
      <w:r w:rsidRPr="00A63206">
        <w:rPr>
          <w:color w:val="000000"/>
          <w:sz w:val="22"/>
          <w:szCs w:val="22"/>
          <w:lang w:val="es-ES"/>
        </w:rPr>
        <w:t>, los cuales pueden influir en la percepción y valoración de la situación de las víctimas. Los funcionarios judiciales tienen el deber de identificar y erradicar estos estereotipos</w:t>
      </w:r>
      <w:r w:rsidRPr="00A63206">
        <w:rPr>
          <w:sz w:val="22"/>
          <w:szCs w:val="22"/>
          <w:lang w:val="es-ES"/>
        </w:rPr>
        <w:t>,</w:t>
      </w:r>
      <w:r w:rsidRPr="00A63206">
        <w:rPr>
          <w:color w:val="000000"/>
          <w:sz w:val="22"/>
          <w:szCs w:val="22"/>
          <w:lang w:val="es-ES"/>
        </w:rPr>
        <w:t xml:space="preserve"> asegurando que las medidas adoptadas </w:t>
      </w:r>
      <w:r w:rsidRPr="00A63206">
        <w:rPr>
          <w:sz w:val="22"/>
          <w:szCs w:val="22"/>
          <w:lang w:val="es-ES"/>
        </w:rPr>
        <w:t>en sus resoluciones den</w:t>
      </w:r>
      <w:r w:rsidRPr="00A63206">
        <w:rPr>
          <w:color w:val="000000"/>
          <w:sz w:val="22"/>
          <w:szCs w:val="22"/>
          <w:lang w:val="es-ES"/>
        </w:rPr>
        <w:t xml:space="preserve"> una respuesta efectiva a las necesidades de las mujeres y niñas. </w:t>
      </w:r>
      <w:r w:rsidRPr="00A63206">
        <w:rPr>
          <w:sz w:val="22"/>
          <w:szCs w:val="22"/>
          <w:lang w:val="es-ES"/>
        </w:rPr>
        <w:t>Los estereotipos de género hacia las mujeres y niñas comprometen la imparcialidad y la integridad del sistema de justicia, y pueden dar lugar a su denegación del derecho a la justicia y con ello, a la revictimización de las denunciantes</w:t>
      </w:r>
      <w:r w:rsidRPr="00A63206">
        <w:rPr>
          <w:sz w:val="22"/>
          <w:szCs w:val="22"/>
          <w:vertAlign w:val="superscript"/>
          <w:lang w:val="es-ES"/>
        </w:rPr>
        <w:endnoteReference w:id="47"/>
      </w:r>
      <w:r w:rsidRPr="00A63206">
        <w:rPr>
          <w:sz w:val="22"/>
          <w:szCs w:val="22"/>
          <w:lang w:val="es-ES"/>
        </w:rPr>
        <w:t xml:space="preserve">. </w:t>
      </w:r>
    </w:p>
    <w:p w14:paraId="2FC052A1" w14:textId="1505B027" w:rsidR="00A90270" w:rsidRPr="00101D84"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sz w:val="22"/>
          <w:szCs w:val="22"/>
          <w:lang w:val="es-ES"/>
        </w:rPr>
      </w:pPr>
      <w:r w:rsidRPr="00A63206">
        <w:rPr>
          <w:color w:val="000000"/>
          <w:sz w:val="22"/>
          <w:szCs w:val="22"/>
          <w:lang w:val="es-ES"/>
        </w:rPr>
        <w:lastRenderedPageBreak/>
        <w:t>El Artículo 12 de la CIPPCD reconoce el derecho a denunciar una desaparición forzada y obliga a las autoridades a investigarla de manera inmediata, exhaustiva, imparcial y con la debida diligencia. El Estado debe emplear todos los medios necesarios para esclarecer los hechos, determinar la suerte y el paradero de las víctimas</w:t>
      </w:r>
      <w:r w:rsidRPr="00A63206">
        <w:rPr>
          <w:color w:val="000000"/>
          <w:sz w:val="22"/>
          <w:szCs w:val="22"/>
          <w:vertAlign w:val="superscript"/>
          <w:lang w:val="es-ES"/>
        </w:rPr>
        <w:endnoteReference w:id="48"/>
      </w:r>
      <w:r w:rsidRPr="00A63206">
        <w:rPr>
          <w:color w:val="000000"/>
          <w:sz w:val="22"/>
          <w:szCs w:val="22"/>
          <w:lang w:val="es-ES"/>
        </w:rPr>
        <w:t>, identificar a los responsables y garantizar el derecho a la verdad. En estos procesos, es fundamental incorporar una perspectiva de género e interseccionalidad, ya que permite identificar los impactos diferenciados que la desaparición forzada genera en mujeres y niñas. Para ello, dos herramientas resultan esenciales: la perspectiva de género, que visibiliza situaciones de desigualdad y violencia estructural que las afectan, y el análisis de contexto, que permite examinar los factores históricos, sociales, económicos y políticos que influyen en su situación</w:t>
      </w:r>
      <w:r w:rsidRPr="00A63206">
        <w:rPr>
          <w:color w:val="000000"/>
          <w:sz w:val="22"/>
          <w:szCs w:val="22"/>
          <w:vertAlign w:val="superscript"/>
          <w:lang w:val="es-ES"/>
        </w:rPr>
        <w:endnoteReference w:id="49"/>
      </w:r>
      <w:r w:rsidRPr="00A63206">
        <w:rPr>
          <w:color w:val="000000"/>
          <w:sz w:val="22"/>
          <w:szCs w:val="22"/>
          <w:lang w:val="es-ES"/>
        </w:rPr>
        <w:t>. La aplicación conjunta de ambas herramientas es crucial para comprender los patrones y dinámicas de este fenómeno y garantizar investigaciones efectivas y sensibles a estas realidades.</w:t>
      </w:r>
    </w:p>
    <w:p w14:paraId="1AECD62F" w14:textId="5D4F9E38" w:rsidR="00A90270" w:rsidRPr="00A63206"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s-ES"/>
        </w:rPr>
      </w:pPr>
      <w:r w:rsidRPr="00A63206">
        <w:rPr>
          <w:color w:val="000000"/>
          <w:sz w:val="22"/>
          <w:szCs w:val="22"/>
          <w:lang w:val="es-ES"/>
        </w:rPr>
        <w:t>Los órganos judiciales deben asegurar que dentro de las líneas de investigación en los casos de desaparición forzada de mujeres y las niñas se incluya una perspectiva de género que sea transversal a todas las etapas del procedimiento judicial, e incluya la violencia sexual y de género como un eje central de análisis, considerando conexiones con otros delitos</w:t>
      </w:r>
      <w:r w:rsidRPr="00A63206">
        <w:rPr>
          <w:color w:val="000000"/>
          <w:sz w:val="22"/>
          <w:szCs w:val="22"/>
          <w:vertAlign w:val="superscript"/>
          <w:lang w:val="es-ES"/>
        </w:rPr>
        <w:endnoteReference w:id="50"/>
      </w:r>
      <w:r w:rsidRPr="00A63206">
        <w:rPr>
          <w:color w:val="000000"/>
          <w:sz w:val="22"/>
          <w:szCs w:val="22"/>
          <w:lang w:val="es-ES"/>
        </w:rPr>
        <w:t>.</w:t>
      </w:r>
    </w:p>
    <w:p w14:paraId="0AC9C6E0" w14:textId="5462B1B6" w:rsidR="00A90270" w:rsidRPr="00A63206"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s-ES"/>
        </w:rPr>
      </w:pPr>
      <w:r w:rsidRPr="00A63206">
        <w:rPr>
          <w:color w:val="000000"/>
          <w:sz w:val="22"/>
          <w:szCs w:val="22"/>
          <w:lang w:val="es-ES"/>
        </w:rPr>
        <w:t>Los contextos de violaciones manifiestas a los derechos humanos y violaciones graves al derecho internacional humanitario pueden imponer a los Estados desafíos adicionales para cumplir con su deber de investigar, juzgar y sancionar</w:t>
      </w:r>
      <w:r w:rsidRPr="00A63206">
        <w:rPr>
          <w:color w:val="000000"/>
          <w:sz w:val="22"/>
          <w:szCs w:val="22"/>
          <w:vertAlign w:val="superscript"/>
          <w:lang w:val="es-ES"/>
        </w:rPr>
        <w:endnoteReference w:id="51"/>
      </w:r>
      <w:r w:rsidRPr="00A63206">
        <w:rPr>
          <w:color w:val="000000"/>
          <w:sz w:val="22"/>
          <w:szCs w:val="22"/>
          <w:lang w:val="es-ES"/>
        </w:rPr>
        <w:t>. En estos casos, es fundamental diseñar sistemas de justicia transicional integrales que permitan cumplir con esta obligación y satisfacer los derechos de las víctimas a la verdad, la justicia, la reparación y la no repetición</w:t>
      </w:r>
      <w:r w:rsidRPr="00A63206">
        <w:rPr>
          <w:color w:val="000000"/>
          <w:sz w:val="22"/>
          <w:szCs w:val="22"/>
          <w:vertAlign w:val="superscript"/>
          <w:lang w:val="es-ES"/>
        </w:rPr>
        <w:endnoteReference w:id="52"/>
      </w:r>
      <w:r w:rsidRPr="00A63206">
        <w:rPr>
          <w:color w:val="000000"/>
          <w:sz w:val="22"/>
          <w:szCs w:val="22"/>
          <w:lang w:val="es-ES"/>
        </w:rPr>
        <w:t xml:space="preserve">. </w:t>
      </w:r>
    </w:p>
    <w:p w14:paraId="02724996" w14:textId="36361566" w:rsidR="00A90270" w:rsidRPr="00A63206" w:rsidRDefault="00A90270" w:rsidP="003B7CEC">
      <w:pPr>
        <w:pStyle w:val="H1G"/>
        <w:rPr>
          <w:lang w:val="es-ES"/>
        </w:rPr>
      </w:pPr>
      <w:r w:rsidRPr="00A63206">
        <w:rPr>
          <w:lang w:val="es-ES"/>
        </w:rPr>
        <w:tab/>
      </w:r>
      <w:proofErr w:type="spellStart"/>
      <w:r w:rsidRPr="00A63206">
        <w:rPr>
          <w:lang w:val="es-ES"/>
        </w:rPr>
        <w:t>iii</w:t>
      </w:r>
      <w:proofErr w:type="spellEnd"/>
      <w:r w:rsidRPr="00A63206">
        <w:rPr>
          <w:lang w:val="es-ES"/>
        </w:rPr>
        <w:t xml:space="preserve">. </w:t>
      </w:r>
      <w:r w:rsidR="003B7CEC">
        <w:rPr>
          <w:lang w:val="es-ES"/>
        </w:rPr>
        <w:tab/>
      </w:r>
      <w:r w:rsidRPr="00A63206">
        <w:rPr>
          <w:lang w:val="es-ES"/>
        </w:rPr>
        <w:t xml:space="preserve">Búsqueda </w:t>
      </w:r>
    </w:p>
    <w:p w14:paraId="73B1D578" w14:textId="647CB0AC" w:rsidR="00A90270" w:rsidRPr="00A63206"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s-ES"/>
        </w:rPr>
      </w:pPr>
      <w:r w:rsidRPr="00A63206">
        <w:rPr>
          <w:color w:val="000000"/>
          <w:sz w:val="22"/>
          <w:szCs w:val="22"/>
          <w:lang w:val="es-ES"/>
        </w:rPr>
        <w:t>La obligación de búsqueda de la persona desaparecida forzadamente recae exclusivamente en el Estado y en virtud del artículo 24.3 de la CIPPDF debe adoptar las medidas de búsqueda necesarias para la localización y liberación de la persona desaparecida. La búsqueda debe realizarse bajo la presunción de vida</w:t>
      </w:r>
      <w:r w:rsidRPr="00A63206">
        <w:rPr>
          <w:color w:val="000000"/>
          <w:sz w:val="22"/>
          <w:szCs w:val="22"/>
          <w:vertAlign w:val="superscript"/>
          <w:lang w:val="es-ES"/>
        </w:rPr>
        <w:endnoteReference w:id="53"/>
      </w:r>
      <w:r w:rsidRPr="00A63206">
        <w:rPr>
          <w:color w:val="000000"/>
          <w:sz w:val="22"/>
          <w:szCs w:val="22"/>
          <w:lang w:val="es-ES"/>
        </w:rPr>
        <w:t xml:space="preserve"> y en caso de fallecimiento, se </w:t>
      </w:r>
      <w:proofErr w:type="gramStart"/>
      <w:r w:rsidRPr="00A63206">
        <w:rPr>
          <w:color w:val="000000"/>
          <w:sz w:val="22"/>
          <w:szCs w:val="22"/>
          <w:lang w:val="es-ES"/>
        </w:rPr>
        <w:t>debe  identificar</w:t>
      </w:r>
      <w:proofErr w:type="gramEnd"/>
      <w:r w:rsidRPr="00A63206">
        <w:rPr>
          <w:color w:val="000000"/>
          <w:sz w:val="22"/>
          <w:szCs w:val="22"/>
          <w:lang w:val="es-ES"/>
        </w:rPr>
        <w:t xml:space="preserve"> y entregar el cuerpo de la persona desaparecida de manera digna a sus familiares. La respuesta institucional debe ser inmediata, coordinada y efectiva, evitando dilaciones injustificadas, y bajo el principio de igualdad y no discriminación.</w:t>
      </w:r>
    </w:p>
    <w:p w14:paraId="1AE04C3D" w14:textId="44F6660B" w:rsidR="00A90270" w:rsidRPr="00A63206"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s-ES"/>
        </w:rPr>
      </w:pPr>
      <w:r w:rsidRPr="00A63206">
        <w:rPr>
          <w:color w:val="000000"/>
          <w:sz w:val="22"/>
          <w:szCs w:val="22"/>
          <w:lang w:val="es-ES"/>
        </w:rPr>
        <w:t>Los Estados tienen la obligación de desarrollar la labor de búsqueda de personas desaparecidas con la debida diligencia</w:t>
      </w:r>
      <w:r w:rsidRPr="00A63206">
        <w:rPr>
          <w:sz w:val="22"/>
          <w:szCs w:val="22"/>
          <w:lang w:val="es-ES"/>
        </w:rPr>
        <w:t>,</w:t>
      </w:r>
      <w:r w:rsidRPr="00A63206">
        <w:rPr>
          <w:color w:val="000000"/>
          <w:sz w:val="22"/>
          <w:szCs w:val="22"/>
          <w:lang w:val="es-ES"/>
        </w:rPr>
        <w:t xml:space="preserve"> aplicando una perspectiva de género y un enfoque diferencial para cada caso</w:t>
      </w:r>
      <w:r w:rsidRPr="00A63206">
        <w:rPr>
          <w:color w:val="000000"/>
          <w:sz w:val="22"/>
          <w:szCs w:val="22"/>
          <w:vertAlign w:val="superscript"/>
          <w:lang w:val="es-ES"/>
        </w:rPr>
        <w:endnoteReference w:id="54"/>
      </w:r>
      <w:r w:rsidRPr="00A63206">
        <w:rPr>
          <w:color w:val="000000"/>
          <w:sz w:val="22"/>
          <w:szCs w:val="22"/>
          <w:lang w:val="es-ES"/>
        </w:rPr>
        <w:t>. En el caso de mujeres víctimas de desaparición forzada, este deber adquiere una dimensión particular debido a los patrones de violencia de género que muchas veces subyacen a estos crímenes. La búsqueda es una obligación permanente y por tanto no puede estar sometida a la fijación de plazos máximos, esta debe continuar hasta que se determine con certeza la suerte y el paradero de la persona desaparecida</w:t>
      </w:r>
      <w:r w:rsidRPr="00A63206">
        <w:rPr>
          <w:color w:val="000000"/>
          <w:sz w:val="22"/>
          <w:szCs w:val="22"/>
          <w:vertAlign w:val="superscript"/>
          <w:lang w:val="es-ES"/>
        </w:rPr>
        <w:endnoteReference w:id="55"/>
      </w:r>
      <w:r w:rsidRPr="00A63206">
        <w:rPr>
          <w:color w:val="000000"/>
          <w:sz w:val="22"/>
          <w:szCs w:val="22"/>
          <w:lang w:val="es-ES"/>
        </w:rPr>
        <w:t>. Las políticas de búsqueda de mujeres y niñas desaparecidas deben inscribirse dentro de un marco más amplio de prevención y erradicación de la violencia contra las mujeres.</w:t>
      </w:r>
    </w:p>
    <w:p w14:paraId="17249B28" w14:textId="5A34B0BF" w:rsidR="00A90270" w:rsidRPr="00A63206"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s-ES"/>
        </w:rPr>
      </w:pPr>
      <w:r w:rsidRPr="00A63206">
        <w:rPr>
          <w:color w:val="000000"/>
          <w:sz w:val="22"/>
          <w:szCs w:val="22"/>
          <w:lang w:val="es-ES"/>
        </w:rPr>
        <w:t xml:space="preserve">Si bien las familias, y en mayor medida las mujeres, han asumido históricamente un rol activo en la localización de sus parientes desaparecidos, ello no exime a las autoridades de su deber primordial de buscar. El Estado debe adoptar todas las medidas necesarias para la localización de la persona desaparecida, evitando la revictimización de las mujeres buscadoras y asegurando que su intervención en estos procesos sea una opción y no una imposición derivada de la inacción estatal. </w:t>
      </w:r>
    </w:p>
    <w:p w14:paraId="0EDAD69E" w14:textId="3AB92AF8" w:rsidR="00A90270" w:rsidRPr="00A63206"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s-ES"/>
        </w:rPr>
      </w:pPr>
      <w:r w:rsidRPr="00A63206">
        <w:rPr>
          <w:sz w:val="22"/>
          <w:szCs w:val="22"/>
          <w:lang w:val="es-ES"/>
        </w:rPr>
        <w:t>A</w:t>
      </w:r>
      <w:r w:rsidRPr="00A63206">
        <w:rPr>
          <w:color w:val="000000"/>
          <w:sz w:val="22"/>
          <w:szCs w:val="22"/>
          <w:lang w:val="es-ES"/>
        </w:rPr>
        <w:t xml:space="preserve">lgunos Estados han optado por constituir unidades especializadas </w:t>
      </w:r>
      <w:r w:rsidRPr="00A63206">
        <w:rPr>
          <w:sz w:val="22"/>
          <w:szCs w:val="22"/>
          <w:lang w:val="es-ES"/>
        </w:rPr>
        <w:t>para</w:t>
      </w:r>
      <w:r w:rsidRPr="00A63206">
        <w:rPr>
          <w:color w:val="000000"/>
          <w:sz w:val="22"/>
          <w:szCs w:val="22"/>
          <w:lang w:val="es-ES"/>
        </w:rPr>
        <w:t xml:space="preserve"> la búsqueda de personas desaparecidas. </w:t>
      </w:r>
      <w:r w:rsidRPr="00A63206">
        <w:rPr>
          <w:sz w:val="22"/>
          <w:szCs w:val="22"/>
          <w:lang w:val="es-ES"/>
        </w:rPr>
        <w:t>Es fundamental g</w:t>
      </w:r>
      <w:r w:rsidRPr="00A63206">
        <w:rPr>
          <w:color w:val="000000"/>
          <w:sz w:val="22"/>
          <w:szCs w:val="22"/>
          <w:lang w:val="es-ES"/>
        </w:rPr>
        <w:t xml:space="preserve">arantizar que la perspectiva de género sea un pilar transversal en </w:t>
      </w:r>
      <w:r w:rsidRPr="00A63206">
        <w:rPr>
          <w:sz w:val="22"/>
          <w:szCs w:val="22"/>
          <w:lang w:val="es-ES"/>
        </w:rPr>
        <w:t>el desarrollo de su trabajo.</w:t>
      </w:r>
    </w:p>
    <w:p w14:paraId="418C4803" w14:textId="0CCA183C" w:rsidR="00A90270" w:rsidRPr="00A63206"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s-ES"/>
        </w:rPr>
      </w:pPr>
      <w:r w:rsidRPr="00A63206">
        <w:rPr>
          <w:color w:val="000000"/>
          <w:sz w:val="22"/>
          <w:szCs w:val="22"/>
          <w:lang w:val="es-ES"/>
        </w:rPr>
        <w:t xml:space="preserve">Las autoridades que conducen la investigación deben aplicar rigurosamente las ciencias forenses para garantizar la identificación de las víctimas, el esclarecimiento de los hechos y la preservación de la evidencia, </w:t>
      </w:r>
      <w:r w:rsidRPr="00A63206">
        <w:rPr>
          <w:color w:val="000000"/>
          <w:sz w:val="22"/>
          <w:szCs w:val="22"/>
          <w:lang w:val="es-ES"/>
        </w:rPr>
        <w:lastRenderedPageBreak/>
        <w:t>asegurando así el acceso a la verdad y la justicia. La perspectiva de género en estos procesos es esencial para reconocer las dinámicas específicas de violencia contra mujeres y niñas.</w:t>
      </w:r>
    </w:p>
    <w:p w14:paraId="295D1757" w14:textId="4982D8F9" w:rsidR="00A90270" w:rsidRPr="00A63206"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s-ES"/>
        </w:rPr>
      </w:pPr>
      <w:r w:rsidRPr="00A63206">
        <w:rPr>
          <w:color w:val="000000"/>
          <w:sz w:val="22"/>
          <w:szCs w:val="22"/>
          <w:lang w:val="es-ES"/>
        </w:rPr>
        <w:t>La entrega digna de los restos de las víctimas es una medida fundamental para la reparación integral de las familias. Esta entrega no debe reducirse a un mero acto administrativo, sino que debe incorporar rituales y procedimientos que respeten la identidad cultural, las creencias y los deseos de los familiares.</w:t>
      </w:r>
      <w:r w:rsidRPr="00A63206">
        <w:rPr>
          <w:color w:val="000000"/>
          <w:sz w:val="22"/>
          <w:szCs w:val="22"/>
          <w:vertAlign w:val="superscript"/>
          <w:lang w:val="es-ES"/>
        </w:rPr>
        <w:endnoteReference w:id="56"/>
      </w:r>
      <w:r w:rsidRPr="00A63206">
        <w:rPr>
          <w:color w:val="000000"/>
          <w:sz w:val="22"/>
          <w:szCs w:val="22"/>
          <w:lang w:val="es-ES"/>
        </w:rPr>
        <w:t xml:space="preserve"> Además, el Estado debe asegurar el acceso a medidas de apoyo psicosocial y jurídico integral para acompañar a </w:t>
      </w:r>
      <w:proofErr w:type="gramStart"/>
      <w:r w:rsidRPr="00A63206">
        <w:rPr>
          <w:color w:val="000000"/>
          <w:sz w:val="22"/>
          <w:szCs w:val="22"/>
          <w:lang w:val="es-ES"/>
        </w:rPr>
        <w:t>los familiares víctimas</w:t>
      </w:r>
      <w:proofErr w:type="gramEnd"/>
      <w:r w:rsidRPr="00A63206">
        <w:rPr>
          <w:color w:val="000000"/>
          <w:sz w:val="22"/>
          <w:szCs w:val="22"/>
          <w:lang w:val="es-ES"/>
        </w:rPr>
        <w:t xml:space="preserve"> en este proceso, a fin de minimizar el impacto emocional y fortalecer su capacidad para exigir justicia.</w:t>
      </w:r>
    </w:p>
    <w:p w14:paraId="2677C20A" w14:textId="0199F5AB" w:rsidR="00A90270" w:rsidRPr="00A63206" w:rsidRDefault="00A90270" w:rsidP="00650ABC">
      <w:pPr>
        <w:pStyle w:val="H1G"/>
        <w:rPr>
          <w:lang w:val="es-ES"/>
        </w:rPr>
      </w:pPr>
      <w:r w:rsidRPr="00A63206">
        <w:rPr>
          <w:lang w:val="es-ES"/>
        </w:rPr>
        <w:t xml:space="preserve"> </w:t>
      </w:r>
      <w:r w:rsidRPr="00A63206">
        <w:rPr>
          <w:lang w:val="es-ES"/>
        </w:rPr>
        <w:tab/>
      </w:r>
      <w:proofErr w:type="spellStart"/>
      <w:r w:rsidRPr="00A63206">
        <w:rPr>
          <w:lang w:val="es-ES"/>
        </w:rPr>
        <w:t>iv</w:t>
      </w:r>
      <w:proofErr w:type="spellEnd"/>
      <w:r w:rsidRPr="00A63206">
        <w:rPr>
          <w:lang w:val="es-ES"/>
        </w:rPr>
        <w:t xml:space="preserve">. </w:t>
      </w:r>
      <w:r w:rsidR="00650ABC">
        <w:rPr>
          <w:lang w:val="es-ES"/>
        </w:rPr>
        <w:tab/>
      </w:r>
      <w:r w:rsidRPr="00A63206">
        <w:rPr>
          <w:lang w:val="es-ES"/>
        </w:rPr>
        <w:t>Participación en procesos de búsqueda y derecho de asociación</w:t>
      </w:r>
    </w:p>
    <w:p w14:paraId="694BC2FA" w14:textId="0B293475" w:rsidR="00A90270" w:rsidRPr="00A63206"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s-ES"/>
        </w:rPr>
      </w:pPr>
      <w:r w:rsidRPr="00A63206">
        <w:rPr>
          <w:color w:val="000000"/>
          <w:sz w:val="22"/>
          <w:szCs w:val="22"/>
          <w:lang w:val="es-ES"/>
        </w:rPr>
        <w:t>El derecho a la participación en los procesos de investigación y búsqueda es esencial. Las mujeres buscadoras enfrentan obstáculos institucionales que van desde la falta de acceso a información hasta la minimización de sus denuncias. Esto refuerza la necesidad de adoptar protocolos especializados con perspectiva de género que faciliten la participación de las familias en todas las etapas del proceso, garantizando su derecho a conocer la verdad sobre lo sucedido y a recibir un trato respetuoso por parte de las instituciones encargadas.</w:t>
      </w:r>
    </w:p>
    <w:p w14:paraId="4FE825B3" w14:textId="5B14C12B" w:rsidR="00A90270" w:rsidRPr="00A63206"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s-ES"/>
        </w:rPr>
      </w:pPr>
      <w:r w:rsidRPr="00A63206">
        <w:rPr>
          <w:color w:val="000000"/>
          <w:sz w:val="22"/>
          <w:szCs w:val="22"/>
          <w:lang w:val="es-ES"/>
        </w:rPr>
        <w:t>En este marco, el derecho de acceso a la información sobre el proceso de búsqueda es una garantía indispensable para las mujeres buscadoras. Aquellas deben contar con información clara, precisa y oportuna sobre las acciones desplegadas por las autoridades, los avances de la investigación, la localización de la persona desaparecida y las estrategias adoptadas. La falta de transparencia o la reticencia del Estado a compartir información vulnera no solo el derecho de las víctimas, sino también el principio de confianza legítima que debe regir la relación entre las instituciones y quienes enfrentan la incertidumbre de una desaparición.</w:t>
      </w:r>
    </w:p>
    <w:p w14:paraId="19480D38" w14:textId="10FE8030" w:rsidR="00A90270" w:rsidRPr="00A63206"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s-ES"/>
        </w:rPr>
      </w:pPr>
      <w:r w:rsidRPr="00A63206">
        <w:rPr>
          <w:color w:val="000000"/>
          <w:sz w:val="22"/>
          <w:szCs w:val="22"/>
          <w:lang w:val="es-ES"/>
        </w:rPr>
        <w:t xml:space="preserve">En virtud del artículo 24.7 de la CIPPDF el Estado debe garantizar el derecho de las víctimas a formar libremente y participar en organizaciones y asociaciones. Las mujeres buscadoras y las organizaciones que las acompañan representan una garantía clave para la construcción de redes de apoyo, la exigencia colectiva de justicia y </w:t>
      </w:r>
      <w:r w:rsidRPr="00A63206">
        <w:rPr>
          <w:sz w:val="22"/>
          <w:szCs w:val="22"/>
          <w:lang w:val="es-ES"/>
        </w:rPr>
        <w:t>la visibilidad</w:t>
      </w:r>
      <w:r w:rsidRPr="00A63206">
        <w:rPr>
          <w:color w:val="000000"/>
          <w:sz w:val="22"/>
          <w:szCs w:val="22"/>
          <w:lang w:val="es-ES"/>
        </w:rPr>
        <w:t xml:space="preserve"> </w:t>
      </w:r>
      <w:r w:rsidRPr="00A63206">
        <w:rPr>
          <w:sz w:val="22"/>
          <w:szCs w:val="22"/>
          <w:lang w:val="es-ES"/>
        </w:rPr>
        <w:t>del fenómeno</w:t>
      </w:r>
      <w:r w:rsidRPr="00A63206">
        <w:rPr>
          <w:color w:val="000000"/>
          <w:sz w:val="22"/>
          <w:szCs w:val="22"/>
          <w:lang w:val="es-ES"/>
        </w:rPr>
        <w:t xml:space="preserve"> de la desaparición forzada. El Estado no sólo debe respetar este derecho, sino también facilitar condiciones que permitan la articulación y fortalecimiento de estas agrupaciones, brindando apoyo institucional y evitando cualquier tipo de obstrucción o criminalización de su labor.</w:t>
      </w:r>
    </w:p>
    <w:p w14:paraId="51201D53" w14:textId="0B35B9C2" w:rsidR="00A90270" w:rsidRPr="00A63206"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s-ES"/>
        </w:rPr>
      </w:pPr>
      <w:r w:rsidRPr="00A63206">
        <w:rPr>
          <w:color w:val="000000"/>
          <w:sz w:val="22"/>
          <w:szCs w:val="22"/>
          <w:lang w:val="es-ES"/>
        </w:rPr>
        <w:t xml:space="preserve">La asociación entre mujeres buscadoras resulta indispensable al permitirle a estas mujeres no hablar en singular de su propio caso, </w:t>
      </w:r>
      <w:r w:rsidRPr="00A63206">
        <w:rPr>
          <w:sz w:val="22"/>
          <w:szCs w:val="22"/>
          <w:lang w:val="es-ES"/>
        </w:rPr>
        <w:t>ayudándoles</w:t>
      </w:r>
      <w:r w:rsidRPr="00A63206">
        <w:rPr>
          <w:color w:val="000000"/>
          <w:sz w:val="22"/>
          <w:szCs w:val="22"/>
          <w:lang w:val="es-ES"/>
        </w:rPr>
        <w:t xml:space="preserve"> a asumir una transversalidad que les permite construir una </w:t>
      </w:r>
      <w:r w:rsidRPr="00A63206">
        <w:rPr>
          <w:i/>
          <w:color w:val="000000"/>
          <w:sz w:val="22"/>
          <w:szCs w:val="22"/>
          <w:lang w:val="es-ES"/>
        </w:rPr>
        <w:t>lucha colectiva</w:t>
      </w:r>
      <w:r w:rsidRPr="00A63206">
        <w:rPr>
          <w:color w:val="000000"/>
          <w:sz w:val="22"/>
          <w:szCs w:val="22"/>
          <w:lang w:val="es-ES"/>
        </w:rPr>
        <w:t xml:space="preserve"> y crear un sostén que muchas veces es determinante para su vinculación con el proceso que implica buscar a un familiar desaparecido</w:t>
      </w:r>
      <w:r w:rsidRPr="00A63206">
        <w:rPr>
          <w:color w:val="000000"/>
          <w:sz w:val="22"/>
          <w:szCs w:val="22"/>
          <w:vertAlign w:val="superscript"/>
          <w:lang w:val="es-ES"/>
        </w:rPr>
        <w:endnoteReference w:id="57"/>
      </w:r>
      <w:r w:rsidRPr="00A63206">
        <w:rPr>
          <w:color w:val="000000"/>
          <w:sz w:val="22"/>
          <w:szCs w:val="22"/>
          <w:lang w:val="es-ES"/>
        </w:rPr>
        <w:t>, toda vez que ayuda a dar un significado a la situación que están viviendo.</w:t>
      </w:r>
    </w:p>
    <w:p w14:paraId="3D963A6E" w14:textId="22FF2D37" w:rsidR="00A90270" w:rsidRPr="00A63206"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s-ES"/>
        </w:rPr>
      </w:pPr>
      <w:r w:rsidRPr="00A63206">
        <w:rPr>
          <w:color w:val="000000"/>
          <w:sz w:val="22"/>
          <w:szCs w:val="22"/>
          <w:lang w:val="es-ES"/>
        </w:rPr>
        <w:t>El proceso personal de las mujeres buscadoras que se ven apoyadas en otras mujeres con vivencias similares ayuda a su empoderamiento, es decir, es una promoción de su sentido de autoestima, su capacidad de determinar sus propias decisiones y su derecho a influir en el cambio social para ellas y los demás</w:t>
      </w:r>
      <w:r w:rsidRPr="00A63206">
        <w:rPr>
          <w:color w:val="000000"/>
          <w:sz w:val="22"/>
          <w:szCs w:val="22"/>
          <w:vertAlign w:val="superscript"/>
          <w:lang w:val="es-ES"/>
        </w:rPr>
        <w:endnoteReference w:id="58"/>
      </w:r>
      <w:r w:rsidRPr="00A63206">
        <w:rPr>
          <w:color w:val="000000"/>
          <w:sz w:val="22"/>
          <w:szCs w:val="22"/>
          <w:lang w:val="es-ES"/>
        </w:rPr>
        <w:t>. Este crecimiento y proceso de empoderamiento colectivo genera el fortalecimiento determinante a la hora de afrontar las dificultades tanto psicológicas como sociales que implica la búsqueda de un ser querido desaparecido</w:t>
      </w:r>
      <w:r w:rsidRPr="00A63206">
        <w:rPr>
          <w:color w:val="9900FF"/>
          <w:sz w:val="22"/>
          <w:szCs w:val="22"/>
          <w:lang w:val="es-ES"/>
        </w:rPr>
        <w:t>.</w:t>
      </w:r>
    </w:p>
    <w:p w14:paraId="5953B3DA" w14:textId="267C6D0B" w:rsidR="00A90270" w:rsidRPr="00A63206" w:rsidRDefault="00650ABC" w:rsidP="00650ABC">
      <w:pPr>
        <w:pStyle w:val="H1G"/>
        <w:rPr>
          <w:lang w:val="es-ES"/>
        </w:rPr>
      </w:pPr>
      <w:r>
        <w:rPr>
          <w:highlight w:val="white"/>
          <w:lang w:val="es-ES"/>
        </w:rPr>
        <w:tab/>
      </w:r>
      <w:r w:rsidR="00A90270" w:rsidRPr="00A63206">
        <w:rPr>
          <w:highlight w:val="white"/>
          <w:lang w:val="es-ES"/>
        </w:rPr>
        <w:t xml:space="preserve">v. </w:t>
      </w:r>
      <w:r>
        <w:rPr>
          <w:highlight w:val="white"/>
          <w:lang w:val="es-ES"/>
        </w:rPr>
        <w:tab/>
      </w:r>
      <w:r w:rsidR="00A90270" w:rsidRPr="00A63206">
        <w:rPr>
          <w:highlight w:val="white"/>
          <w:lang w:val="es-ES"/>
        </w:rPr>
        <w:t>P</w:t>
      </w:r>
      <w:r w:rsidR="00A90270" w:rsidRPr="00A63206">
        <w:rPr>
          <w:lang w:val="es-ES"/>
        </w:rPr>
        <w:t>rotección</w:t>
      </w:r>
    </w:p>
    <w:p w14:paraId="36B58CA2" w14:textId="6AE26C14" w:rsidR="00A90270" w:rsidRPr="00A63206"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s-ES"/>
        </w:rPr>
      </w:pPr>
      <w:r w:rsidRPr="00A63206">
        <w:rPr>
          <w:color w:val="000000"/>
          <w:sz w:val="22"/>
          <w:szCs w:val="22"/>
          <w:lang w:val="es-ES"/>
        </w:rPr>
        <w:t>El derecho a la protección frente a amenazas, agresiones y cualquier forma de violencia es una obligación ineludible del Estado, conforme al Artículo 18.2 de la CIPPDF. Los Estados deben garantizar el derecho de las mujeres a buscar sin miedo, y sin poner en riesgo a sus propias vidas y la de sus familiares en la búsqueda de sus seres queridos. En este sentido, los Estados tienen un deber de protección especial, pues las mujeres buscadoras se encuentran bajo un grave riesgo de sufrir diversas violaciones de derechos humanos. Al efecto, e</w:t>
      </w:r>
      <w:r w:rsidRPr="00A63206">
        <w:rPr>
          <w:sz w:val="22"/>
          <w:szCs w:val="22"/>
          <w:lang w:val="es-ES"/>
        </w:rPr>
        <w:t xml:space="preserve">l Estado debe evaluar el riesgo y determinar las medidas de protección adecuadas, asegurar que estas se adopten en consulta con las personas que necesitan de protección y </w:t>
      </w:r>
      <w:proofErr w:type="spellStart"/>
      <w:r w:rsidRPr="00A63206">
        <w:rPr>
          <w:sz w:val="22"/>
          <w:szCs w:val="22"/>
          <w:lang w:val="es-ES"/>
        </w:rPr>
        <w:t>re-evaluarlas</w:t>
      </w:r>
      <w:proofErr w:type="spellEnd"/>
      <w:r w:rsidRPr="00A63206">
        <w:rPr>
          <w:sz w:val="22"/>
          <w:szCs w:val="22"/>
          <w:lang w:val="es-ES"/>
        </w:rPr>
        <w:t xml:space="preserve"> cuando sea necesario</w:t>
      </w:r>
      <w:r w:rsidRPr="00A63206">
        <w:rPr>
          <w:color w:val="000000"/>
          <w:sz w:val="22"/>
          <w:szCs w:val="22"/>
          <w:vertAlign w:val="superscript"/>
          <w:lang w:val="es-ES"/>
        </w:rPr>
        <w:endnoteReference w:id="59"/>
      </w:r>
      <w:r w:rsidRPr="00A63206">
        <w:rPr>
          <w:sz w:val="22"/>
          <w:szCs w:val="22"/>
          <w:lang w:val="es-ES"/>
        </w:rPr>
        <w:t xml:space="preserve">, para ello </w:t>
      </w:r>
      <w:r w:rsidRPr="00A63206">
        <w:rPr>
          <w:sz w:val="22"/>
          <w:szCs w:val="22"/>
          <w:lang w:val="es-ES"/>
        </w:rPr>
        <w:lastRenderedPageBreak/>
        <w:t>deberá establecer mecanismos efectivos de prevención y reacción frente a cualquier amenaza contra su integridad y seguridad</w:t>
      </w:r>
      <w:r w:rsidRPr="00A63206">
        <w:rPr>
          <w:sz w:val="22"/>
          <w:szCs w:val="22"/>
          <w:vertAlign w:val="superscript"/>
          <w:lang w:val="es-ES"/>
        </w:rPr>
        <w:endnoteReference w:id="60"/>
      </w:r>
      <w:r w:rsidRPr="00A63206">
        <w:rPr>
          <w:sz w:val="22"/>
          <w:szCs w:val="22"/>
          <w:lang w:val="es-ES"/>
        </w:rPr>
        <w:t>.</w:t>
      </w:r>
    </w:p>
    <w:p w14:paraId="69ACF698" w14:textId="0E700D73" w:rsidR="00A90270" w:rsidRPr="00A63206" w:rsidRDefault="00650ABC" w:rsidP="006871F1">
      <w:pPr>
        <w:pStyle w:val="H1G"/>
        <w:rPr>
          <w:highlight w:val="white"/>
          <w:lang w:val="es-ES"/>
        </w:rPr>
      </w:pPr>
      <w:r>
        <w:rPr>
          <w:highlight w:val="white"/>
          <w:lang w:val="es-ES"/>
        </w:rPr>
        <w:tab/>
      </w:r>
      <w:r w:rsidR="00A90270" w:rsidRPr="00A63206">
        <w:rPr>
          <w:highlight w:val="white"/>
          <w:lang w:val="es-ES"/>
        </w:rPr>
        <w:t xml:space="preserve">vi. </w:t>
      </w:r>
      <w:r>
        <w:rPr>
          <w:highlight w:val="white"/>
          <w:lang w:val="es-ES"/>
        </w:rPr>
        <w:tab/>
      </w:r>
      <w:r w:rsidR="00A90270" w:rsidRPr="00A63206">
        <w:rPr>
          <w:highlight w:val="white"/>
          <w:lang w:val="es-ES"/>
        </w:rPr>
        <w:t>Reparación</w:t>
      </w:r>
    </w:p>
    <w:p w14:paraId="77F81599" w14:textId="6FD952BB" w:rsidR="00A90270" w:rsidRPr="00A63206" w:rsidRDefault="00A90270" w:rsidP="006871F1">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s-ES"/>
        </w:rPr>
      </w:pPr>
      <w:r w:rsidRPr="00A63206">
        <w:rPr>
          <w:color w:val="000000"/>
          <w:sz w:val="22"/>
          <w:szCs w:val="22"/>
          <w:lang w:val="es-ES"/>
        </w:rPr>
        <w:t>El artículo 24.5 de la CIPPDF establece que las víctimas tienen derecho a una reparación integral. De acuerdo con el art. 24.1 de la CIPPDF es víctima toda persona que ha sufrido un perjuicio directo como consecuencia de una desaparición forzada. A ese efecto, el Estado debe entender la especificidad del daño al que están expuestas las mujeres y las niñas, ordenar medidas de reparación específicas</w:t>
      </w:r>
      <w:r w:rsidRPr="00A63206">
        <w:rPr>
          <w:color w:val="000000"/>
          <w:sz w:val="22"/>
          <w:szCs w:val="22"/>
          <w:vertAlign w:val="superscript"/>
          <w:lang w:val="es-ES"/>
        </w:rPr>
        <w:endnoteReference w:id="61"/>
      </w:r>
      <w:r w:rsidRPr="00A63206">
        <w:rPr>
          <w:color w:val="000000"/>
          <w:sz w:val="22"/>
          <w:szCs w:val="22"/>
          <w:lang w:val="es-ES"/>
        </w:rPr>
        <w:t xml:space="preserve"> y debe abarcar las diversas afectaciones sufridas, tanto en su integridad física, emocional, económica, como social.</w:t>
      </w:r>
    </w:p>
    <w:p w14:paraId="4E98DED2" w14:textId="4BB7F5E2" w:rsidR="00A90270" w:rsidRPr="00A63206"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s-ES"/>
        </w:rPr>
      </w:pPr>
      <w:r w:rsidRPr="00A63206">
        <w:rPr>
          <w:sz w:val="22"/>
          <w:szCs w:val="22"/>
          <w:lang w:val="es-ES"/>
        </w:rPr>
        <w:t>De acuerdo con el artículo 24.4 de la CIPPDF</w:t>
      </w:r>
      <w:r w:rsidRPr="00A63206">
        <w:rPr>
          <w:color w:val="000000"/>
          <w:sz w:val="22"/>
          <w:szCs w:val="22"/>
          <w:lang w:val="es-ES"/>
        </w:rPr>
        <w:t xml:space="preserve">, los </w:t>
      </w:r>
      <w:proofErr w:type="gramStart"/>
      <w:r w:rsidRPr="00A63206">
        <w:rPr>
          <w:color w:val="000000"/>
          <w:sz w:val="22"/>
          <w:szCs w:val="22"/>
          <w:lang w:val="es-ES"/>
        </w:rPr>
        <w:t>Estados Partes</w:t>
      </w:r>
      <w:proofErr w:type="gramEnd"/>
      <w:r w:rsidRPr="00A63206">
        <w:rPr>
          <w:color w:val="000000"/>
          <w:sz w:val="22"/>
          <w:szCs w:val="22"/>
          <w:lang w:val="es-ES"/>
        </w:rPr>
        <w:t xml:space="preserve"> deben velar por que su sistema legal garantice a las mujeres </w:t>
      </w:r>
      <w:r w:rsidRPr="00A63206">
        <w:rPr>
          <w:sz w:val="22"/>
          <w:szCs w:val="22"/>
          <w:lang w:val="es-ES"/>
        </w:rPr>
        <w:t>víctimas</w:t>
      </w:r>
      <w:r w:rsidRPr="00A63206">
        <w:rPr>
          <w:color w:val="000000"/>
          <w:sz w:val="22"/>
          <w:szCs w:val="22"/>
          <w:lang w:val="es-ES"/>
        </w:rPr>
        <w:t xml:space="preserve"> de una desaparición el derecho a una indemnización rápida, justa y adecuada. A su vez, los Principios y directrices básicos sobre el derecho de las víctimas de violaciones manifiestas de las normas internacionales de derechos humanos y de violaciones graves del derecho internacional humanitario a interponer recursos y obtener reparaciones</w:t>
      </w:r>
      <w:r w:rsidRPr="00A63206">
        <w:rPr>
          <w:color w:val="000000"/>
          <w:sz w:val="22"/>
          <w:szCs w:val="22"/>
          <w:highlight w:val="white"/>
          <w:vertAlign w:val="superscript"/>
          <w:lang w:val="es-ES"/>
        </w:rPr>
        <w:endnoteReference w:id="62"/>
      </w:r>
      <w:r w:rsidRPr="00A63206">
        <w:rPr>
          <w:color w:val="000000"/>
          <w:sz w:val="22"/>
          <w:szCs w:val="22"/>
          <w:lang w:val="es-ES"/>
        </w:rPr>
        <w:t xml:space="preserve"> contemplan el diseño e implementación de programas de reparación administrativa para satisfacer el derecho de las víctimas a la reparación.  </w:t>
      </w:r>
    </w:p>
    <w:p w14:paraId="432131B4" w14:textId="13C07CAA" w:rsidR="00A90270" w:rsidRPr="00A63206"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s-ES"/>
        </w:rPr>
      </w:pPr>
      <w:r w:rsidRPr="00A63206">
        <w:rPr>
          <w:color w:val="000000"/>
          <w:sz w:val="22"/>
          <w:szCs w:val="22"/>
          <w:lang w:val="es-ES"/>
        </w:rPr>
        <w:t xml:space="preserve">La </w:t>
      </w:r>
      <w:r w:rsidRPr="00A63206">
        <w:rPr>
          <w:sz w:val="22"/>
          <w:szCs w:val="22"/>
          <w:lang w:val="es-ES"/>
        </w:rPr>
        <w:t xml:space="preserve">reparación </w:t>
      </w:r>
      <w:r w:rsidRPr="00A63206">
        <w:rPr>
          <w:color w:val="000000"/>
          <w:sz w:val="22"/>
          <w:szCs w:val="22"/>
          <w:lang w:val="es-ES"/>
        </w:rPr>
        <w:t xml:space="preserve">debe cubrir tanto los daños materiales como los morales sufridos por las mujeres y niñas desaparecidas forzadamente y las mujeres buscadoras. </w:t>
      </w:r>
      <w:r w:rsidRPr="00A63206">
        <w:rPr>
          <w:sz w:val="22"/>
          <w:szCs w:val="22"/>
          <w:lang w:val="es-ES"/>
        </w:rPr>
        <w:t>La reparación</w:t>
      </w:r>
      <w:r w:rsidRPr="00A63206">
        <w:rPr>
          <w:color w:val="000000"/>
          <w:sz w:val="22"/>
          <w:szCs w:val="22"/>
          <w:lang w:val="es-ES"/>
        </w:rPr>
        <w:t xml:space="preserve"> debe ir más allá de la restitución </w:t>
      </w:r>
      <w:r w:rsidRPr="00A63206">
        <w:rPr>
          <w:sz w:val="22"/>
          <w:szCs w:val="22"/>
          <w:lang w:val="es-ES"/>
        </w:rPr>
        <w:t xml:space="preserve">de </w:t>
      </w:r>
      <w:r w:rsidRPr="00A63206">
        <w:rPr>
          <w:color w:val="000000"/>
          <w:sz w:val="22"/>
          <w:szCs w:val="22"/>
          <w:lang w:val="es-ES"/>
        </w:rPr>
        <w:t xml:space="preserve">sus derechos y bienes, y debe contemplar los efectos sobre sus familias y seres queridos por el daño emocional. Para las mujeres buscadoras, la indemnización </w:t>
      </w:r>
      <w:r w:rsidRPr="00A63206">
        <w:rPr>
          <w:sz w:val="22"/>
          <w:szCs w:val="22"/>
          <w:lang w:val="es-ES"/>
        </w:rPr>
        <w:t>debe reconocer</w:t>
      </w:r>
      <w:r w:rsidRPr="00A63206">
        <w:rPr>
          <w:color w:val="000000"/>
          <w:sz w:val="22"/>
          <w:szCs w:val="22"/>
          <w:lang w:val="es-ES"/>
        </w:rPr>
        <w:t xml:space="preserve"> los gastos derivados de la búsqueda, incluyendo desplazamientos, gastos judiciales, documentación, y otros costos asociados a la lucha por la verdad y la justicia como las pérdidas de sueldo y de oportunidades económicas, además de reconocer el impacto emocional físico y económico que estas tareas generan en su vida cotidiana</w:t>
      </w:r>
      <w:r w:rsidRPr="00A63206">
        <w:rPr>
          <w:sz w:val="22"/>
          <w:szCs w:val="22"/>
          <w:lang w:val="es-ES"/>
        </w:rPr>
        <w:t xml:space="preserve"> de las mujeres buscadoras.</w:t>
      </w:r>
    </w:p>
    <w:p w14:paraId="257AFBDC" w14:textId="5D00BE8F" w:rsidR="00A90270" w:rsidRPr="00A63206"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s-ES"/>
        </w:rPr>
      </w:pPr>
      <w:r w:rsidRPr="00A63206">
        <w:rPr>
          <w:color w:val="000000"/>
          <w:sz w:val="22"/>
          <w:szCs w:val="22"/>
          <w:lang w:val="es-ES"/>
        </w:rPr>
        <w:t xml:space="preserve">El proceso de rehabilitación de las mujeres víctimas de desaparición forzada debe ser integral, teniendo en cuenta las necesidades emocionales, físicas, económicas y sociales de las mujeres y niñas desaparecidas forzadamente y de las mujeres buscadoras. Las mujeres que buscan y su entorno familiar </w:t>
      </w:r>
      <w:r w:rsidRPr="00A63206">
        <w:rPr>
          <w:sz w:val="22"/>
          <w:szCs w:val="22"/>
          <w:lang w:val="es-ES"/>
        </w:rPr>
        <w:t>requieren</w:t>
      </w:r>
      <w:r w:rsidRPr="00A63206">
        <w:rPr>
          <w:color w:val="000000"/>
          <w:sz w:val="22"/>
          <w:szCs w:val="22"/>
          <w:lang w:val="es-ES"/>
        </w:rPr>
        <w:t xml:space="preserve"> de apoyo psicológico y social para superar el trauma generado por la desaparición y deben recibir asistencia para retomar sus proyectos de vida, lo que incluye el acceso a servicios de salud mental y programas de apoyo familiar. </w:t>
      </w:r>
    </w:p>
    <w:p w14:paraId="4334E739" w14:textId="2638F936" w:rsidR="00A90270" w:rsidRPr="00A63206"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s-ES"/>
        </w:rPr>
      </w:pPr>
      <w:r w:rsidRPr="00A63206">
        <w:rPr>
          <w:color w:val="000000"/>
          <w:sz w:val="22"/>
          <w:szCs w:val="22"/>
          <w:lang w:val="es-ES"/>
        </w:rPr>
        <w:t xml:space="preserve">La satisfacción, en este contexto, implica el reconocimiento del sufrimiento de las mujeres y niñas víctimas de desaparición forzada y de las mujeres buscadoras. Además, las víctimas deben ser reconocidas públicamente, y el Estado debe asumir la responsabilidad por las violaciones a los derechos humanos. Las mujeres deben tener la oportunidad de expresar su dolor y su lucha, siendo incluidas en los procesos de justicia y memoria histórica, considerándose como defensoras de derechos humanos. La satisfacción debe incluir medidas para preservar la memoria tanto de las mujeres y niñas desaparecidas forzadamente como de las mujeres buscadoras. </w:t>
      </w:r>
    </w:p>
    <w:p w14:paraId="49E20A65" w14:textId="087CB323" w:rsidR="00A90270" w:rsidRPr="00A63206"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s-ES"/>
        </w:rPr>
      </w:pPr>
      <w:r w:rsidRPr="00A63206">
        <w:rPr>
          <w:color w:val="000000"/>
          <w:sz w:val="22"/>
          <w:szCs w:val="22"/>
          <w:lang w:val="es-ES"/>
        </w:rPr>
        <w:t>Las garantías de no repetición son esenciales para evitar que las desapariciones forzadas de mujeres y niñas y la violencia estructural que enfrentan las mujeres buscadoras se repitan en el futuro. Es crucial que se fortalezcan las capacidades de las instituciones encargadas de proteger los derechos de las mujeres y niñas, garantizando que las mujeres que luchan por la verdad y la justicia no sean víctimas de violencia de género o nuevas victimizaciones en el proceso.</w:t>
      </w:r>
    </w:p>
    <w:p w14:paraId="75A0D84D" w14:textId="74D04712" w:rsidR="00A90270" w:rsidRPr="00A63206" w:rsidRDefault="0016694D" w:rsidP="0016694D">
      <w:pPr>
        <w:pStyle w:val="H23G"/>
        <w:rPr>
          <w:lang w:val="es-ES"/>
        </w:rPr>
      </w:pPr>
      <w:r>
        <w:rPr>
          <w:lang w:val="es-ES"/>
        </w:rPr>
        <w:tab/>
        <w:t>a.</w:t>
      </w:r>
      <w:r>
        <w:rPr>
          <w:lang w:val="es-ES"/>
        </w:rPr>
        <w:tab/>
      </w:r>
      <w:r w:rsidR="00A90270" w:rsidRPr="00D02339">
        <w:rPr>
          <w:lang w:val="es-ES"/>
        </w:rPr>
        <w:t xml:space="preserve"> Memoria</w:t>
      </w:r>
    </w:p>
    <w:p w14:paraId="5675758C" w14:textId="705E93D1" w:rsidR="00A90270" w:rsidRPr="00A63206"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s-ES"/>
        </w:rPr>
      </w:pPr>
      <w:r w:rsidRPr="00A63206">
        <w:rPr>
          <w:color w:val="000000"/>
          <w:sz w:val="22"/>
          <w:szCs w:val="22"/>
          <w:highlight w:val="white"/>
          <w:lang w:val="es-ES"/>
        </w:rPr>
        <w:t>La memoria es la forma en la que las personas y los pueblos construyen sentido acerca del pasado y relacionan el paso del tiempo con el presente a través del acto de recordar</w:t>
      </w:r>
      <w:r w:rsidRPr="00A63206">
        <w:rPr>
          <w:color w:val="000000"/>
          <w:sz w:val="22"/>
          <w:szCs w:val="22"/>
          <w:highlight w:val="white"/>
          <w:vertAlign w:val="superscript"/>
          <w:lang w:val="es-ES"/>
        </w:rPr>
        <w:endnoteReference w:id="63"/>
      </w:r>
      <w:r w:rsidRPr="00A63206">
        <w:rPr>
          <w:color w:val="000000"/>
          <w:sz w:val="22"/>
          <w:szCs w:val="22"/>
          <w:highlight w:val="white"/>
          <w:lang w:val="es-ES"/>
        </w:rPr>
        <w:t xml:space="preserve">. El recordar se constituye como corolario del derecho a la verdad, lo que resulta de suma importancia al asegurar la implementación de medidas de no </w:t>
      </w:r>
      <w:r w:rsidRPr="0055550A">
        <w:rPr>
          <w:color w:val="000000"/>
          <w:sz w:val="22"/>
          <w:szCs w:val="22"/>
          <w:lang w:val="es-ES"/>
        </w:rPr>
        <w:t>repetición</w:t>
      </w:r>
      <w:r w:rsidRPr="00A63206">
        <w:rPr>
          <w:color w:val="000000"/>
          <w:sz w:val="22"/>
          <w:szCs w:val="22"/>
          <w:highlight w:val="white"/>
          <w:lang w:val="es-ES"/>
        </w:rPr>
        <w:t xml:space="preserve"> de hechos pasados</w:t>
      </w:r>
      <w:r w:rsidRPr="00A63206">
        <w:rPr>
          <w:color w:val="000000"/>
          <w:sz w:val="22"/>
          <w:szCs w:val="22"/>
          <w:highlight w:val="white"/>
          <w:vertAlign w:val="superscript"/>
          <w:lang w:val="es-ES"/>
        </w:rPr>
        <w:endnoteReference w:id="64"/>
      </w:r>
      <w:r w:rsidRPr="00A63206">
        <w:rPr>
          <w:color w:val="000000"/>
          <w:sz w:val="22"/>
          <w:szCs w:val="22"/>
          <w:highlight w:val="white"/>
          <w:lang w:val="es-ES"/>
        </w:rPr>
        <w:t>.</w:t>
      </w:r>
    </w:p>
    <w:p w14:paraId="6207943D" w14:textId="32F03503" w:rsidR="00A90270" w:rsidRPr="00A63206"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s-ES"/>
        </w:rPr>
      </w:pPr>
      <w:r w:rsidRPr="00A63206">
        <w:rPr>
          <w:color w:val="000000"/>
          <w:sz w:val="22"/>
          <w:szCs w:val="22"/>
          <w:highlight w:val="white"/>
          <w:lang w:val="es-ES"/>
        </w:rPr>
        <w:lastRenderedPageBreak/>
        <w:t>Las desapariciones forzadas son un desafío para la construcción de procesos de paz.  Las mujeres, niñas y sus familias se convierten en agentes fundamentales para la convivencia, la memoria y la reconciliación</w:t>
      </w:r>
      <w:r w:rsidRPr="00A63206">
        <w:rPr>
          <w:color w:val="000000"/>
          <w:sz w:val="22"/>
          <w:szCs w:val="22"/>
          <w:highlight w:val="white"/>
          <w:vertAlign w:val="superscript"/>
          <w:lang w:val="es-ES"/>
        </w:rPr>
        <w:endnoteReference w:id="65"/>
      </w:r>
      <w:r w:rsidRPr="00A63206">
        <w:rPr>
          <w:color w:val="000000"/>
          <w:sz w:val="22"/>
          <w:szCs w:val="22"/>
          <w:highlight w:val="white"/>
          <w:lang w:val="es-ES"/>
        </w:rPr>
        <w:t xml:space="preserve">. La memoria sirve como un medio para la justicia, de manera que resulta indispensable que los Estados a través de decisiones judiciales, legislativas y administrativas garanticen el diseño e implementación de políticas públicas enfocadas en la memoria. En concreto, se debe asegurar la preservación física de los sitios de memoria, evitando la sustracción, </w:t>
      </w:r>
      <w:r w:rsidRPr="0055550A">
        <w:rPr>
          <w:color w:val="000000"/>
          <w:sz w:val="22"/>
          <w:szCs w:val="22"/>
          <w:lang w:val="es-ES"/>
        </w:rPr>
        <w:t>destrucción</w:t>
      </w:r>
      <w:r w:rsidRPr="00A63206">
        <w:rPr>
          <w:color w:val="000000"/>
          <w:sz w:val="22"/>
          <w:szCs w:val="22"/>
          <w:highlight w:val="white"/>
          <w:lang w:val="es-ES"/>
        </w:rPr>
        <w:t xml:space="preserve"> o falsificación de imágenes, planos, documentos, archivos o cualquier otro tipo de información que reconstruya la realidad sobre las violaciones de derechos humanos relativas a desaparición forzada</w:t>
      </w:r>
      <w:r w:rsidRPr="00A63206">
        <w:rPr>
          <w:color w:val="000000"/>
          <w:sz w:val="22"/>
          <w:szCs w:val="22"/>
          <w:highlight w:val="white"/>
          <w:vertAlign w:val="superscript"/>
          <w:lang w:val="es-ES"/>
        </w:rPr>
        <w:endnoteReference w:id="66"/>
      </w:r>
      <w:r w:rsidRPr="00A63206">
        <w:rPr>
          <w:color w:val="000000"/>
          <w:sz w:val="22"/>
          <w:szCs w:val="22"/>
          <w:lang w:val="es-ES"/>
        </w:rPr>
        <w:t>.</w:t>
      </w:r>
    </w:p>
    <w:p w14:paraId="34C3EB57" w14:textId="1C509EF3" w:rsidR="00A90270" w:rsidRPr="00A63206"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s-ES"/>
        </w:rPr>
      </w:pPr>
      <w:r w:rsidRPr="00A63206">
        <w:rPr>
          <w:color w:val="000000"/>
          <w:sz w:val="22"/>
          <w:szCs w:val="22"/>
          <w:highlight w:val="white"/>
          <w:lang w:val="es-ES"/>
        </w:rPr>
        <w:t xml:space="preserve">Históricamente, la construcción de la memoria ha tenido una </w:t>
      </w:r>
      <w:r w:rsidRPr="0055550A">
        <w:rPr>
          <w:color w:val="000000"/>
          <w:sz w:val="22"/>
          <w:szCs w:val="22"/>
          <w:lang w:val="es-ES"/>
        </w:rPr>
        <w:t>mirada</w:t>
      </w:r>
      <w:r w:rsidRPr="00A63206">
        <w:rPr>
          <w:color w:val="000000"/>
          <w:sz w:val="22"/>
          <w:szCs w:val="22"/>
          <w:highlight w:val="white"/>
          <w:lang w:val="es-ES"/>
        </w:rPr>
        <w:t xml:space="preserve"> masculina, que ha invisibilizado el papel de las mujeres en la resistencia y la búsqueda de justicia. La participación de las víctimas en la creación de políticas de memoria es esencial para que tengan espacios serios, libres de discriminación y violencia de género, donde puedan dar a conocer sus puntos de vistas y puedan informar al Estado sus necesidades específicas, y reparar integralmente a las mujeres desaparecidas forzadamente y a las mujeres buscadoras.</w:t>
      </w:r>
    </w:p>
    <w:p w14:paraId="14C3D41F" w14:textId="77777777" w:rsidR="0016694D" w:rsidRDefault="00A90270" w:rsidP="0016694D">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s-ES"/>
        </w:rPr>
      </w:pPr>
      <w:r w:rsidRPr="00A63206">
        <w:rPr>
          <w:color w:val="000000"/>
          <w:sz w:val="22"/>
          <w:szCs w:val="22"/>
          <w:highlight w:val="white"/>
          <w:lang w:val="es-ES"/>
        </w:rPr>
        <w:t xml:space="preserve">La memoria se encuentra relacionada directamente con el </w:t>
      </w:r>
      <w:r w:rsidRPr="0055550A">
        <w:rPr>
          <w:color w:val="000000"/>
          <w:sz w:val="22"/>
          <w:szCs w:val="22"/>
          <w:lang w:val="es-ES"/>
        </w:rPr>
        <w:t>derecho</w:t>
      </w:r>
      <w:r w:rsidRPr="00A63206">
        <w:rPr>
          <w:color w:val="000000"/>
          <w:sz w:val="22"/>
          <w:szCs w:val="22"/>
          <w:highlight w:val="white"/>
          <w:lang w:val="es-ES"/>
        </w:rPr>
        <w:t xml:space="preserve"> a la verdad. En este sentido, los Estados también tienen la obligación de garantizar el acceso a la información relativa a las circunstancias que rodean estos crímenes, esto es, los hechos previos, posteriores y coetáneos. </w:t>
      </w:r>
    </w:p>
    <w:p w14:paraId="0E1AE59E" w14:textId="376973A0" w:rsidR="00A90270" w:rsidRPr="0016694D" w:rsidRDefault="0016694D" w:rsidP="0016694D">
      <w:pPr>
        <w:pStyle w:val="H23G"/>
        <w:rPr>
          <w:lang w:val="es-ES"/>
        </w:rPr>
      </w:pPr>
      <w:r>
        <w:rPr>
          <w:lang w:val="es-ES"/>
        </w:rPr>
        <w:tab/>
        <w:t>b.</w:t>
      </w:r>
      <w:r>
        <w:rPr>
          <w:lang w:val="es-ES"/>
        </w:rPr>
        <w:tab/>
      </w:r>
      <w:r w:rsidR="00A90270" w:rsidRPr="0016694D">
        <w:rPr>
          <w:lang w:val="es-ES"/>
        </w:rPr>
        <w:t>El proyecto de vida</w:t>
      </w:r>
    </w:p>
    <w:p w14:paraId="2912F62F" w14:textId="3629FC95" w:rsidR="00A90270"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s-ES"/>
        </w:rPr>
      </w:pPr>
      <w:r w:rsidRPr="00A63206">
        <w:rPr>
          <w:color w:val="000000"/>
          <w:sz w:val="22"/>
          <w:szCs w:val="22"/>
          <w:highlight w:val="white"/>
          <w:lang w:val="es-ES"/>
        </w:rPr>
        <w:t xml:space="preserve">El proyecto de vida de una persona se asocia al concepto de realización personal que, a su vez, se sustenta de las distintas opciones que puede tener un sujeto para conducir su vida y alcanzar el destino que se propone. Si bien este no es un resultado seguro, sino una situación probable dentro del natural y previsible desenvolvimiento del </w:t>
      </w:r>
      <w:proofErr w:type="gramStart"/>
      <w:r w:rsidRPr="00A63206">
        <w:rPr>
          <w:color w:val="000000"/>
          <w:sz w:val="22"/>
          <w:szCs w:val="22"/>
          <w:highlight w:val="white"/>
          <w:lang w:val="es-ES"/>
        </w:rPr>
        <w:t>sujeto,</w:t>
      </w:r>
      <w:proofErr w:type="gramEnd"/>
      <w:r w:rsidRPr="00A63206">
        <w:rPr>
          <w:color w:val="000000"/>
          <w:sz w:val="22"/>
          <w:szCs w:val="22"/>
          <w:highlight w:val="white"/>
          <w:lang w:val="es-ES"/>
        </w:rPr>
        <w:t xml:space="preserve"> existe una vulneración del proyecto de vida toda vez que se presenten hechos violatorios de derechos que impidan u obstruyan seriamente la obtención del resultado previsto y esperado, y por ende alteran en forma sustancial el desarrollo del individuo</w:t>
      </w:r>
      <w:r w:rsidRPr="00A63206">
        <w:rPr>
          <w:color w:val="000000"/>
          <w:sz w:val="22"/>
          <w:szCs w:val="22"/>
          <w:highlight w:val="white"/>
          <w:vertAlign w:val="superscript"/>
          <w:lang w:val="es-ES"/>
        </w:rPr>
        <w:endnoteReference w:id="67"/>
      </w:r>
      <w:r w:rsidRPr="00A63206">
        <w:rPr>
          <w:color w:val="000000"/>
          <w:sz w:val="22"/>
          <w:szCs w:val="22"/>
          <w:highlight w:val="white"/>
          <w:lang w:val="es-ES"/>
        </w:rPr>
        <w:t xml:space="preserve">. </w:t>
      </w:r>
    </w:p>
    <w:p w14:paraId="06747E4E" w14:textId="60DD30F9" w:rsidR="0016694D" w:rsidRPr="0016694D" w:rsidRDefault="00A90270" w:rsidP="0016694D">
      <w:pPr>
        <w:pStyle w:val="SingleTxtG"/>
        <w:numPr>
          <w:ilvl w:val="0"/>
          <w:numId w:val="18"/>
        </w:numPr>
        <w:pBdr>
          <w:top w:val="nil"/>
          <w:left w:val="nil"/>
          <w:bottom w:val="nil"/>
          <w:right w:val="nil"/>
          <w:between w:val="nil"/>
        </w:pBdr>
        <w:shd w:val="clear" w:color="auto" w:fill="FFFFFF"/>
        <w:tabs>
          <w:tab w:val="left" w:pos="426"/>
        </w:tabs>
        <w:ind w:left="1134" w:right="49" w:firstLine="0"/>
        <w:rPr>
          <w:sz w:val="22"/>
          <w:szCs w:val="22"/>
          <w:lang w:val="es-PA"/>
        </w:rPr>
      </w:pPr>
      <w:r w:rsidRPr="002960EF">
        <w:rPr>
          <w:color w:val="000000"/>
          <w:sz w:val="22"/>
          <w:szCs w:val="22"/>
          <w:lang w:val="es-PA"/>
        </w:rPr>
        <w:t xml:space="preserve">Las mujeres y las niñas desaparecidas eran personas </w:t>
      </w:r>
      <w:r w:rsidRPr="0055550A">
        <w:rPr>
          <w:color w:val="000000"/>
          <w:sz w:val="22"/>
          <w:szCs w:val="22"/>
          <w:lang w:val="es-ES"/>
        </w:rPr>
        <w:t>con</w:t>
      </w:r>
      <w:r w:rsidRPr="002960EF">
        <w:rPr>
          <w:color w:val="000000"/>
          <w:sz w:val="22"/>
          <w:szCs w:val="22"/>
          <w:lang w:val="es-PA"/>
        </w:rPr>
        <w:t xml:space="preserve"> sueños propios, metas personales y con una identidad individual que se construía a cada paso, su desaparición </w:t>
      </w:r>
      <w:r w:rsidRPr="002960EF">
        <w:rPr>
          <w:sz w:val="22"/>
          <w:szCs w:val="22"/>
          <w:lang w:val="es-PA"/>
        </w:rPr>
        <w:t xml:space="preserve">frustra de su propio destino </w:t>
      </w:r>
      <w:r w:rsidRPr="00CB6998">
        <w:rPr>
          <w:color w:val="000000"/>
          <w:sz w:val="22"/>
          <w:szCs w:val="22"/>
          <w:lang w:val="es-PA"/>
        </w:rPr>
        <w:t xml:space="preserve">y </w:t>
      </w:r>
      <w:r w:rsidRPr="002960EF">
        <w:rPr>
          <w:color w:val="000000"/>
          <w:sz w:val="22"/>
          <w:szCs w:val="22"/>
          <w:lang w:val="es-PA"/>
        </w:rPr>
        <w:t>su proyecto de vida se trunca con devastadoras consecuencias.</w:t>
      </w:r>
    </w:p>
    <w:p w14:paraId="3102C6AB" w14:textId="4AA3BC1D" w:rsidR="00A90270" w:rsidRPr="0016694D" w:rsidRDefault="00A90270" w:rsidP="0016694D">
      <w:pPr>
        <w:pStyle w:val="SingleTxtG"/>
        <w:numPr>
          <w:ilvl w:val="0"/>
          <w:numId w:val="18"/>
        </w:numPr>
        <w:pBdr>
          <w:top w:val="nil"/>
          <w:left w:val="nil"/>
          <w:bottom w:val="nil"/>
          <w:right w:val="nil"/>
          <w:between w:val="nil"/>
        </w:pBdr>
        <w:shd w:val="clear" w:color="auto" w:fill="FFFFFF"/>
        <w:tabs>
          <w:tab w:val="left" w:pos="426"/>
        </w:tabs>
        <w:ind w:left="1134" w:right="49" w:firstLine="0"/>
        <w:rPr>
          <w:sz w:val="22"/>
          <w:szCs w:val="22"/>
          <w:lang w:val="es-PA"/>
        </w:rPr>
      </w:pPr>
      <w:r w:rsidRPr="0016694D">
        <w:rPr>
          <w:color w:val="000000"/>
          <w:sz w:val="22"/>
          <w:szCs w:val="22"/>
          <w:lang w:val="es-ES"/>
        </w:rPr>
        <w:t xml:space="preserve"> La desaparición forzada tiene un impacto profundamente negativo en el bienestar psicológico, social y económico de las mujeres, incluyendo a sus familias y a toda su comunidad</w:t>
      </w:r>
      <w:r w:rsidRPr="00A63206">
        <w:rPr>
          <w:vertAlign w:val="superscript"/>
          <w:lang w:val="es-ES"/>
        </w:rPr>
        <w:endnoteReference w:id="68"/>
      </w:r>
      <w:r w:rsidRPr="0016694D">
        <w:rPr>
          <w:color w:val="000000"/>
          <w:sz w:val="22"/>
          <w:szCs w:val="22"/>
          <w:lang w:val="es-ES"/>
        </w:rPr>
        <w:t>. La ausencia de un ser querido o incluso de un cuerpo que sepultar deja a las familias en un limbo de incertidumbre que pone en pausa sus vidas y proyectos de vida</w:t>
      </w:r>
      <w:r w:rsidRPr="00A63206">
        <w:rPr>
          <w:vertAlign w:val="superscript"/>
          <w:lang w:val="es-ES"/>
        </w:rPr>
        <w:endnoteReference w:id="69"/>
      </w:r>
      <w:r w:rsidRPr="0016694D">
        <w:rPr>
          <w:color w:val="000000"/>
          <w:sz w:val="22"/>
          <w:szCs w:val="22"/>
          <w:lang w:val="es-ES"/>
        </w:rPr>
        <w:t xml:space="preserve">. </w:t>
      </w:r>
    </w:p>
    <w:p w14:paraId="6F325D66" w14:textId="1F026346" w:rsidR="00A90270" w:rsidRPr="00A63206"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s-ES"/>
        </w:rPr>
      </w:pPr>
      <w:r w:rsidRPr="00A63206">
        <w:rPr>
          <w:color w:val="000000"/>
          <w:sz w:val="22"/>
          <w:szCs w:val="22"/>
          <w:lang w:val="es-ES"/>
        </w:rPr>
        <w:t>La reconstrucción del proyecto de vida debe atender a la realización integral de la persona afectada, considerando tanto su vocación, aptitudes, circunstancias, potencialidad y aspiraciones, que le permitan fijar razonablemente expectativas de realización personal</w:t>
      </w:r>
      <w:r w:rsidRPr="00A63206">
        <w:rPr>
          <w:color w:val="000000"/>
          <w:sz w:val="22"/>
          <w:szCs w:val="22"/>
          <w:vertAlign w:val="superscript"/>
          <w:lang w:val="es-ES"/>
        </w:rPr>
        <w:endnoteReference w:id="70"/>
      </w:r>
      <w:r w:rsidRPr="00A63206">
        <w:rPr>
          <w:color w:val="000000"/>
          <w:sz w:val="22"/>
          <w:szCs w:val="22"/>
          <w:lang w:val="es-ES"/>
        </w:rPr>
        <w:t>. Estas medidas deben ir más allá de la mera indemnización monetaria, pues se debe garantizar medidas de rehabilitación, satisfacción y no repetición. Es importante proporcionar a las víctimas un alivio moral y, para ello, resulta fundamental la escucha y la memoria</w:t>
      </w:r>
      <w:r w:rsidRPr="00A63206">
        <w:rPr>
          <w:color w:val="000000"/>
          <w:sz w:val="22"/>
          <w:szCs w:val="22"/>
          <w:vertAlign w:val="superscript"/>
          <w:lang w:val="es-ES"/>
        </w:rPr>
        <w:endnoteReference w:id="71"/>
      </w:r>
      <w:r w:rsidRPr="00A63206">
        <w:rPr>
          <w:color w:val="000000"/>
          <w:sz w:val="22"/>
          <w:szCs w:val="22"/>
          <w:lang w:val="es-ES"/>
        </w:rPr>
        <w:t>.</w:t>
      </w:r>
    </w:p>
    <w:p w14:paraId="06254E36" w14:textId="13E06B7B" w:rsidR="00A90270" w:rsidRPr="00A63206" w:rsidRDefault="0016694D" w:rsidP="0016694D">
      <w:pPr>
        <w:pStyle w:val="HChG"/>
        <w:rPr>
          <w:lang w:val="es-ES"/>
        </w:rPr>
      </w:pPr>
      <w:r>
        <w:rPr>
          <w:lang w:val="es-ES"/>
        </w:rPr>
        <w:tab/>
      </w:r>
      <w:r w:rsidR="00A90270" w:rsidRPr="00A63206">
        <w:rPr>
          <w:lang w:val="es-ES"/>
        </w:rPr>
        <w:t xml:space="preserve">IV. </w:t>
      </w:r>
      <w:r>
        <w:rPr>
          <w:lang w:val="es-ES"/>
        </w:rPr>
        <w:tab/>
      </w:r>
      <w:r w:rsidR="00A90270" w:rsidRPr="00A63206">
        <w:rPr>
          <w:lang w:val="es-ES"/>
        </w:rPr>
        <w:t>La desaparición forzada y los derechos económicos, sociales, culturales.</w:t>
      </w:r>
    </w:p>
    <w:p w14:paraId="18CB59F2" w14:textId="2B1256D8" w:rsidR="00A90270" w:rsidRPr="00A63206"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highlight w:val="white"/>
          <w:lang w:val="es-ES"/>
        </w:rPr>
      </w:pPr>
      <w:r w:rsidRPr="00A63206">
        <w:rPr>
          <w:color w:val="000000"/>
          <w:sz w:val="22"/>
          <w:szCs w:val="22"/>
          <w:lang w:val="es-ES"/>
        </w:rPr>
        <w:t>La desaparición forzada no solo afecta el bienestar inmediato de las mujeres, sino que también limita el ejercicio de sus derechos económicos, sociales y culturales, generando impactos prolongados en sus vidas. Muchas enfrentan una constante presión económica, viéndose obligadas a aceptar trabajos precarios y mal remunerados, o incluso a caer en la pobreza extrema debido a la pérdida de su principal fuente</w:t>
      </w:r>
      <w:r w:rsidRPr="00A63206">
        <w:rPr>
          <w:color w:val="000000"/>
          <w:sz w:val="22"/>
          <w:szCs w:val="22"/>
          <w:highlight w:val="white"/>
          <w:lang w:val="es-ES"/>
        </w:rPr>
        <w:t xml:space="preserve"> de ingresos</w:t>
      </w:r>
      <w:r w:rsidRPr="00A63206">
        <w:rPr>
          <w:color w:val="000000"/>
          <w:sz w:val="22"/>
          <w:szCs w:val="22"/>
          <w:highlight w:val="white"/>
          <w:vertAlign w:val="superscript"/>
          <w:lang w:val="es-ES"/>
        </w:rPr>
        <w:endnoteReference w:id="72"/>
      </w:r>
      <w:r w:rsidRPr="00A63206">
        <w:rPr>
          <w:color w:val="000000"/>
          <w:sz w:val="22"/>
          <w:szCs w:val="22"/>
          <w:highlight w:val="white"/>
          <w:lang w:val="es-ES"/>
        </w:rPr>
        <w:t xml:space="preserve">. </w:t>
      </w:r>
    </w:p>
    <w:p w14:paraId="3EDF3628" w14:textId="4EFD0E8C" w:rsidR="00A90270" w:rsidRPr="00A63206"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sz w:val="22"/>
          <w:szCs w:val="22"/>
          <w:highlight w:val="white"/>
          <w:lang w:val="es-ES"/>
        </w:rPr>
      </w:pPr>
      <w:r w:rsidRPr="00A63206">
        <w:rPr>
          <w:sz w:val="22"/>
          <w:szCs w:val="22"/>
          <w:lang w:val="es-ES"/>
        </w:rPr>
        <w:t xml:space="preserve">En algunos Estados cuando la persona cabeza de familia desaparece, las mujeres no pueden ejercer sus derechos de familia, de propiedad, ni hacerse cargo de los </w:t>
      </w:r>
      <w:r w:rsidRPr="0055550A">
        <w:rPr>
          <w:color w:val="000000"/>
          <w:sz w:val="22"/>
          <w:szCs w:val="22"/>
          <w:lang w:val="es-ES"/>
        </w:rPr>
        <w:t>asuntos</w:t>
      </w:r>
      <w:r w:rsidRPr="00A63206">
        <w:rPr>
          <w:sz w:val="22"/>
          <w:szCs w:val="22"/>
          <w:lang w:val="es-ES"/>
        </w:rPr>
        <w:t xml:space="preserve"> financieros o tener acceso a medidas de </w:t>
      </w:r>
      <w:r w:rsidRPr="00A63206">
        <w:rPr>
          <w:sz w:val="22"/>
          <w:szCs w:val="22"/>
          <w:lang w:val="es-ES"/>
        </w:rPr>
        <w:lastRenderedPageBreak/>
        <w:t>protección y bienestar social, debido a exigencias y obstáculos legales, tales como contar con evidencia de la desaparición o una declaración de muerte presunta de la persona desaparecida,  aun cuando se desconoce su suerte o paradero, evidenciando que no se toma en cuenta la complejidad del delito de desaparición forzada y su carácter continuo</w:t>
      </w:r>
      <w:r w:rsidRPr="00A63206">
        <w:rPr>
          <w:sz w:val="22"/>
          <w:szCs w:val="22"/>
          <w:vertAlign w:val="superscript"/>
          <w:lang w:val="es-ES"/>
        </w:rPr>
        <w:endnoteReference w:id="73"/>
      </w:r>
      <w:r w:rsidRPr="00A63206">
        <w:rPr>
          <w:sz w:val="22"/>
          <w:szCs w:val="22"/>
          <w:lang w:val="es-ES"/>
        </w:rPr>
        <w:t xml:space="preserve">.  </w:t>
      </w:r>
    </w:p>
    <w:p w14:paraId="2FA1667F" w14:textId="392F0988" w:rsidR="00A90270" w:rsidRPr="00A63206"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s-ES"/>
        </w:rPr>
      </w:pPr>
      <w:r w:rsidRPr="00A63206">
        <w:rPr>
          <w:color w:val="000000"/>
          <w:sz w:val="22"/>
          <w:szCs w:val="22"/>
          <w:lang w:val="es-ES"/>
        </w:rPr>
        <w:t>La desaparición forzada afecta el acceso de las mujeres a derechos como la salud, la educación, el trabajo y la vivienda. La afectación del derecho a la salud es particularmente grave, ya que el trauma emocional y psicológico derivado de la desaparición forzada, combinado con la falta de apoyo adecuado por parte del sistema de salud, deteriora la salud mental de las mujeres y sus familias. La situación de estrés prolongado puede llevar al desarrollo de trastornos emocionales graves, que requieren atención especializada, generalmente no disponible para las mujeres buscadoras.</w:t>
      </w:r>
    </w:p>
    <w:p w14:paraId="54F58C60" w14:textId="41CC27D3" w:rsidR="00A90270" w:rsidRPr="00A63206"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s-ES"/>
        </w:rPr>
      </w:pPr>
      <w:r w:rsidRPr="00A63206">
        <w:rPr>
          <w:color w:val="000000"/>
          <w:sz w:val="22"/>
          <w:szCs w:val="22"/>
          <w:lang w:val="es-ES"/>
        </w:rPr>
        <w:t>El derecho a la educación también se ve afectado, dado que muchas mujeres se ven obligadas a abandonar sus estudios o limitan sus posibilidades de acceder a la educación formal debido a las múltiples responsabilidades que deben asumir. La carga de cuidado y búsqueda deja poco espacio para la educació</w:t>
      </w:r>
      <w:r w:rsidRPr="00A63206">
        <w:rPr>
          <w:color w:val="000000"/>
          <w:sz w:val="22"/>
          <w:szCs w:val="22"/>
          <w:highlight w:val="white"/>
          <w:lang w:val="es-ES"/>
        </w:rPr>
        <w:t>n, lo que contribuye a perpetuar la exclusión de las mujeres del desarrollo social y económico. Por otra parte, en algunos Estados las hijas e hijos de la familia pueden ser privados de sus derechos a la educación, considerando la necesidad del acuerdo del padre desaparecido para acceder a la escuela.</w:t>
      </w:r>
      <w:r w:rsidRPr="00A63206">
        <w:rPr>
          <w:color w:val="000000"/>
          <w:sz w:val="22"/>
          <w:szCs w:val="22"/>
          <w:highlight w:val="white"/>
          <w:vertAlign w:val="superscript"/>
          <w:lang w:val="es-ES"/>
        </w:rPr>
        <w:endnoteReference w:id="74"/>
      </w:r>
      <w:r w:rsidRPr="00A63206">
        <w:rPr>
          <w:color w:val="000000"/>
          <w:sz w:val="22"/>
          <w:szCs w:val="22"/>
          <w:highlight w:val="white"/>
          <w:lang w:val="es-ES"/>
        </w:rPr>
        <w:t xml:space="preserve"> </w:t>
      </w:r>
    </w:p>
    <w:p w14:paraId="7385CED6" w14:textId="13BFF444" w:rsidR="00A90270" w:rsidRPr="00A63206"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s-ES"/>
        </w:rPr>
      </w:pPr>
      <w:r w:rsidRPr="00A63206">
        <w:rPr>
          <w:color w:val="000000"/>
          <w:sz w:val="22"/>
          <w:szCs w:val="22"/>
          <w:lang w:val="es-ES"/>
        </w:rPr>
        <w:t>En cuanto al derecho a la vivienda, las mujeres afectadas por la desaparición forzada enfrentan inseguridad habitacional debido a su situación económica precaria y en algunos casos a su condición de desplazadas. La pérdida de un proveedor principal y la falta de acceso a ingresos suficientes generan una inestabilidad en la vivienda y vulneran su derecho a una vivienda digna.</w:t>
      </w:r>
    </w:p>
    <w:p w14:paraId="5669ACA1" w14:textId="3E689B36" w:rsidR="00A90270" w:rsidRPr="00A63206"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s-ES"/>
        </w:rPr>
      </w:pPr>
      <w:r w:rsidRPr="00A63206">
        <w:rPr>
          <w:color w:val="000000"/>
          <w:sz w:val="22"/>
          <w:szCs w:val="22"/>
          <w:highlight w:val="white"/>
          <w:lang w:val="es-ES"/>
        </w:rPr>
        <w:t xml:space="preserve">La carga de labores de cuidado se intensifica, ya que las mujeres asumen la responsabilidad de proteger a los miembros restantes de la familia, incluida la crianza de los hijos e hijas, o en algunos casos, la crianza de </w:t>
      </w:r>
      <w:proofErr w:type="gramStart"/>
      <w:r w:rsidRPr="00A63206">
        <w:rPr>
          <w:color w:val="000000"/>
          <w:sz w:val="22"/>
          <w:szCs w:val="22"/>
          <w:highlight w:val="white"/>
          <w:lang w:val="es-ES"/>
        </w:rPr>
        <w:t>los nietos y nietas</w:t>
      </w:r>
      <w:proofErr w:type="gramEnd"/>
      <w:r w:rsidRPr="00A63206">
        <w:rPr>
          <w:color w:val="000000"/>
          <w:sz w:val="22"/>
          <w:szCs w:val="22"/>
          <w:highlight w:val="white"/>
          <w:lang w:val="es-ES"/>
        </w:rPr>
        <w:t>. Las labores de cuidado se encuentran profundamente arraigadas en un modelo de división sexista del trabajo, que infravalora la contribución de las mujeres al bienestar social y económico, contribuyendo a su marginación. La invisibili</w:t>
      </w:r>
      <w:r>
        <w:rPr>
          <w:color w:val="000000"/>
          <w:sz w:val="22"/>
          <w:szCs w:val="22"/>
          <w:highlight w:val="white"/>
          <w:lang w:val="es-ES"/>
        </w:rPr>
        <w:t>dad</w:t>
      </w:r>
      <w:r w:rsidRPr="00A63206">
        <w:rPr>
          <w:color w:val="000000"/>
          <w:sz w:val="22"/>
          <w:szCs w:val="22"/>
          <w:highlight w:val="white"/>
          <w:lang w:val="es-ES"/>
        </w:rPr>
        <w:t xml:space="preserve"> de su trabajo de cuidado, considerado una labor no remunerada y obligatoria, agrava su precariedad. La mayoría asume una "triple jornada", combinando las responsabilidades domésticas con la búsqueda activa de sus familiares y la gestión de procesos legales para acceder a la justicia. La ausencia de mecanismos que valoren esta tarea como una contribución social y jurídica legítima, refuerza su situación de desventaja, perpetuando su vulnerabilidad y dificultando el acceso a medidas efectivas de reparación. </w:t>
      </w:r>
    </w:p>
    <w:p w14:paraId="29979826" w14:textId="2D406699" w:rsidR="00A90270" w:rsidRPr="00A63206" w:rsidRDefault="0016694D" w:rsidP="0016694D">
      <w:pPr>
        <w:pStyle w:val="HChG"/>
        <w:rPr>
          <w:lang w:val="es-ES"/>
        </w:rPr>
      </w:pPr>
      <w:r>
        <w:rPr>
          <w:lang w:val="es-ES"/>
        </w:rPr>
        <w:tab/>
      </w:r>
      <w:r w:rsidR="00A90270" w:rsidRPr="00A63206">
        <w:rPr>
          <w:lang w:val="es-ES"/>
        </w:rPr>
        <w:t xml:space="preserve">V. </w:t>
      </w:r>
      <w:r>
        <w:rPr>
          <w:lang w:val="es-ES"/>
        </w:rPr>
        <w:tab/>
      </w:r>
      <w:r w:rsidR="00A90270" w:rsidRPr="00A63206">
        <w:rPr>
          <w:lang w:val="es-ES"/>
        </w:rPr>
        <w:t>Formación y cooperación internacional</w:t>
      </w:r>
    </w:p>
    <w:p w14:paraId="2B4CB36D" w14:textId="768C28A1" w:rsidR="00A90270" w:rsidRPr="00A63206"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s-ES"/>
        </w:rPr>
      </w:pPr>
      <w:r w:rsidRPr="00A63206">
        <w:rPr>
          <w:color w:val="000000"/>
          <w:sz w:val="22"/>
          <w:szCs w:val="22"/>
          <w:lang w:val="es-ES"/>
        </w:rPr>
        <w:t>La formación de funcionarios públicos en materia de derechos humanos y género, así como la sensibilización de la sociedad sobre la violencia estructural que sufren las mujeres y las niñas, son pasos fundamentales para garantizar que estos crímenes no se repitan. Asimismo, el Estado debe garantizar el acceso a la justicia capacitando al efecto a las autoridades en la identificación de patrones de violencia de género, la provisión de mecanismos efectivos de denuncia y la adopción de medidas de protección adecuadas</w:t>
      </w:r>
      <w:r w:rsidRPr="00A63206">
        <w:rPr>
          <w:color w:val="000000"/>
          <w:sz w:val="22"/>
          <w:szCs w:val="22"/>
          <w:vertAlign w:val="superscript"/>
          <w:lang w:val="es-ES"/>
        </w:rPr>
        <w:endnoteReference w:id="75"/>
      </w:r>
      <w:r w:rsidRPr="00A63206">
        <w:rPr>
          <w:color w:val="000000"/>
          <w:sz w:val="22"/>
          <w:szCs w:val="22"/>
          <w:lang w:val="es-ES"/>
        </w:rPr>
        <w:t xml:space="preserve">. </w:t>
      </w:r>
    </w:p>
    <w:p w14:paraId="75CC3B76" w14:textId="755A5BB0" w:rsidR="00A90270" w:rsidRDefault="00A90270" w:rsidP="0055550A">
      <w:pPr>
        <w:pStyle w:val="SingleTxtG"/>
        <w:numPr>
          <w:ilvl w:val="0"/>
          <w:numId w:val="18"/>
        </w:numPr>
        <w:pBdr>
          <w:top w:val="nil"/>
          <w:left w:val="nil"/>
          <w:bottom w:val="nil"/>
          <w:right w:val="nil"/>
          <w:between w:val="nil"/>
        </w:pBdr>
        <w:shd w:val="clear" w:color="auto" w:fill="FFFFFF"/>
        <w:tabs>
          <w:tab w:val="left" w:pos="426"/>
        </w:tabs>
        <w:ind w:left="1134" w:right="49" w:firstLine="0"/>
        <w:rPr>
          <w:color w:val="000000"/>
          <w:sz w:val="22"/>
          <w:szCs w:val="22"/>
          <w:lang w:val="es-ES"/>
        </w:rPr>
      </w:pPr>
      <w:r w:rsidRPr="00A63206">
        <w:rPr>
          <w:color w:val="000000"/>
          <w:sz w:val="22"/>
          <w:szCs w:val="22"/>
          <w:lang w:val="es-ES"/>
        </w:rPr>
        <w:t>Los organismos y comunidad internacional</w:t>
      </w:r>
      <w:r>
        <w:rPr>
          <w:color w:val="000000"/>
          <w:sz w:val="22"/>
          <w:szCs w:val="22"/>
          <w:lang w:val="es-ES"/>
        </w:rPr>
        <w:t xml:space="preserve">, mecanismos regionales de protección de derechos humanos, las universidades, centros de pensamiento </w:t>
      </w:r>
      <w:r w:rsidRPr="00A63206">
        <w:rPr>
          <w:color w:val="000000"/>
          <w:sz w:val="22"/>
          <w:szCs w:val="22"/>
          <w:lang w:val="es-ES"/>
        </w:rPr>
        <w:t xml:space="preserve">están llamados a cooperar de manera coordinada y concertada con los </w:t>
      </w:r>
      <w:proofErr w:type="gramStart"/>
      <w:r w:rsidRPr="00A63206">
        <w:rPr>
          <w:color w:val="000000"/>
          <w:sz w:val="22"/>
          <w:szCs w:val="22"/>
          <w:lang w:val="es-ES"/>
        </w:rPr>
        <w:t>Estados Partes</w:t>
      </w:r>
      <w:proofErr w:type="gramEnd"/>
      <w:r w:rsidRPr="00A63206">
        <w:rPr>
          <w:color w:val="000000"/>
          <w:sz w:val="22"/>
          <w:szCs w:val="22"/>
          <w:lang w:val="es-ES"/>
        </w:rPr>
        <w:t xml:space="preserve"> para el desarrollo de proyectos dirigidos a afrontar las desapariciones forzadas.</w:t>
      </w:r>
    </w:p>
    <w:p w14:paraId="37120D70" w14:textId="77777777" w:rsidR="00A90270" w:rsidRPr="00A63206" w:rsidRDefault="00A90270" w:rsidP="00A90270">
      <w:pPr>
        <w:rPr>
          <w:color w:val="000000"/>
          <w:sz w:val="22"/>
          <w:szCs w:val="22"/>
          <w:lang w:val="es-ES"/>
        </w:rPr>
      </w:pPr>
      <w:r>
        <w:rPr>
          <w:color w:val="000000"/>
          <w:sz w:val="22"/>
          <w:szCs w:val="22"/>
          <w:lang w:val="es-ES"/>
        </w:rPr>
        <w:br w:type="page"/>
      </w:r>
    </w:p>
    <w:p w14:paraId="58E754E6" w14:textId="77777777" w:rsidR="00446FE5" w:rsidRPr="00A90270" w:rsidRDefault="00446FE5" w:rsidP="00B55090">
      <w:pPr>
        <w:rPr>
          <w:lang w:val="es-ES"/>
        </w:rPr>
      </w:pPr>
    </w:p>
    <w:sectPr w:rsidR="00446FE5" w:rsidRPr="00A90270" w:rsidSect="00A90270">
      <w:headerReference w:type="default" r:id="rId11"/>
      <w:footerReference w:type="default" r:id="rId12"/>
      <w:pgSz w:w="12240" w:h="15840"/>
      <w:pgMar w:top="1702" w:right="1041" w:bottom="1418" w:left="28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B7744" w14:textId="77777777" w:rsidR="00A90270" w:rsidRDefault="00A90270" w:rsidP="00F95C08"/>
  </w:endnote>
  <w:endnote w:type="continuationSeparator" w:id="0">
    <w:p w14:paraId="5FDC58CB" w14:textId="77777777" w:rsidR="00A90270" w:rsidRPr="00AC3823" w:rsidRDefault="00A90270" w:rsidP="00AC3823">
      <w:pPr>
        <w:pStyle w:val="Footer"/>
      </w:pPr>
    </w:p>
  </w:endnote>
  <w:endnote w:type="continuationNotice" w:id="1">
    <w:p w14:paraId="7E99BA98" w14:textId="77777777" w:rsidR="00A90270" w:rsidRDefault="00A90270"/>
  </w:endnote>
  <w:endnote w:id="2">
    <w:p w14:paraId="76710062" w14:textId="77777777" w:rsidR="00A90270" w:rsidRPr="00A63206" w:rsidRDefault="00A90270" w:rsidP="0055550A">
      <w:pPr>
        <w:pBdr>
          <w:top w:val="nil"/>
          <w:left w:val="nil"/>
          <w:bottom w:val="nil"/>
          <w:right w:val="nil"/>
          <w:between w:val="nil"/>
        </w:pBdr>
        <w:ind w:left="567"/>
        <w:rPr>
          <w:color w:val="000000"/>
          <w:sz w:val="22"/>
          <w:szCs w:val="22"/>
          <w:lang w:val="es-PA"/>
        </w:rPr>
      </w:pPr>
      <w:r>
        <w:rPr>
          <w:vertAlign w:val="superscript"/>
        </w:rPr>
        <w:endnoteRef/>
      </w:r>
      <w:r w:rsidRPr="00A63206">
        <w:rPr>
          <w:color w:val="000000"/>
          <w:sz w:val="18"/>
          <w:szCs w:val="18"/>
          <w:lang w:val="es-PA"/>
        </w:rPr>
        <w:t xml:space="preserve"> Comitéé para la Eliminación de la Discriminación contra la Mujer (CEDAW), </w:t>
      </w:r>
      <w:r w:rsidRPr="00A63206">
        <w:rPr>
          <w:i/>
          <w:color w:val="000000"/>
          <w:sz w:val="18"/>
          <w:szCs w:val="18"/>
          <w:lang w:val="es-PA"/>
        </w:rPr>
        <w:t>Ivette Melissa Flores Román vs. México</w:t>
      </w:r>
      <w:r w:rsidRPr="00A63206">
        <w:rPr>
          <w:color w:val="000000"/>
          <w:sz w:val="18"/>
          <w:szCs w:val="18"/>
          <w:lang w:val="es-PA"/>
        </w:rPr>
        <w:t xml:space="preserve">, 24 de octubre de 2023, párr. 7.4, disponible en : </w:t>
      </w:r>
      <w:hyperlink r:id="rId1">
        <w:r w:rsidRPr="00A63206">
          <w:rPr>
            <w:color w:val="1155CC"/>
            <w:sz w:val="18"/>
            <w:szCs w:val="18"/>
            <w:u w:val="single"/>
            <w:lang w:val="es-PA"/>
          </w:rPr>
          <w:t>https://hchr.org.mx/wp/wp-content/uploads/2023/08/01.-Ivette-Melissa-Flores-Roman-Dictamen-del-Comite-en-virtud-del-articulo-7-parrafo-3-del-Protocolo-Facultativo-respecto-de-la-comunicacion-num.-153_2020-Ivette-Melissa-Flores-Roman.pdf</w:t>
        </w:r>
      </w:hyperlink>
      <w:r w:rsidRPr="00A63206">
        <w:rPr>
          <w:color w:val="000000"/>
          <w:sz w:val="18"/>
          <w:szCs w:val="18"/>
          <w:lang w:val="es-PA"/>
        </w:rPr>
        <w:t xml:space="preserve"> </w:t>
      </w:r>
    </w:p>
  </w:endnote>
  <w:endnote w:id="3">
    <w:p w14:paraId="6828ACE1" w14:textId="77777777" w:rsidR="00A90270" w:rsidRPr="00A63206" w:rsidRDefault="00A90270" w:rsidP="0055550A">
      <w:pPr>
        <w:pBdr>
          <w:top w:val="nil"/>
          <w:left w:val="nil"/>
          <w:bottom w:val="nil"/>
          <w:right w:val="nil"/>
          <w:between w:val="nil"/>
        </w:pBdr>
        <w:ind w:left="567"/>
        <w:jc w:val="both"/>
        <w:rPr>
          <w:color w:val="000000"/>
          <w:sz w:val="22"/>
          <w:szCs w:val="22"/>
          <w:lang w:val="es-PA"/>
        </w:rPr>
      </w:pPr>
      <w:r>
        <w:rPr>
          <w:vertAlign w:val="superscript"/>
        </w:rPr>
        <w:endnoteRef/>
      </w:r>
      <w:r w:rsidRPr="00A63206">
        <w:rPr>
          <w:color w:val="000000"/>
          <w:sz w:val="20"/>
          <w:szCs w:val="20"/>
          <w:lang w:val="es-PA"/>
        </w:rPr>
        <w:t xml:space="preserve"> Declaración sobre la eliminación de violencia contra la mujer, art.2. disponible </w:t>
      </w:r>
      <w:r w:rsidRPr="00A63206">
        <w:rPr>
          <w:color w:val="000000"/>
          <w:sz w:val="20"/>
          <w:szCs w:val="20"/>
          <w:lang w:val="es-PA"/>
        </w:rPr>
        <w:t xml:space="preserve">en : </w:t>
      </w:r>
      <w:r>
        <w:fldChar w:fldCharType="begin"/>
      </w:r>
      <w:r w:rsidRPr="005D702F">
        <w:rPr>
          <w:lang w:val="es-419"/>
        </w:rPr>
        <w:instrText>HYPERLINK "https://www.ohchr.org/es/instruments-mechanisms/instruments/declaration-elimination-violence-against-women" \h</w:instrText>
      </w:r>
      <w:r>
        <w:fldChar w:fldCharType="separate"/>
      </w:r>
      <w:r w:rsidRPr="00A63206">
        <w:rPr>
          <w:color w:val="1155CC"/>
          <w:sz w:val="20"/>
          <w:szCs w:val="20"/>
          <w:u w:val="single"/>
          <w:lang w:val="es-PA"/>
        </w:rPr>
        <w:t>https://www.ohchr.org/es/instruments-mechanisms/instruments/declaration-elimination-violence-against-women</w:t>
      </w:r>
      <w:r>
        <w:fldChar w:fldCharType="end"/>
      </w:r>
      <w:r w:rsidRPr="00A63206">
        <w:rPr>
          <w:color w:val="000000"/>
          <w:sz w:val="20"/>
          <w:szCs w:val="20"/>
          <w:lang w:val="es-PA"/>
        </w:rPr>
        <w:t xml:space="preserve"> </w:t>
      </w:r>
    </w:p>
  </w:endnote>
  <w:endnote w:id="4">
    <w:p w14:paraId="7B7D288C" w14:textId="77777777" w:rsidR="00A90270" w:rsidRDefault="00A90270" w:rsidP="0055550A">
      <w:pPr>
        <w:pBdr>
          <w:top w:val="nil"/>
          <w:left w:val="nil"/>
          <w:bottom w:val="nil"/>
          <w:right w:val="nil"/>
          <w:between w:val="nil"/>
        </w:pBdr>
        <w:ind w:left="567"/>
        <w:rPr>
          <w:color w:val="000000"/>
          <w:sz w:val="22"/>
          <w:szCs w:val="22"/>
        </w:rPr>
      </w:pPr>
      <w:r>
        <w:rPr>
          <w:vertAlign w:val="superscript"/>
        </w:rPr>
        <w:endnoteRef/>
      </w:r>
      <w:r>
        <w:rPr>
          <w:color w:val="000000"/>
          <w:sz w:val="20"/>
          <w:szCs w:val="20"/>
        </w:rPr>
        <w:t xml:space="preserve"> OHCHR </w:t>
      </w:r>
      <w:r>
        <w:rPr>
          <w:i/>
          <w:color w:val="000000"/>
          <w:sz w:val="20"/>
          <w:szCs w:val="20"/>
        </w:rPr>
        <w:t>Report on Accountability for Enforced Disappearances in Sri Lanka</w:t>
      </w:r>
      <w:r>
        <w:rPr>
          <w:color w:val="000000"/>
          <w:sz w:val="20"/>
          <w:szCs w:val="20"/>
        </w:rPr>
        <w:t xml:space="preserve">, disponible </w:t>
      </w:r>
      <w:r>
        <w:rPr>
          <w:color w:val="000000"/>
          <w:sz w:val="20"/>
          <w:szCs w:val="20"/>
        </w:rPr>
        <w:t>en :</w:t>
      </w:r>
      <w:hyperlink r:id="rId2">
        <w:r>
          <w:rPr>
            <w:color w:val="1155CC"/>
            <w:sz w:val="20"/>
            <w:szCs w:val="20"/>
            <w:u w:val="single"/>
          </w:rPr>
          <w:t>https://www.ohchr.org/en/documents/thematic-reports/accountability-enforced-disappearances-sri-lanka-ohchr-report</w:t>
        </w:r>
      </w:hyperlink>
      <w:r>
        <w:rPr>
          <w:color w:val="000000"/>
          <w:sz w:val="20"/>
          <w:szCs w:val="20"/>
        </w:rPr>
        <w:t xml:space="preserve"> </w:t>
      </w:r>
    </w:p>
  </w:endnote>
  <w:endnote w:id="5">
    <w:p w14:paraId="0B8989E2" w14:textId="77777777" w:rsidR="00A90270" w:rsidRPr="00A63206" w:rsidRDefault="00A90270" w:rsidP="0055550A">
      <w:pPr>
        <w:pBdr>
          <w:top w:val="nil"/>
          <w:left w:val="nil"/>
          <w:bottom w:val="nil"/>
          <w:right w:val="nil"/>
          <w:between w:val="nil"/>
        </w:pBdr>
        <w:ind w:left="567"/>
        <w:jc w:val="both"/>
        <w:rPr>
          <w:color w:val="000000"/>
          <w:sz w:val="22"/>
          <w:szCs w:val="22"/>
          <w:lang w:val="es-PA"/>
        </w:rPr>
      </w:pPr>
      <w:r>
        <w:rPr>
          <w:vertAlign w:val="superscript"/>
        </w:rPr>
        <w:endnoteRef/>
      </w:r>
      <w:r w:rsidRPr="00A63206">
        <w:rPr>
          <w:color w:val="000000"/>
          <w:sz w:val="20"/>
          <w:szCs w:val="20"/>
          <w:lang w:val="es-PA"/>
        </w:rPr>
        <w:t xml:space="preserve"> </w:t>
      </w:r>
      <w:r w:rsidRPr="00A63206">
        <w:rPr>
          <w:color w:val="000000"/>
          <w:sz w:val="20"/>
          <w:szCs w:val="20"/>
          <w:lang w:val="es-PA"/>
        </w:rPr>
        <w:t xml:space="preserve">Comitéé para la Eliminación de la Discriminación contra la Mujer y Comité de los Derechos del Niño, </w:t>
      </w:r>
      <w:r w:rsidRPr="00A63206">
        <w:rPr>
          <w:i/>
          <w:color w:val="000000"/>
          <w:sz w:val="20"/>
          <w:szCs w:val="20"/>
          <w:lang w:val="es-PA"/>
        </w:rPr>
        <w:t>Observación general conjunta CEDAW/C/GC/31</w:t>
      </w:r>
      <w:r w:rsidRPr="00A63206">
        <w:rPr>
          <w:color w:val="000000"/>
          <w:sz w:val="20"/>
          <w:szCs w:val="20"/>
          <w:lang w:val="es-PA"/>
        </w:rPr>
        <w:t xml:space="preserve"> - CRC/C/GC/18, párrs. 29-30, disponible </w:t>
      </w:r>
      <w:r w:rsidRPr="00A63206">
        <w:rPr>
          <w:color w:val="000000"/>
          <w:sz w:val="20"/>
          <w:szCs w:val="20"/>
          <w:lang w:val="es-PA"/>
        </w:rPr>
        <w:t xml:space="preserve">en : </w:t>
      </w:r>
      <w:hyperlink r:id="rId3">
        <w:r w:rsidRPr="00A63206">
          <w:rPr>
            <w:color w:val="1155CC"/>
            <w:sz w:val="20"/>
            <w:szCs w:val="20"/>
            <w:u w:val="single"/>
            <w:lang w:val="es-PA"/>
          </w:rPr>
          <w:t>https://www.acnur.org/fileadmin/Documentos/BDL/2014/9925.pdf</w:t>
        </w:r>
      </w:hyperlink>
      <w:r w:rsidRPr="00A63206">
        <w:rPr>
          <w:color w:val="000000"/>
          <w:sz w:val="20"/>
          <w:szCs w:val="20"/>
          <w:lang w:val="es-PA"/>
        </w:rPr>
        <w:t xml:space="preserve"> </w:t>
      </w:r>
    </w:p>
  </w:endnote>
  <w:endnote w:id="6">
    <w:p w14:paraId="367B62DE" w14:textId="77777777" w:rsidR="00A90270" w:rsidRPr="00A63206" w:rsidRDefault="00A90270" w:rsidP="0055550A">
      <w:pPr>
        <w:pBdr>
          <w:top w:val="nil"/>
          <w:left w:val="nil"/>
          <w:bottom w:val="nil"/>
          <w:right w:val="nil"/>
          <w:between w:val="nil"/>
        </w:pBdr>
        <w:ind w:left="567"/>
        <w:jc w:val="both"/>
        <w:rPr>
          <w:color w:val="000000"/>
          <w:sz w:val="22"/>
          <w:szCs w:val="22"/>
          <w:lang w:val="es-PA"/>
        </w:rPr>
      </w:pPr>
      <w:r>
        <w:rPr>
          <w:vertAlign w:val="superscript"/>
        </w:rPr>
        <w:endnoteRef/>
      </w:r>
      <w:r w:rsidRPr="00A63206">
        <w:rPr>
          <w:color w:val="000000"/>
          <w:sz w:val="20"/>
          <w:szCs w:val="20"/>
          <w:lang w:val="es-PA"/>
        </w:rPr>
        <w:t xml:space="preserve"> </w:t>
      </w:r>
      <w:r w:rsidRPr="00A63206">
        <w:rPr>
          <w:sz w:val="20"/>
          <w:szCs w:val="20"/>
          <w:lang w:val="es-PA"/>
        </w:rPr>
        <w:t>Comité</w:t>
      </w:r>
      <w:r w:rsidRPr="00A63206">
        <w:rPr>
          <w:color w:val="000000"/>
          <w:sz w:val="20"/>
          <w:szCs w:val="20"/>
          <w:lang w:val="es-PA"/>
        </w:rPr>
        <w:t xml:space="preserve"> contra las desapariciones forzadas (CED) CED/C/23/2 párr.20, disponible </w:t>
      </w:r>
      <w:r w:rsidRPr="00A63206">
        <w:rPr>
          <w:color w:val="000000"/>
          <w:sz w:val="20"/>
          <w:szCs w:val="20"/>
          <w:lang w:val="es-PA"/>
        </w:rPr>
        <w:t xml:space="preserve">en : </w:t>
      </w:r>
      <w:r>
        <w:fldChar w:fldCharType="begin"/>
      </w:r>
      <w:r w:rsidRPr="005D702F">
        <w:rPr>
          <w:lang w:val="es-419"/>
        </w:rPr>
        <w:instrText>HYPERLINK "https://docs.un.org/en/CED/C/23/2" \h</w:instrText>
      </w:r>
      <w:r>
        <w:fldChar w:fldCharType="separate"/>
      </w:r>
      <w:r w:rsidRPr="00A63206">
        <w:rPr>
          <w:color w:val="1155CC"/>
          <w:sz w:val="20"/>
          <w:szCs w:val="20"/>
          <w:u w:val="single"/>
          <w:lang w:val="es-PA"/>
        </w:rPr>
        <w:t>https://docs.un.org/en/CED/C/23/2</w:t>
      </w:r>
      <w:r>
        <w:fldChar w:fldCharType="end"/>
      </w:r>
      <w:r w:rsidRPr="00A63206">
        <w:rPr>
          <w:color w:val="000000"/>
          <w:sz w:val="20"/>
          <w:szCs w:val="20"/>
          <w:lang w:val="es-PA"/>
        </w:rPr>
        <w:t xml:space="preserve"> </w:t>
      </w:r>
    </w:p>
  </w:endnote>
  <w:endnote w:id="7">
    <w:p w14:paraId="368CA83B" w14:textId="77777777" w:rsidR="00A90270" w:rsidRPr="00A63206" w:rsidRDefault="00A90270" w:rsidP="0055550A">
      <w:pPr>
        <w:pBdr>
          <w:top w:val="nil"/>
          <w:left w:val="nil"/>
          <w:bottom w:val="nil"/>
          <w:right w:val="nil"/>
          <w:between w:val="nil"/>
        </w:pBdr>
        <w:ind w:left="567"/>
        <w:jc w:val="both"/>
        <w:rPr>
          <w:color w:val="000000"/>
          <w:sz w:val="22"/>
          <w:szCs w:val="22"/>
          <w:lang w:val="es-PA"/>
        </w:rPr>
      </w:pPr>
      <w:r>
        <w:rPr>
          <w:vertAlign w:val="superscript"/>
        </w:rPr>
        <w:endnoteRef/>
      </w:r>
      <w:r w:rsidRPr="00A63206">
        <w:rPr>
          <w:color w:val="000000"/>
          <w:sz w:val="20"/>
          <w:szCs w:val="20"/>
          <w:lang w:val="es-PA"/>
        </w:rPr>
        <w:t xml:space="preserve"> CED/C/MEX/VR/1 (Conclusiones), </w:t>
      </w:r>
      <w:r w:rsidRPr="00A63206">
        <w:rPr>
          <w:color w:val="000000"/>
          <w:sz w:val="20"/>
          <w:szCs w:val="20"/>
          <w:lang w:val="es-PA"/>
        </w:rPr>
        <w:t xml:space="preserve">Princípios Rectores para la búsqueda de personas desaparecidas, principio 4, disponible </w:t>
      </w:r>
      <w:r w:rsidRPr="00A63206">
        <w:rPr>
          <w:color w:val="000000"/>
          <w:sz w:val="20"/>
          <w:szCs w:val="20"/>
          <w:lang w:val="es-PA"/>
        </w:rPr>
        <w:t xml:space="preserve">en : </w:t>
      </w:r>
      <w:hyperlink r:id="rId4">
        <w:r w:rsidRPr="00A63206">
          <w:rPr>
            <w:color w:val="1155CC"/>
            <w:sz w:val="20"/>
            <w:szCs w:val="20"/>
            <w:u w:val="single"/>
            <w:lang w:val="es-PA"/>
          </w:rPr>
          <w:t>https://hchr.org.mx/camp/principios-rectores-para-la-busqueda-de-personas-desaparecidas-comite-contra-la-desaparicion-forzada/</w:t>
        </w:r>
      </w:hyperlink>
      <w:r w:rsidRPr="00A63206">
        <w:rPr>
          <w:color w:val="000000"/>
          <w:sz w:val="20"/>
          <w:szCs w:val="20"/>
          <w:lang w:val="es-PA"/>
        </w:rPr>
        <w:t xml:space="preserve"> </w:t>
      </w:r>
    </w:p>
  </w:endnote>
  <w:endnote w:id="8">
    <w:p w14:paraId="4D1EA125" w14:textId="77777777" w:rsidR="00A90270" w:rsidRPr="00A63206" w:rsidRDefault="00A90270" w:rsidP="0055550A">
      <w:pPr>
        <w:pBdr>
          <w:top w:val="nil"/>
          <w:left w:val="nil"/>
          <w:bottom w:val="nil"/>
          <w:right w:val="nil"/>
          <w:between w:val="nil"/>
        </w:pBdr>
        <w:ind w:left="567"/>
        <w:jc w:val="both"/>
        <w:rPr>
          <w:color w:val="000000"/>
          <w:sz w:val="22"/>
          <w:szCs w:val="22"/>
          <w:lang w:val="es-PA"/>
        </w:rPr>
      </w:pPr>
      <w:r>
        <w:rPr>
          <w:vertAlign w:val="superscript"/>
        </w:rPr>
        <w:endnoteRef/>
      </w:r>
      <w:r w:rsidRPr="00A63206">
        <w:rPr>
          <w:color w:val="000000"/>
          <w:sz w:val="20"/>
          <w:szCs w:val="20"/>
          <w:lang w:val="es-PA"/>
        </w:rPr>
        <w:t xml:space="preserve"> </w:t>
      </w:r>
      <w:r w:rsidRPr="00A63206">
        <w:rPr>
          <w:color w:val="000000"/>
          <w:sz w:val="20"/>
          <w:szCs w:val="20"/>
          <w:lang w:val="es-PA"/>
        </w:rPr>
        <w:t xml:space="preserve">Amnesty International, Mireya Cidón, 5 de marzo de 2024, </w:t>
      </w:r>
      <w:r w:rsidRPr="00A63206">
        <w:rPr>
          <w:i/>
          <w:color w:val="000000"/>
          <w:sz w:val="20"/>
          <w:szCs w:val="20"/>
          <w:lang w:val="es-PA"/>
        </w:rPr>
        <w:t>La mujer y los conflictos armados,</w:t>
      </w:r>
      <w:r w:rsidRPr="00A63206">
        <w:rPr>
          <w:color w:val="000000"/>
          <w:sz w:val="20"/>
          <w:szCs w:val="20"/>
          <w:lang w:val="es-PA"/>
        </w:rPr>
        <w:t xml:space="preserve"> disponible en </w:t>
      </w:r>
      <w:r>
        <w:fldChar w:fldCharType="begin"/>
      </w:r>
      <w:r w:rsidRPr="005D702F">
        <w:rPr>
          <w:lang w:val="es-419"/>
        </w:rPr>
        <w:instrText>HYPERLINK "https://www.es.amnesty.org/en-que-estamos/blog/historia/articulo/la-mujer-y-los-conflictos-armados/" \h</w:instrText>
      </w:r>
      <w:r>
        <w:fldChar w:fldCharType="separate"/>
      </w:r>
      <w:r w:rsidRPr="00A63206">
        <w:rPr>
          <w:color w:val="1155CC"/>
          <w:sz w:val="20"/>
          <w:szCs w:val="20"/>
          <w:u w:val="single"/>
          <w:lang w:val="es-PA"/>
        </w:rPr>
        <w:t>https://www.es.amnesty.org/en-que-estamos/blog/historia/articulo/la-mujer-y-los-conflictos-armados/</w:t>
      </w:r>
      <w:r>
        <w:fldChar w:fldCharType="end"/>
      </w:r>
      <w:r w:rsidRPr="00A63206">
        <w:rPr>
          <w:color w:val="000000"/>
          <w:sz w:val="20"/>
          <w:szCs w:val="20"/>
          <w:lang w:val="es-PA"/>
        </w:rPr>
        <w:t xml:space="preserve">  Unidad para la atención y reparación integral de las familias, disponible en : </w:t>
      </w:r>
      <w:hyperlink r:id="rId5">
        <w:r w:rsidRPr="00A63206">
          <w:rPr>
            <w:color w:val="1155CC"/>
            <w:sz w:val="20"/>
            <w:szCs w:val="20"/>
            <w:u w:val="single"/>
            <w:lang w:val="es-PA"/>
          </w:rPr>
          <w:t>https://www.unidadvictimas.gov.co/sites/default/files/documentosbiblioteca/mujeres.PDF</w:t>
        </w:r>
      </w:hyperlink>
      <w:r w:rsidRPr="00A63206">
        <w:rPr>
          <w:color w:val="000000"/>
          <w:sz w:val="20"/>
          <w:szCs w:val="20"/>
          <w:lang w:val="es-PA"/>
        </w:rPr>
        <w:t xml:space="preserve"> </w:t>
      </w:r>
    </w:p>
  </w:endnote>
  <w:endnote w:id="9">
    <w:p w14:paraId="2B18EDBF" w14:textId="77777777" w:rsidR="00A90270" w:rsidRPr="00A63206" w:rsidRDefault="00A90270" w:rsidP="0055550A">
      <w:pPr>
        <w:pBdr>
          <w:top w:val="nil"/>
          <w:left w:val="nil"/>
          <w:bottom w:val="nil"/>
          <w:right w:val="nil"/>
          <w:between w:val="nil"/>
        </w:pBdr>
        <w:ind w:left="567"/>
        <w:rPr>
          <w:color w:val="000000"/>
          <w:sz w:val="22"/>
          <w:szCs w:val="22"/>
          <w:lang w:val="es-PA"/>
        </w:rPr>
      </w:pPr>
      <w:r>
        <w:rPr>
          <w:vertAlign w:val="superscript"/>
        </w:rPr>
        <w:endnoteRef/>
      </w:r>
      <w:r w:rsidRPr="00A63206">
        <w:rPr>
          <w:color w:val="000000"/>
          <w:sz w:val="20"/>
          <w:szCs w:val="20"/>
          <w:lang w:val="es-PA"/>
        </w:rPr>
        <w:t xml:space="preserve"> </w:t>
      </w:r>
      <w:r w:rsidRPr="00A63206">
        <w:rPr>
          <w:color w:val="000000"/>
          <w:sz w:val="20"/>
          <w:szCs w:val="20"/>
          <w:lang w:val="es-PA"/>
        </w:rPr>
        <w:t xml:space="preserve">UNWomen/ ICTJ, </w:t>
      </w:r>
      <w:r w:rsidRPr="00A63206">
        <w:rPr>
          <w:i/>
          <w:color w:val="000000"/>
          <w:sz w:val="20"/>
          <w:szCs w:val="20"/>
          <w:lang w:val="es-PA"/>
        </w:rPr>
        <w:t>Las desaparecidas y las invisibles. Repercusiones de la desaparición forzada en las mujeres.</w:t>
      </w:r>
      <w:r w:rsidRPr="00A63206">
        <w:rPr>
          <w:color w:val="000000"/>
          <w:sz w:val="20"/>
          <w:szCs w:val="20"/>
          <w:lang w:val="es-PA"/>
        </w:rPr>
        <w:t xml:space="preserve">; Ministerio de justicia, </w:t>
      </w:r>
      <w:r w:rsidRPr="00A63206">
        <w:rPr>
          <w:i/>
          <w:color w:val="000000"/>
          <w:sz w:val="20"/>
          <w:szCs w:val="20"/>
          <w:lang w:val="es-PA"/>
        </w:rPr>
        <w:t xml:space="preserve">Maternidades clandestinas, </w:t>
      </w:r>
      <w:r w:rsidRPr="00A63206">
        <w:rPr>
          <w:color w:val="000000"/>
          <w:sz w:val="20"/>
          <w:szCs w:val="20"/>
          <w:lang w:val="es-PA"/>
        </w:rPr>
        <w:t xml:space="preserve">disponible en : </w:t>
      </w:r>
      <w:r>
        <w:fldChar w:fldCharType="begin"/>
      </w:r>
      <w:r w:rsidRPr="005D702F">
        <w:rPr>
          <w:lang w:val="es-419"/>
        </w:rPr>
        <w:instrText>HYPERLINK "https://www.argentina.gob.ar/derechoshumanos/sitiosdememoria/espacios-de-memoria/maternidades-clandestinas%253BCED/C/9" \h</w:instrText>
      </w:r>
      <w:r>
        <w:fldChar w:fldCharType="separate"/>
      </w:r>
      <w:r w:rsidRPr="00A63206">
        <w:rPr>
          <w:color w:val="0000FF"/>
          <w:sz w:val="20"/>
          <w:szCs w:val="20"/>
          <w:u w:val="single"/>
          <w:lang w:val="es-PA"/>
        </w:rPr>
        <w:t>https://www.argentina.gob.ar/derechoshumanos/sitiosdememoria/espacios-de-memoria/maternidades-clandestinas;CED/C/9</w:t>
      </w:r>
      <w:r>
        <w:fldChar w:fldCharType="end"/>
      </w:r>
      <w:r w:rsidRPr="00A63206">
        <w:rPr>
          <w:color w:val="000000"/>
          <w:sz w:val="20"/>
          <w:szCs w:val="20"/>
          <w:lang w:val="es-PA"/>
        </w:rPr>
        <w:t xml:space="preserve"> ; Declaración conjunta sobre adopciones internacionales ilegales, párr. 2, disponible en : </w:t>
      </w:r>
      <w:hyperlink r:id="rId6">
        <w:r w:rsidRPr="00A63206">
          <w:rPr>
            <w:color w:val="1155CC"/>
            <w:sz w:val="20"/>
            <w:szCs w:val="20"/>
            <w:u w:val="single"/>
            <w:lang w:val="es-PA"/>
          </w:rPr>
          <w:t>https://www.ohchr.org/sites/default/files/documents/hrbodies/ced/2022-09-29/JointstatementICA_HR_28September2022.pdf</w:t>
        </w:r>
      </w:hyperlink>
      <w:r w:rsidRPr="00A63206">
        <w:rPr>
          <w:color w:val="000000"/>
          <w:sz w:val="20"/>
          <w:szCs w:val="20"/>
          <w:lang w:val="es-PA"/>
        </w:rPr>
        <w:t xml:space="preserve"> ; Convención sobre los Derechos del Niño, arts. 8 y 16; Carta Africana sobre los Derechos y el Bienestar del Niño, arts. 10 y 18; Convención Americana sobre Derechos Humanos, arts. 11 y 17; y Convenio para la Protección de los Derechos Humanos y de las Libertades Fundamentales (Convenio Europeo de Derechos Humanos), art. 8; Corte IDH </w:t>
      </w:r>
      <w:r w:rsidRPr="00A63206">
        <w:rPr>
          <w:i/>
          <w:color w:val="000000"/>
          <w:sz w:val="20"/>
          <w:szCs w:val="20"/>
          <w:lang w:val="es-PA"/>
        </w:rPr>
        <w:t>Caso Fornerón e hija Vs. Argentina,</w:t>
      </w:r>
      <w:r w:rsidRPr="00A63206">
        <w:rPr>
          <w:color w:val="000000"/>
          <w:sz w:val="20"/>
          <w:szCs w:val="20"/>
          <w:lang w:val="es-PA"/>
        </w:rPr>
        <w:t xml:space="preserve"> Sentencia de 27 de abril de 2012 (Fondo, Reparaciones y Costas) Disponible en </w:t>
      </w:r>
      <w:hyperlink r:id="rId7">
        <w:r w:rsidRPr="00A63206">
          <w:rPr>
            <w:color w:val="0000FF"/>
            <w:sz w:val="20"/>
            <w:szCs w:val="20"/>
            <w:u w:val="single"/>
            <w:lang w:val="es-PA"/>
          </w:rPr>
          <w:t>https://corteidh.or.cr/docs/casos/articulos/seriec_242_esp.pdf</w:t>
        </w:r>
      </w:hyperlink>
      <w:r w:rsidRPr="00A63206">
        <w:rPr>
          <w:color w:val="000000"/>
          <w:sz w:val="20"/>
          <w:szCs w:val="20"/>
          <w:lang w:val="es-PA"/>
        </w:rPr>
        <w:t xml:space="preserve">, párr. 123; Corte IDH Caso </w:t>
      </w:r>
      <w:r w:rsidRPr="00A63206">
        <w:rPr>
          <w:i/>
          <w:color w:val="000000"/>
          <w:sz w:val="20"/>
          <w:szCs w:val="20"/>
          <w:lang w:val="es-PA"/>
        </w:rPr>
        <w:t>Gelman Vs. Urugua,</w:t>
      </w:r>
      <w:r w:rsidRPr="00A63206">
        <w:rPr>
          <w:color w:val="000000"/>
          <w:sz w:val="20"/>
          <w:szCs w:val="20"/>
          <w:lang w:val="es-PA"/>
        </w:rPr>
        <w:t xml:space="preserve">. Sentencia de 24 de febrero de 2011 (Fondo y Reparaciones). Disponible en:  </w:t>
      </w:r>
      <w:hyperlink r:id="rId8">
        <w:r w:rsidRPr="00A63206">
          <w:rPr>
            <w:color w:val="0000FF"/>
            <w:sz w:val="20"/>
            <w:szCs w:val="20"/>
            <w:u w:val="single"/>
            <w:lang w:val="es-PA"/>
          </w:rPr>
          <w:t>https://www.corteidh.or.cr/docs/casos/articulos/seriec_221_esp1.pdf</w:t>
        </w:r>
      </w:hyperlink>
      <w:r w:rsidRPr="00A63206">
        <w:rPr>
          <w:color w:val="000000"/>
          <w:sz w:val="20"/>
          <w:szCs w:val="20"/>
          <w:lang w:val="es-PA"/>
        </w:rPr>
        <w:t>, parr.112</w:t>
      </w:r>
    </w:p>
  </w:endnote>
  <w:endnote w:id="10">
    <w:p w14:paraId="7665820A" w14:textId="77777777" w:rsidR="00A90270" w:rsidRPr="00A63206" w:rsidRDefault="00A90270" w:rsidP="0055550A">
      <w:pPr>
        <w:pBdr>
          <w:top w:val="nil"/>
          <w:left w:val="nil"/>
          <w:bottom w:val="nil"/>
          <w:right w:val="nil"/>
          <w:between w:val="nil"/>
        </w:pBdr>
        <w:ind w:left="567"/>
        <w:rPr>
          <w:color w:val="000000"/>
          <w:sz w:val="22"/>
          <w:szCs w:val="22"/>
          <w:lang w:val="es-PA"/>
        </w:rPr>
      </w:pPr>
      <w:r>
        <w:rPr>
          <w:vertAlign w:val="superscript"/>
        </w:rPr>
        <w:endnoteRef/>
      </w:r>
      <w:r w:rsidRPr="00A63206">
        <w:rPr>
          <w:color w:val="000000"/>
          <w:sz w:val="20"/>
          <w:szCs w:val="20"/>
          <w:lang w:val="es-PA"/>
        </w:rPr>
        <w:t xml:space="preserve"> CED/C/26/2, párr. 48, disponible en :  </w:t>
      </w:r>
      <w:r>
        <w:fldChar w:fldCharType="begin"/>
      </w:r>
      <w:r w:rsidRPr="005D702F">
        <w:rPr>
          <w:lang w:val="es-419"/>
        </w:rPr>
        <w:instrText>HYPERLINK "https://docstore.ohchr.org/SelfServices/FilesHandler.ashx?enc=xx6+X/JLTwmdyca/gODjvpNrThRHNlI1DMyjOZYaPKYHrNcO4P65T3VfIMTfRoU2O/Flb78Q47Xss2TFeCpf/g==" \h</w:instrText>
      </w:r>
      <w:r>
        <w:fldChar w:fldCharType="separate"/>
      </w:r>
      <w:r w:rsidRPr="00A63206">
        <w:rPr>
          <w:color w:val="1155CC"/>
          <w:sz w:val="20"/>
          <w:szCs w:val="20"/>
          <w:u w:val="single"/>
          <w:lang w:val="es-PA"/>
        </w:rPr>
        <w:t>https://docstore.ohchr.org/SelfServices/FilesHandler.ashx?enc=xx6%2BX%2FJLTwmdyca%2FgODjvpNrThRHNlI1DMyjOZYaPKYHrNcO4P65T3VfIMTfRoU2O%2FFlb78Q47Xss2TFeCpf%2Fg%3D%3D</w:t>
      </w:r>
      <w:r>
        <w:fldChar w:fldCharType="end"/>
      </w:r>
      <w:r w:rsidRPr="00A63206">
        <w:rPr>
          <w:color w:val="000000"/>
          <w:sz w:val="20"/>
          <w:szCs w:val="20"/>
          <w:lang w:val="es-PA"/>
        </w:rPr>
        <w:t xml:space="preserve"> ; Defensoría del pueblo de la República de Perú, </w:t>
      </w:r>
      <w:r w:rsidRPr="00A63206">
        <w:rPr>
          <w:i/>
          <w:color w:val="000000"/>
          <w:sz w:val="20"/>
          <w:szCs w:val="20"/>
          <w:lang w:val="es-PA"/>
        </w:rPr>
        <w:t>Defensoría del Pueblo: de enero a octubre del 2024 se han reportado 5518 alertas de mujeres reportadas como desaparecidas</w:t>
      </w:r>
      <w:r w:rsidRPr="00A63206">
        <w:rPr>
          <w:color w:val="000000"/>
          <w:sz w:val="20"/>
          <w:szCs w:val="20"/>
          <w:lang w:val="es-PA"/>
        </w:rPr>
        <w:t xml:space="preserve">, disponible en : </w:t>
      </w:r>
      <w:hyperlink r:id="rId9">
        <w:r w:rsidRPr="00A63206">
          <w:rPr>
            <w:color w:val="1155CC"/>
            <w:sz w:val="20"/>
            <w:szCs w:val="20"/>
            <w:u w:val="single"/>
            <w:lang w:val="es-PA"/>
          </w:rPr>
          <w:t>https://www.defensoria.gob.pe/defensoria-del-pueblo-de-enero-a-octubre-del-2024-se-han-reportado-5518-alertas-de-mujeres-reportadas-como-desaparecidas</w:t>
        </w:r>
      </w:hyperlink>
      <w:r w:rsidRPr="00A63206">
        <w:rPr>
          <w:color w:val="000000"/>
          <w:sz w:val="20"/>
          <w:szCs w:val="20"/>
          <w:lang w:val="es-PA"/>
        </w:rPr>
        <w:t xml:space="preserve"> /</w:t>
      </w:r>
      <w:r w:rsidRPr="00A63206">
        <w:rPr>
          <w:color w:val="161615"/>
          <w:sz w:val="20"/>
          <w:szCs w:val="20"/>
          <w:lang w:val="es-PA"/>
        </w:rPr>
        <w:t xml:space="preserve"> </w:t>
      </w:r>
      <w:r w:rsidRPr="00A63206">
        <w:rPr>
          <w:color w:val="000000"/>
          <w:sz w:val="20"/>
          <w:szCs w:val="20"/>
          <w:lang w:val="es-PA"/>
        </w:rPr>
        <w:t xml:space="preserve">  Beatriz Guillén, </w:t>
      </w:r>
      <w:r w:rsidRPr="00A63206">
        <w:rPr>
          <w:rFonts w:ascii="Arimo" w:eastAsia="Arimo" w:hAnsi="Arimo" w:cs="Arimo"/>
          <w:color w:val="000000"/>
          <w:sz w:val="20"/>
          <w:szCs w:val="20"/>
          <w:lang w:val="es-PA"/>
        </w:rPr>
        <w:t>“</w:t>
      </w:r>
      <w:r w:rsidRPr="00A63206">
        <w:rPr>
          <w:color w:val="000000"/>
          <w:sz w:val="20"/>
          <w:szCs w:val="20"/>
          <w:lang w:val="es-PA"/>
        </w:rPr>
        <w:t xml:space="preserve">Radiografía de un país que mata a sus mujeres: 17.776 asesinadas en cinco años”, El País, 25 de noviembre de 2022; </w:t>
      </w:r>
      <w:hyperlink r:id="rId10">
        <w:r w:rsidRPr="00A63206">
          <w:rPr>
            <w:color w:val="0000FF"/>
            <w:sz w:val="20"/>
            <w:szCs w:val="20"/>
            <w:u w:val="single"/>
            <w:lang w:val="es-PA"/>
          </w:rPr>
          <w:t>https://elpais.com/mexico/2022-11-25/radiografia-de-un-pais-que-mata-a-sus-mujeres-17776-asesinadas-en-cincoanos.html?event=go&amp;event_log=go&amp;prod=REGCRARTMEX&amp;o=cerrmex</w:t>
        </w:r>
      </w:hyperlink>
      <w:r w:rsidRPr="00A63206">
        <w:rPr>
          <w:color w:val="000000"/>
          <w:sz w:val="20"/>
          <w:szCs w:val="20"/>
          <w:lang w:val="es-PA"/>
        </w:rPr>
        <w:t xml:space="preserve">.  Universidad Autónoma Metropolitana, </w:t>
      </w:r>
      <w:r w:rsidRPr="00A63206">
        <w:rPr>
          <w:i/>
          <w:color w:val="000000"/>
          <w:sz w:val="20"/>
          <w:szCs w:val="20"/>
          <w:lang w:val="es-PA"/>
        </w:rPr>
        <w:t xml:space="preserve">Miradas Interdisciplinarias sobre violencia de género, políticas, el desplazamiento, la desaparición forzada </w:t>
      </w:r>
      <w:r w:rsidRPr="00A63206">
        <w:rPr>
          <w:color w:val="000000"/>
          <w:sz w:val="20"/>
          <w:szCs w:val="20"/>
          <w:lang w:val="es-PA"/>
        </w:rPr>
        <w:t xml:space="preserve">pág. 43, disponible en : </w:t>
      </w:r>
      <w:hyperlink r:id="rId11">
        <w:r w:rsidRPr="00A63206">
          <w:rPr>
            <w:color w:val="1155CC"/>
            <w:sz w:val="20"/>
            <w:szCs w:val="20"/>
            <w:u w:val="single"/>
            <w:lang w:val="es-PA"/>
          </w:rPr>
          <w:t>https://simehbucket.s3.amazonaws.com/miscfiles/9786072830370_lqr0kmlw.pdf</w:t>
        </w:r>
      </w:hyperlink>
      <w:r w:rsidRPr="00A63206">
        <w:rPr>
          <w:color w:val="000000"/>
          <w:sz w:val="20"/>
          <w:szCs w:val="20"/>
          <w:lang w:val="es-PA"/>
        </w:rPr>
        <w:t xml:space="preserve">  Organisación de los Estados Américanos (OEA), OEA/Ser.L/V/II </w:t>
      </w:r>
      <w:r w:rsidRPr="00A63206">
        <w:rPr>
          <w:i/>
          <w:color w:val="000000"/>
          <w:sz w:val="20"/>
          <w:szCs w:val="20"/>
          <w:lang w:val="es-PA"/>
        </w:rPr>
        <w:t>Violencia y discriminación contra mujeres, niñas y adolescentes: Buenas prácticas y desafíos en América Latina y en el Caribe</w:t>
      </w:r>
      <w:r w:rsidRPr="00A63206">
        <w:rPr>
          <w:color w:val="000000"/>
          <w:sz w:val="20"/>
          <w:szCs w:val="20"/>
          <w:lang w:val="es-PA"/>
        </w:rPr>
        <w:t>. Doc. 233 14, noviembre 2019, parágrafos 165 a 168</w:t>
      </w:r>
    </w:p>
  </w:endnote>
  <w:endnote w:id="11">
    <w:p w14:paraId="2F3AA8AE" w14:textId="77777777" w:rsidR="00A90270" w:rsidRPr="00A63206" w:rsidRDefault="00A90270" w:rsidP="0055550A">
      <w:pPr>
        <w:pBdr>
          <w:top w:val="nil"/>
          <w:left w:val="nil"/>
          <w:bottom w:val="nil"/>
          <w:right w:val="nil"/>
          <w:between w:val="nil"/>
        </w:pBdr>
        <w:ind w:left="567"/>
        <w:jc w:val="both"/>
        <w:rPr>
          <w:color w:val="000000"/>
          <w:sz w:val="22"/>
          <w:szCs w:val="22"/>
          <w:lang w:val="es-PA"/>
        </w:rPr>
      </w:pPr>
      <w:r>
        <w:rPr>
          <w:vertAlign w:val="superscript"/>
        </w:rPr>
        <w:endnoteRef/>
      </w:r>
      <w:r w:rsidRPr="00A63206">
        <w:rPr>
          <w:color w:val="000000"/>
          <w:sz w:val="20"/>
          <w:szCs w:val="20"/>
          <w:lang w:val="es-PA"/>
        </w:rPr>
        <w:t xml:space="preserve"> </w:t>
      </w:r>
      <w:r>
        <w:fldChar w:fldCharType="begin"/>
      </w:r>
      <w:r w:rsidRPr="005D702F">
        <w:rPr>
          <w:lang w:val="es-419"/>
        </w:rPr>
        <w:instrText>HYPERLINK "https://undocs.org/es/CED/C/MEX/VR/1%252520(Findings)" \h</w:instrText>
      </w:r>
      <w:r>
        <w:fldChar w:fldCharType="separate"/>
      </w:r>
      <w:r w:rsidRPr="00A63206">
        <w:rPr>
          <w:color w:val="0000FF"/>
          <w:sz w:val="20"/>
          <w:szCs w:val="20"/>
          <w:u w:val="single"/>
          <w:lang w:val="es-PA"/>
        </w:rPr>
        <w:t>CED/C/MEX/VR/1 (Findings)</w:t>
      </w:r>
      <w:r>
        <w:fldChar w:fldCharType="end"/>
      </w:r>
      <w:r w:rsidRPr="00A63206">
        <w:rPr>
          <w:color w:val="000000"/>
          <w:sz w:val="20"/>
          <w:szCs w:val="20"/>
          <w:lang w:val="es-PA"/>
        </w:rPr>
        <w:t xml:space="preserve">, párr. 13: </w:t>
      </w:r>
      <w:r w:rsidRPr="00A63206">
        <w:rPr>
          <w:rFonts w:ascii="Arimo" w:eastAsia="Arimo" w:hAnsi="Arimo" w:cs="Arimo"/>
          <w:color w:val="000000"/>
          <w:sz w:val="20"/>
          <w:szCs w:val="20"/>
          <w:lang w:val="es-PA"/>
        </w:rPr>
        <w:t>“</w:t>
      </w:r>
      <w:r w:rsidRPr="00A63206">
        <w:rPr>
          <w:color w:val="000000"/>
          <w:sz w:val="20"/>
          <w:szCs w:val="20"/>
          <w:lang w:val="es-PA"/>
        </w:rPr>
        <w:t>Las desapariciones forzadas continúan siendo cometidas directamente por agentes públicos del ámbito federal, estatal y municipal. Además, la delincuencia organizada se ha convertido en un perpetrador central de desapariciones, con diversas formas de connivencia y diversos grados de participación, aquiescencia u omisión de servidores públicos”.</w:t>
      </w:r>
    </w:p>
  </w:endnote>
  <w:endnote w:id="12">
    <w:p w14:paraId="7865D62D" w14:textId="77777777" w:rsidR="00A90270" w:rsidRPr="00A63206" w:rsidRDefault="00A90270" w:rsidP="0055550A">
      <w:pPr>
        <w:pBdr>
          <w:top w:val="nil"/>
          <w:left w:val="nil"/>
          <w:bottom w:val="nil"/>
          <w:right w:val="nil"/>
          <w:between w:val="nil"/>
        </w:pBdr>
        <w:ind w:left="567"/>
        <w:rPr>
          <w:color w:val="000000"/>
          <w:sz w:val="22"/>
          <w:szCs w:val="22"/>
          <w:lang w:val="es-PA"/>
        </w:rPr>
      </w:pPr>
      <w:r>
        <w:rPr>
          <w:vertAlign w:val="superscript"/>
        </w:rPr>
        <w:endnoteRef/>
      </w:r>
      <w:r w:rsidRPr="00A63206">
        <w:rPr>
          <w:color w:val="000000"/>
          <w:sz w:val="20"/>
          <w:szCs w:val="20"/>
          <w:lang w:val="es-PA"/>
        </w:rPr>
        <w:t xml:space="preserve"> CED/C/10 </w:t>
      </w:r>
      <w:r w:rsidRPr="00A63206">
        <w:rPr>
          <w:i/>
          <w:color w:val="000000"/>
          <w:sz w:val="20"/>
          <w:szCs w:val="20"/>
          <w:lang w:val="es-PA"/>
        </w:rPr>
        <w:t xml:space="preserve">Declaración de actores no estatales en el contexto de la Convención para la protección de todas las personas contra las desapariciones </w:t>
      </w:r>
      <w:r w:rsidRPr="00A63206">
        <w:rPr>
          <w:i/>
          <w:color w:val="000000"/>
          <w:sz w:val="20"/>
          <w:szCs w:val="20"/>
          <w:lang w:val="es-PA"/>
        </w:rPr>
        <w:t>forzadas , párr. 2-8.</w:t>
      </w:r>
    </w:p>
  </w:endnote>
  <w:endnote w:id="13">
    <w:p w14:paraId="75D67AAC" w14:textId="77777777" w:rsidR="00A90270" w:rsidRPr="00A63206" w:rsidRDefault="00A90270" w:rsidP="0055550A">
      <w:pPr>
        <w:pBdr>
          <w:top w:val="nil"/>
          <w:left w:val="nil"/>
          <w:bottom w:val="nil"/>
          <w:right w:val="nil"/>
          <w:between w:val="nil"/>
        </w:pBdr>
        <w:ind w:left="567"/>
        <w:jc w:val="both"/>
        <w:rPr>
          <w:color w:val="000000"/>
          <w:sz w:val="22"/>
          <w:szCs w:val="22"/>
          <w:lang w:val="es-PA"/>
        </w:rPr>
      </w:pPr>
      <w:r>
        <w:rPr>
          <w:vertAlign w:val="superscript"/>
        </w:rPr>
        <w:endnoteRef/>
      </w:r>
      <w:r w:rsidRPr="00A63206">
        <w:rPr>
          <w:color w:val="000000"/>
          <w:sz w:val="20"/>
          <w:szCs w:val="20"/>
          <w:lang w:val="es-PA"/>
        </w:rPr>
        <w:t xml:space="preserve"> A/HRC/41/46/Add.1 </w:t>
      </w:r>
      <w:r w:rsidRPr="00A63206">
        <w:rPr>
          <w:i/>
          <w:color w:val="000000"/>
          <w:sz w:val="20"/>
          <w:szCs w:val="20"/>
          <w:lang w:val="es-PA"/>
        </w:rPr>
        <w:t>Informe de la Relatora Especial sobre la trata de personas, especialmente mujeres y niños</w:t>
      </w:r>
      <w:r w:rsidRPr="00A63206">
        <w:rPr>
          <w:color w:val="000000"/>
          <w:sz w:val="20"/>
          <w:szCs w:val="20"/>
          <w:lang w:val="es-PA"/>
        </w:rPr>
        <w:t>, Visita a Nigeria. párr 5 y 6</w:t>
      </w:r>
    </w:p>
  </w:endnote>
  <w:endnote w:id="14">
    <w:p w14:paraId="402D2247" w14:textId="77777777" w:rsidR="00A90270" w:rsidRPr="00A63206" w:rsidRDefault="00A90270" w:rsidP="0055550A">
      <w:pPr>
        <w:pBdr>
          <w:top w:val="nil"/>
          <w:left w:val="nil"/>
          <w:bottom w:val="nil"/>
          <w:right w:val="nil"/>
          <w:between w:val="nil"/>
        </w:pBdr>
        <w:ind w:left="567"/>
        <w:jc w:val="both"/>
        <w:rPr>
          <w:color w:val="000000"/>
          <w:sz w:val="22"/>
          <w:szCs w:val="22"/>
          <w:lang w:val="es-PA"/>
        </w:rPr>
      </w:pPr>
      <w:r>
        <w:rPr>
          <w:vertAlign w:val="superscript"/>
        </w:rPr>
        <w:endnoteRef/>
      </w:r>
      <w:r w:rsidRPr="00A63206">
        <w:rPr>
          <w:color w:val="000000"/>
          <w:sz w:val="20"/>
          <w:szCs w:val="20"/>
          <w:lang w:val="es-PA"/>
        </w:rPr>
        <w:t xml:space="preserve"> Reveles, José. 2011, </w:t>
      </w:r>
      <w:r w:rsidRPr="00A63206">
        <w:rPr>
          <w:i/>
          <w:color w:val="000000"/>
          <w:sz w:val="20"/>
          <w:szCs w:val="20"/>
          <w:lang w:val="es-PA"/>
        </w:rPr>
        <w:t>Levantones, narcofosas y falsos positivos</w:t>
      </w:r>
      <w:r w:rsidRPr="00A63206">
        <w:rPr>
          <w:color w:val="000000"/>
          <w:sz w:val="20"/>
          <w:szCs w:val="20"/>
          <w:lang w:val="es-PA"/>
        </w:rPr>
        <w:t>, México DF: Grijalbo.</w:t>
      </w:r>
    </w:p>
  </w:endnote>
  <w:endnote w:id="15">
    <w:p w14:paraId="1E88D922" w14:textId="77777777" w:rsidR="00A90270" w:rsidRPr="00A63206" w:rsidRDefault="00A90270" w:rsidP="0055550A">
      <w:pPr>
        <w:pBdr>
          <w:top w:val="nil"/>
          <w:left w:val="nil"/>
          <w:bottom w:val="nil"/>
          <w:right w:val="nil"/>
          <w:between w:val="nil"/>
        </w:pBdr>
        <w:ind w:left="567"/>
        <w:jc w:val="both"/>
        <w:rPr>
          <w:color w:val="000000"/>
          <w:sz w:val="22"/>
          <w:szCs w:val="22"/>
          <w:lang w:val="es-PA"/>
        </w:rPr>
      </w:pPr>
      <w:r>
        <w:rPr>
          <w:vertAlign w:val="superscript"/>
        </w:rPr>
        <w:endnoteRef/>
      </w:r>
      <w:r w:rsidRPr="00A63206">
        <w:rPr>
          <w:color w:val="000000"/>
          <w:sz w:val="20"/>
          <w:szCs w:val="20"/>
          <w:lang w:val="es-PA"/>
        </w:rPr>
        <w:t xml:space="preserve"> UNWomen/ICTJ, </w:t>
      </w:r>
      <w:r w:rsidRPr="00A63206">
        <w:rPr>
          <w:i/>
          <w:color w:val="000000"/>
          <w:sz w:val="20"/>
          <w:szCs w:val="20"/>
          <w:lang w:val="es-PA"/>
        </w:rPr>
        <w:t>Las desaparecidas y las invisibles. Repercusiones de la desaparición forzada en las mujeres</w:t>
      </w:r>
      <w:r w:rsidRPr="00A63206">
        <w:rPr>
          <w:color w:val="000000"/>
          <w:sz w:val="20"/>
          <w:szCs w:val="20"/>
          <w:lang w:val="es-PA"/>
        </w:rPr>
        <w:t>. pág.5</w:t>
      </w:r>
    </w:p>
  </w:endnote>
  <w:endnote w:id="16">
    <w:p w14:paraId="02FEB0F1" w14:textId="77777777" w:rsidR="00A90270" w:rsidRPr="00A63206" w:rsidRDefault="00A90270" w:rsidP="0055550A">
      <w:pPr>
        <w:pBdr>
          <w:top w:val="nil"/>
          <w:left w:val="nil"/>
          <w:bottom w:val="nil"/>
          <w:right w:val="nil"/>
          <w:between w:val="nil"/>
        </w:pBdr>
        <w:ind w:left="567"/>
        <w:rPr>
          <w:color w:val="000000"/>
          <w:sz w:val="22"/>
          <w:szCs w:val="22"/>
          <w:lang w:val="es-PA"/>
        </w:rPr>
      </w:pPr>
      <w:r>
        <w:rPr>
          <w:vertAlign w:val="superscript"/>
        </w:rPr>
        <w:endnoteRef/>
      </w:r>
      <w:r w:rsidRPr="00A63206">
        <w:rPr>
          <w:color w:val="000000"/>
          <w:sz w:val="20"/>
          <w:szCs w:val="20"/>
          <w:lang w:val="es-PA"/>
        </w:rPr>
        <w:t xml:space="preserve"> </w:t>
      </w:r>
      <w:r w:rsidRPr="00A63206">
        <w:rPr>
          <w:color w:val="000000"/>
          <w:sz w:val="20"/>
          <w:szCs w:val="20"/>
          <w:lang w:val="es-PA"/>
        </w:rPr>
        <w:t xml:space="preserve">FIDH </w:t>
      </w:r>
      <w:r w:rsidRPr="00A63206">
        <w:rPr>
          <w:i/>
          <w:color w:val="000000"/>
          <w:sz w:val="20"/>
          <w:szCs w:val="20"/>
          <w:lang w:val="es-PA"/>
        </w:rPr>
        <w:t xml:space="preserve"> ¿Quién nos busca?, ¿quién nos cuida? Informe sobre la desaparición de mujeres y niñas vinculadas a la Trata de personas, en el Estado de México</w:t>
      </w:r>
      <w:r w:rsidRPr="00A63206">
        <w:rPr>
          <w:color w:val="000000"/>
          <w:sz w:val="20"/>
          <w:szCs w:val="20"/>
          <w:lang w:val="es-PA"/>
        </w:rPr>
        <w:t xml:space="preserve">, pág 16, disponible en : </w:t>
      </w:r>
      <w:hyperlink r:id="rId12">
        <w:r w:rsidRPr="00A63206">
          <w:rPr>
            <w:color w:val="1155CC"/>
            <w:sz w:val="20"/>
            <w:szCs w:val="20"/>
            <w:u w:val="single"/>
            <w:lang w:val="es-PA"/>
          </w:rPr>
          <w:t>https://www.fidh.org/IMG/pdf/mexiquefemmes835eweb_1_.pdf</w:t>
        </w:r>
      </w:hyperlink>
      <w:r w:rsidRPr="00A63206">
        <w:rPr>
          <w:color w:val="000000"/>
          <w:sz w:val="20"/>
          <w:szCs w:val="20"/>
          <w:lang w:val="es-PA"/>
        </w:rPr>
        <w:t xml:space="preserve"> </w:t>
      </w:r>
    </w:p>
  </w:endnote>
  <w:endnote w:id="17">
    <w:p w14:paraId="7FD6BAE1" w14:textId="77777777" w:rsidR="00A90270" w:rsidRPr="00A63206" w:rsidRDefault="00A90270" w:rsidP="0055550A">
      <w:pPr>
        <w:pBdr>
          <w:top w:val="nil"/>
          <w:left w:val="nil"/>
          <w:bottom w:val="nil"/>
          <w:right w:val="nil"/>
          <w:between w:val="nil"/>
        </w:pBdr>
        <w:ind w:left="567"/>
        <w:rPr>
          <w:color w:val="000000"/>
          <w:sz w:val="22"/>
          <w:szCs w:val="22"/>
          <w:lang w:val="es-PA"/>
        </w:rPr>
      </w:pPr>
      <w:r>
        <w:rPr>
          <w:vertAlign w:val="superscript"/>
        </w:rPr>
        <w:endnoteRef/>
      </w:r>
      <w:r w:rsidRPr="00A63206">
        <w:rPr>
          <w:color w:val="000000"/>
          <w:sz w:val="20"/>
          <w:szCs w:val="20"/>
          <w:lang w:val="es-PA"/>
        </w:rPr>
        <w:t xml:space="preserve"> CED/C/GC/1, Visita del Comité contra la Desaparición Forzada a Colombia: hallazgos preliminares. 5 de diciembre de </w:t>
      </w:r>
      <w:r w:rsidRPr="00A63206">
        <w:rPr>
          <w:color w:val="000000"/>
          <w:sz w:val="20"/>
          <w:szCs w:val="20"/>
          <w:lang w:val="es-PA"/>
        </w:rPr>
        <w:t xml:space="preserve">2024 , disponible en : </w:t>
      </w:r>
      <w:hyperlink r:id="rId13">
        <w:r w:rsidRPr="00A63206">
          <w:rPr>
            <w:color w:val="1155CC"/>
            <w:sz w:val="20"/>
            <w:szCs w:val="20"/>
            <w:u w:val="single"/>
            <w:lang w:val="es-PA"/>
          </w:rPr>
          <w:t>https://tbinternet.ohchr.org/_layouts/15/treatybodyexternal/Download.aspx?symbolno=INT%2FCED%2FSTA%2FCOL%2F60557&amp;Lang=en</w:t>
        </w:r>
      </w:hyperlink>
      <w:r w:rsidRPr="00A63206">
        <w:rPr>
          <w:color w:val="000000"/>
          <w:sz w:val="20"/>
          <w:szCs w:val="20"/>
          <w:lang w:val="es-PA"/>
        </w:rPr>
        <w:t xml:space="preserve"> </w:t>
      </w:r>
    </w:p>
  </w:endnote>
  <w:endnote w:id="18">
    <w:p w14:paraId="6BCC45D2" w14:textId="77777777" w:rsidR="00A90270" w:rsidRPr="00A63206" w:rsidRDefault="00A90270" w:rsidP="0055550A">
      <w:pPr>
        <w:pBdr>
          <w:top w:val="nil"/>
          <w:left w:val="nil"/>
          <w:bottom w:val="nil"/>
          <w:right w:val="nil"/>
          <w:between w:val="nil"/>
        </w:pBdr>
        <w:ind w:left="567"/>
        <w:rPr>
          <w:color w:val="000000"/>
          <w:sz w:val="22"/>
          <w:szCs w:val="22"/>
          <w:lang w:val="es-PA"/>
        </w:rPr>
      </w:pPr>
      <w:r>
        <w:rPr>
          <w:vertAlign w:val="superscript"/>
        </w:rPr>
        <w:endnoteRef/>
      </w:r>
      <w:r w:rsidRPr="00A63206">
        <w:rPr>
          <w:color w:val="000000"/>
          <w:sz w:val="20"/>
          <w:szCs w:val="20"/>
          <w:lang w:val="es-PA"/>
        </w:rPr>
        <w:t xml:space="preserve"> OEA/Ser.L/II.7.10, </w:t>
      </w:r>
      <w:r w:rsidRPr="00A63206">
        <w:rPr>
          <w:i/>
          <w:color w:val="000000"/>
          <w:sz w:val="20"/>
          <w:szCs w:val="20"/>
          <w:lang w:val="es-PA"/>
        </w:rPr>
        <w:t>Recomendación General del Comité de Expertas del MESECVI (No.2) Mujeres y niñas desaparecidas en el hemisferio.</w:t>
      </w:r>
      <w:r w:rsidRPr="00A63206">
        <w:rPr>
          <w:color w:val="000000"/>
          <w:sz w:val="20"/>
          <w:szCs w:val="20"/>
          <w:lang w:val="es-PA"/>
        </w:rPr>
        <w:t xml:space="preserve"> 2018, disponible en : </w:t>
      </w:r>
      <w:hyperlink r:id="rId14">
        <w:r w:rsidRPr="00A63206">
          <w:rPr>
            <w:color w:val="1155CC"/>
            <w:sz w:val="20"/>
            <w:szCs w:val="20"/>
            <w:u w:val="single"/>
            <w:lang w:val="es-PA"/>
          </w:rPr>
          <w:t>https://www.oas.org/es/mesecvi/docs/MESECVI-CEVI-XV-doc.250-ES.pdf</w:t>
        </w:r>
      </w:hyperlink>
      <w:r w:rsidRPr="00A63206">
        <w:rPr>
          <w:color w:val="000000"/>
          <w:sz w:val="20"/>
          <w:szCs w:val="20"/>
          <w:lang w:val="es-PA"/>
        </w:rPr>
        <w:t xml:space="preserve"> ; </w:t>
      </w:r>
      <w:r w:rsidRPr="00A63206">
        <w:rPr>
          <w:color w:val="161615"/>
          <w:sz w:val="20"/>
          <w:szCs w:val="20"/>
          <w:lang w:val="es-PA"/>
        </w:rPr>
        <w:t xml:space="preserve"> </w:t>
      </w:r>
      <w:r w:rsidRPr="00A63206">
        <w:rPr>
          <w:color w:val="000000"/>
          <w:sz w:val="20"/>
          <w:szCs w:val="20"/>
          <w:lang w:val="es-PA"/>
        </w:rPr>
        <w:t xml:space="preserve">CED/C/MEX/VR/1 (Findings) 12 de abril de 2022, párr. 14, disponible en : </w:t>
      </w:r>
      <w:hyperlink r:id="rId15">
        <w:r w:rsidRPr="00A63206">
          <w:rPr>
            <w:color w:val="1155CC"/>
            <w:sz w:val="20"/>
            <w:szCs w:val="20"/>
            <w:u w:val="single"/>
            <w:lang w:val="es-PA"/>
          </w:rPr>
          <w:t>https://docstore.ohchr.org/SelfServices/FilesHandler.ashx?enc=BRXcQB2Hyw5oK4w9m9zUmfckD%2FPemsUabuhKHmjp06OIZ3pVlML9o2FnLZRzI8XA6U8R7W7cmqY3dveUx5BGyPotjMcZElFlmqoe8UA4RFQ%3D</w:t>
        </w:r>
      </w:hyperlink>
      <w:r w:rsidRPr="00A63206">
        <w:rPr>
          <w:color w:val="000000"/>
          <w:sz w:val="20"/>
          <w:szCs w:val="20"/>
          <w:lang w:val="es-PA"/>
        </w:rPr>
        <w:t xml:space="preserve"> ; Defensoría del Pueblo del Estado de Perú, </w:t>
      </w:r>
      <w:r w:rsidRPr="00A63206">
        <w:rPr>
          <w:i/>
          <w:color w:val="000000"/>
          <w:sz w:val="20"/>
          <w:szCs w:val="20"/>
          <w:lang w:val="es-PA"/>
        </w:rPr>
        <w:t xml:space="preserve"> Reporte Igualdad y No Violencia ¿Qué pasó con ellas? N.º 57, </w:t>
      </w:r>
      <w:r w:rsidRPr="00A63206">
        <w:rPr>
          <w:color w:val="000000"/>
          <w:sz w:val="20"/>
          <w:szCs w:val="20"/>
          <w:lang w:val="es-PA"/>
        </w:rPr>
        <w:t xml:space="preserve"> octubre 2024, disponible en : </w:t>
      </w:r>
      <w:hyperlink r:id="rId16">
        <w:r w:rsidRPr="00A63206">
          <w:rPr>
            <w:color w:val="1155CC"/>
            <w:sz w:val="20"/>
            <w:szCs w:val="20"/>
            <w:u w:val="single"/>
            <w:lang w:val="es-PA"/>
          </w:rPr>
          <w:t>https://www.defensoria.gob.pe/wp-content/uploads/2024/11/Reporte-Igualdad-y-No-Violencia-57.pdf</w:t>
        </w:r>
      </w:hyperlink>
      <w:r w:rsidRPr="00A63206">
        <w:rPr>
          <w:color w:val="000000"/>
          <w:sz w:val="20"/>
          <w:szCs w:val="20"/>
          <w:lang w:val="es-PA"/>
        </w:rPr>
        <w:t xml:space="preserve"> </w:t>
      </w:r>
    </w:p>
  </w:endnote>
  <w:endnote w:id="19">
    <w:p w14:paraId="169F726B" w14:textId="77777777" w:rsidR="00A90270" w:rsidRPr="00A63206" w:rsidRDefault="00A90270" w:rsidP="0055550A">
      <w:pPr>
        <w:pBdr>
          <w:top w:val="nil"/>
          <w:left w:val="nil"/>
          <w:bottom w:val="nil"/>
          <w:right w:val="nil"/>
          <w:between w:val="nil"/>
        </w:pBdr>
        <w:ind w:left="567"/>
        <w:jc w:val="both"/>
        <w:rPr>
          <w:color w:val="000000"/>
          <w:sz w:val="22"/>
          <w:szCs w:val="22"/>
          <w:lang w:val="es-PA"/>
        </w:rPr>
      </w:pPr>
      <w:r>
        <w:rPr>
          <w:vertAlign w:val="superscript"/>
        </w:rPr>
        <w:endnoteRef/>
      </w:r>
      <w:r w:rsidRPr="00A63206">
        <w:rPr>
          <w:color w:val="000000"/>
          <w:sz w:val="20"/>
          <w:szCs w:val="20"/>
          <w:lang w:val="es-PA"/>
        </w:rPr>
        <w:t xml:space="preserve"> OEA/Ser.L/V/II, CIDH, </w:t>
      </w:r>
      <w:r w:rsidRPr="00A63206">
        <w:rPr>
          <w:i/>
          <w:color w:val="000000"/>
          <w:sz w:val="20"/>
          <w:szCs w:val="20"/>
          <w:lang w:val="es-PA"/>
        </w:rPr>
        <w:t xml:space="preserve">Acceso a la justicia para las mujeres víctimas de violencia en las </w:t>
      </w:r>
      <w:r w:rsidRPr="00A63206">
        <w:rPr>
          <w:i/>
          <w:color w:val="000000"/>
          <w:sz w:val="20"/>
          <w:szCs w:val="20"/>
          <w:lang w:val="es-PA"/>
        </w:rPr>
        <w:t>Américas,</w:t>
      </w:r>
      <w:r w:rsidRPr="00A63206">
        <w:rPr>
          <w:color w:val="000000"/>
          <w:sz w:val="20"/>
          <w:szCs w:val="20"/>
          <w:lang w:val="es-PA"/>
        </w:rPr>
        <w:t xml:space="preserve">. Doc. 68, 20 enero 2007, disponible en : </w:t>
      </w:r>
      <w:hyperlink r:id="rId17">
        <w:r w:rsidRPr="00A63206">
          <w:rPr>
            <w:color w:val="1155CC"/>
            <w:sz w:val="20"/>
            <w:szCs w:val="20"/>
            <w:u w:val="single"/>
            <w:lang w:val="es-PA"/>
          </w:rPr>
          <w:t>https://www.cidh.oas.org/women/acceso07/indiceacceso.htm</w:t>
        </w:r>
      </w:hyperlink>
      <w:r w:rsidRPr="00A63206">
        <w:rPr>
          <w:color w:val="000000"/>
          <w:sz w:val="20"/>
          <w:szCs w:val="20"/>
          <w:lang w:val="es-PA"/>
        </w:rPr>
        <w:t xml:space="preserve">  </w:t>
      </w:r>
    </w:p>
  </w:endnote>
  <w:endnote w:id="20">
    <w:p w14:paraId="7DF52059" w14:textId="77777777" w:rsidR="00A90270" w:rsidRPr="00A63206" w:rsidRDefault="00A90270" w:rsidP="0055550A">
      <w:pPr>
        <w:pBdr>
          <w:top w:val="nil"/>
          <w:left w:val="nil"/>
          <w:bottom w:val="nil"/>
          <w:right w:val="nil"/>
          <w:between w:val="nil"/>
        </w:pBdr>
        <w:ind w:left="567"/>
        <w:jc w:val="both"/>
        <w:rPr>
          <w:color w:val="000000"/>
          <w:sz w:val="22"/>
          <w:szCs w:val="22"/>
          <w:lang w:val="es-PA"/>
        </w:rPr>
      </w:pPr>
      <w:r>
        <w:rPr>
          <w:vertAlign w:val="superscript"/>
        </w:rPr>
        <w:endnoteRef/>
      </w:r>
      <w:r>
        <w:rPr>
          <w:color w:val="000000"/>
          <w:sz w:val="20"/>
          <w:szCs w:val="20"/>
        </w:rPr>
        <w:t xml:space="preserve"> OHCHR, Eliminating judicial stereotyping Equal access to justice for women in gender-based violence </w:t>
      </w:r>
      <w:r>
        <w:rPr>
          <w:color w:val="000000"/>
          <w:sz w:val="20"/>
          <w:szCs w:val="20"/>
        </w:rPr>
        <w:t xml:space="preserve">cases.. </w:t>
      </w:r>
      <w:r w:rsidRPr="00A63206">
        <w:rPr>
          <w:color w:val="000000"/>
          <w:sz w:val="20"/>
          <w:szCs w:val="20"/>
          <w:lang w:val="es-PA"/>
        </w:rPr>
        <w:t xml:space="preserve">Simone Cusack, 2014, disponible en : </w:t>
      </w:r>
      <w:hyperlink r:id="rId18">
        <w:r w:rsidRPr="00A63206">
          <w:rPr>
            <w:color w:val="1155CC"/>
            <w:sz w:val="20"/>
            <w:szCs w:val="20"/>
            <w:u w:val="single"/>
            <w:lang w:val="es-PA"/>
          </w:rPr>
          <w:t>https://rm.coe.int/1680597b20</w:t>
        </w:r>
      </w:hyperlink>
      <w:r w:rsidRPr="00A63206">
        <w:rPr>
          <w:color w:val="000000"/>
          <w:sz w:val="20"/>
          <w:szCs w:val="20"/>
          <w:lang w:val="es-PA"/>
        </w:rPr>
        <w:t xml:space="preserve"> </w:t>
      </w:r>
    </w:p>
  </w:endnote>
  <w:endnote w:id="21">
    <w:p w14:paraId="3FE7005A" w14:textId="77777777" w:rsidR="00A90270" w:rsidRPr="00A63206" w:rsidRDefault="00A90270" w:rsidP="0055550A">
      <w:pPr>
        <w:ind w:left="567"/>
        <w:jc w:val="both"/>
        <w:rPr>
          <w:sz w:val="22"/>
          <w:szCs w:val="22"/>
          <w:lang w:val="es-PA"/>
        </w:rPr>
      </w:pPr>
      <w:r>
        <w:rPr>
          <w:vertAlign w:val="superscript"/>
        </w:rPr>
        <w:endnoteRef/>
      </w:r>
      <w:r w:rsidRPr="00A63206">
        <w:rPr>
          <w:sz w:val="20"/>
          <w:szCs w:val="20"/>
          <w:lang w:val="es-PA"/>
        </w:rPr>
        <w:t xml:space="preserve"> CEDAW/C/GC/33, </w:t>
      </w:r>
      <w:r w:rsidRPr="00A63206">
        <w:rPr>
          <w:i/>
          <w:sz w:val="20"/>
          <w:szCs w:val="20"/>
          <w:lang w:val="es-PA"/>
        </w:rPr>
        <w:t>Recomendación general núm. 33 sobre el acceso de las mujeres a la justicia,</w:t>
      </w:r>
      <w:r w:rsidRPr="00A63206">
        <w:rPr>
          <w:sz w:val="20"/>
          <w:szCs w:val="20"/>
          <w:lang w:val="es-PA"/>
        </w:rPr>
        <w:t xml:space="preserve"> párr.26- 28, disponible en : </w:t>
      </w:r>
      <w:hyperlink r:id="rId19">
        <w:r w:rsidRPr="00A63206">
          <w:rPr>
            <w:color w:val="1155CC"/>
            <w:sz w:val="20"/>
            <w:szCs w:val="20"/>
            <w:u w:val="single"/>
            <w:lang w:val="es-PA"/>
          </w:rPr>
          <w:t>https://docstore.ohchr.org/SelfServices/FilesHandler.ashx?enc=c62mN9wd8hzagNLNDNDeMpwFNpMvUNfgK5NBIVvVnPh%2By3l4GnqlcQGt53RjB%2B2dDT%2FbNl7CZqaQmkjeq51Hng%3D%3D</w:t>
        </w:r>
      </w:hyperlink>
      <w:r w:rsidRPr="00A63206">
        <w:rPr>
          <w:sz w:val="20"/>
          <w:szCs w:val="20"/>
          <w:lang w:val="es-PA"/>
        </w:rPr>
        <w:t xml:space="preserve"> ; ver también Corte IDH. </w:t>
      </w:r>
      <w:r w:rsidRPr="00A63206">
        <w:rPr>
          <w:i/>
          <w:sz w:val="20"/>
          <w:szCs w:val="20"/>
          <w:lang w:val="es-PA"/>
        </w:rPr>
        <w:t>Caso Gutiérrez Hernández y otros vs. Guatemala.</w:t>
      </w:r>
      <w:r w:rsidRPr="00A63206">
        <w:rPr>
          <w:sz w:val="20"/>
          <w:szCs w:val="20"/>
          <w:lang w:val="es-PA"/>
        </w:rPr>
        <w:t xml:space="preserve"> Excepciones Preliminares, Fondo, Reparaciones y Costas. Sentencia de </w:t>
      </w:r>
    </w:p>
  </w:endnote>
  <w:endnote w:id="22">
    <w:p w14:paraId="1C0546A7" w14:textId="77777777" w:rsidR="00A90270" w:rsidRPr="00A63206" w:rsidRDefault="00A90270" w:rsidP="0055550A">
      <w:pPr>
        <w:pBdr>
          <w:top w:val="nil"/>
          <w:left w:val="nil"/>
          <w:bottom w:val="nil"/>
          <w:right w:val="nil"/>
          <w:between w:val="nil"/>
        </w:pBdr>
        <w:ind w:left="567"/>
        <w:jc w:val="both"/>
        <w:rPr>
          <w:color w:val="000000"/>
          <w:sz w:val="22"/>
          <w:szCs w:val="22"/>
          <w:lang w:val="es-PA"/>
        </w:rPr>
      </w:pPr>
      <w:r>
        <w:rPr>
          <w:vertAlign w:val="superscript"/>
        </w:rPr>
        <w:endnoteRef/>
      </w:r>
      <w:r w:rsidRPr="00A63206">
        <w:rPr>
          <w:color w:val="000000"/>
          <w:sz w:val="20"/>
          <w:szCs w:val="20"/>
          <w:lang w:val="es-PA"/>
        </w:rPr>
        <w:t xml:space="preserve">24 de agosto de 2017. Serie C No. 339, párr.175, disponible </w:t>
      </w:r>
      <w:r w:rsidRPr="00A63206">
        <w:rPr>
          <w:color w:val="000000"/>
          <w:sz w:val="20"/>
          <w:szCs w:val="20"/>
          <w:lang w:val="es-PA"/>
        </w:rPr>
        <w:t xml:space="preserve">en : </w:t>
      </w:r>
    </w:p>
  </w:endnote>
  <w:endnote w:id="23">
    <w:p w14:paraId="117432DD" w14:textId="77777777" w:rsidR="00A90270" w:rsidRPr="00A63206" w:rsidRDefault="00A90270" w:rsidP="0055550A">
      <w:pPr>
        <w:pBdr>
          <w:top w:val="nil"/>
          <w:left w:val="nil"/>
          <w:bottom w:val="nil"/>
          <w:right w:val="nil"/>
          <w:between w:val="nil"/>
        </w:pBdr>
        <w:ind w:left="567"/>
        <w:jc w:val="both"/>
        <w:rPr>
          <w:color w:val="000000"/>
          <w:sz w:val="22"/>
          <w:szCs w:val="22"/>
          <w:lang w:val="es-PA"/>
        </w:rPr>
      </w:pPr>
      <w:r>
        <w:rPr>
          <w:vertAlign w:val="superscript"/>
        </w:rPr>
        <w:endnoteRef/>
      </w:r>
      <w:r w:rsidRPr="00A63206">
        <w:rPr>
          <w:color w:val="000000"/>
          <w:sz w:val="22"/>
          <w:szCs w:val="22"/>
          <w:lang w:val="es-PA"/>
        </w:rPr>
        <w:t>s/seriec_339_esp.pdf"</w:t>
      </w:r>
      <w:r w:rsidRPr="00A63206">
        <w:rPr>
          <w:color w:val="1155CC"/>
          <w:sz w:val="20"/>
          <w:szCs w:val="20"/>
          <w:u w:val="single"/>
          <w:lang w:val="es-PA"/>
        </w:rPr>
        <w:t>https://www.corteidh.or.cr/docs/casos/articulos/seriec_339_esp.pdf</w:t>
      </w:r>
      <w:r w:rsidRPr="00A63206">
        <w:rPr>
          <w:color w:val="000000"/>
          <w:sz w:val="20"/>
          <w:szCs w:val="20"/>
          <w:lang w:val="es-PA"/>
        </w:rPr>
        <w:t xml:space="preserve"> </w:t>
      </w:r>
    </w:p>
    <w:p w14:paraId="31CFF29F" w14:textId="77777777" w:rsidR="00A90270" w:rsidRPr="00A63206" w:rsidRDefault="00A90270" w:rsidP="0055550A">
      <w:pPr>
        <w:pBdr>
          <w:top w:val="nil"/>
          <w:left w:val="nil"/>
          <w:bottom w:val="nil"/>
          <w:right w:val="nil"/>
          <w:between w:val="nil"/>
        </w:pBdr>
        <w:ind w:left="567"/>
        <w:rPr>
          <w:color w:val="000000"/>
          <w:sz w:val="22"/>
          <w:szCs w:val="22"/>
          <w:lang w:val="es-PA"/>
        </w:rPr>
      </w:pPr>
      <w:r w:rsidRPr="00A63206">
        <w:rPr>
          <w:i/>
          <w:color w:val="000000"/>
          <w:sz w:val="20"/>
          <w:szCs w:val="20"/>
          <w:lang w:val="es-PA"/>
        </w:rPr>
        <w:t xml:space="preserve">s de </w:t>
      </w:r>
      <w:r w:rsidRPr="00A63206">
        <w:rPr>
          <w:i/>
          <w:color w:val="000000"/>
          <w:sz w:val="20"/>
          <w:szCs w:val="20"/>
          <w:lang w:val="es-PA"/>
        </w:rPr>
        <w:t xml:space="preserve">familias  de personas desaparecidas en México, </w:t>
      </w:r>
      <w:r w:rsidRPr="00A63206">
        <w:rPr>
          <w:color w:val="000000"/>
          <w:sz w:val="20"/>
          <w:szCs w:val="20"/>
          <w:lang w:val="es-PA"/>
        </w:rPr>
        <w:t xml:space="preserve">pág. 15, disponible en : </w:t>
      </w:r>
      <w:hyperlink r:id="rId20">
        <w:r w:rsidRPr="00A63206">
          <w:rPr>
            <w:color w:val="1155CC"/>
            <w:sz w:val="20"/>
            <w:szCs w:val="20"/>
            <w:u w:val="single"/>
            <w:lang w:val="es-PA"/>
          </w:rPr>
          <w:t>https://movndmx.org/informeriesgos2024/</w:t>
        </w:r>
      </w:hyperlink>
      <w:r w:rsidRPr="00A63206">
        <w:rPr>
          <w:color w:val="000000"/>
          <w:sz w:val="20"/>
          <w:szCs w:val="20"/>
          <w:lang w:val="es-PA"/>
        </w:rPr>
        <w:t xml:space="preserve"> </w:t>
      </w:r>
    </w:p>
  </w:endnote>
  <w:endnote w:id="24">
    <w:p w14:paraId="119B894B" w14:textId="77777777" w:rsidR="00A90270" w:rsidRDefault="00A90270" w:rsidP="0055550A">
      <w:pPr>
        <w:pBdr>
          <w:top w:val="nil"/>
          <w:left w:val="nil"/>
          <w:bottom w:val="nil"/>
          <w:right w:val="nil"/>
          <w:between w:val="nil"/>
        </w:pBdr>
        <w:ind w:left="567"/>
        <w:jc w:val="both"/>
        <w:rPr>
          <w:color w:val="000000"/>
          <w:sz w:val="22"/>
          <w:szCs w:val="22"/>
        </w:rPr>
      </w:pPr>
      <w:r>
        <w:rPr>
          <w:vertAlign w:val="superscript"/>
        </w:rPr>
        <w:endnoteRef/>
      </w:r>
      <w:r>
        <w:rPr>
          <w:color w:val="000000"/>
          <w:sz w:val="20"/>
          <w:szCs w:val="20"/>
        </w:rPr>
        <w:t xml:space="preserve"> 465. Uruguay, 2013 (CED/C/URY/CO/1, para. </w:t>
      </w:r>
      <w:r w:rsidRPr="00A63206">
        <w:rPr>
          <w:color w:val="000000"/>
          <w:sz w:val="20"/>
          <w:szCs w:val="20"/>
          <w:lang w:val="es-PA"/>
        </w:rPr>
        <w:t>38); Argentina, 2013 (CED/C/ARG/CO/1, para. 41); España, 2013(CED/C/ESP/CO/1, para. 37); Países Bajos, 2014 (CED/C/NLD/CO/1, para. 41); Alemania, 2014 (CED/C/DEU/CO/</w:t>
      </w:r>
      <w:r w:rsidRPr="00A63206">
        <w:rPr>
          <w:color w:val="000000"/>
          <w:sz w:val="20"/>
          <w:szCs w:val="20"/>
          <w:lang w:val="es-PA"/>
        </w:rPr>
        <w:t xml:space="preserve">1,para. 31); Bélgica, 2014 (CED/C/BEL/CO/1, para. 32); Paraguay, 2014 (CED/C/PRY/CO/1, para. 34); México, 2015(CED/C/MEX/CO/1, para. 47); Armenia, 2015 (CED/C/ARM/CO/1, para. 31); Serbia, 2015 (CED/C/SRB/CO/1, para. 34); Iraq, 2015 (CED/C/IRQ/CO/1, para. 40); Montenegro, 2015 (CED/C/MNE/CO/1, para. 37); Túnez, 2016(CED/C/TUN/CO/1, para. 36); Burkina Faso, 2016 (CED/C/BFA/CO/1, para. 44); Kazajstán, 2016 (CED/C/KAZ/ CO/1,para. 34); Bosnia y Herzegovina, 2016 (CED/C/BIH/CO/1, para. 42); Colombia, 2016 (CED/C/COL/CO/1, para. 42);Cuba, 2017 (CED/C/CUB/CO/1, para. 38); Senegal, 2017 (CED/C/SEN/CO/1, para. 44); Ecuador, 2017 (CED/C/ECU/CO/1, para. 24); Gabón, 2017 (CED/C/GAB/CO/1, para. 43); Austria, 2018 (CED/C/AUT/CO/1, para. 27);Albania, 2018 (CED/C/ALB/CO/1, para. 41); Japón, 2018 (CED/C/JPN/CO/1, para. 46); Portugal, 2018(CED/C/PRT/CO/1, para. 29); Italia, 2019 (CED/C/ITA/CO/1, para. 37); Honduras, 2018 (CED/C/HND/CO/1, para. 45).Chile, 2019 (CED/C/CHL/CO/1, para. 33); Perú, 2019 (CED/C/PER/CO/1, para. 37); Bolivia, 2019 (CED/C/BOL/CO/1,para. </w:t>
      </w:r>
      <w:r>
        <w:rPr>
          <w:color w:val="000000"/>
          <w:sz w:val="20"/>
          <w:szCs w:val="20"/>
        </w:rPr>
        <w:t>43); Eslovaquia, 2019 (CED/C/SVK/CO/1, para. 29). CED/C/MEX/VR/1 (Findings)párr17</w:t>
      </w:r>
    </w:p>
  </w:endnote>
  <w:endnote w:id="25">
    <w:p w14:paraId="16EEB952" w14:textId="77777777" w:rsidR="00A90270" w:rsidRPr="00A63206" w:rsidRDefault="00A90270" w:rsidP="0055550A">
      <w:pPr>
        <w:pBdr>
          <w:top w:val="nil"/>
          <w:left w:val="nil"/>
          <w:bottom w:val="nil"/>
          <w:right w:val="nil"/>
          <w:between w:val="nil"/>
        </w:pBdr>
        <w:ind w:left="567"/>
        <w:jc w:val="both"/>
        <w:rPr>
          <w:color w:val="000000"/>
          <w:sz w:val="22"/>
          <w:szCs w:val="22"/>
          <w:lang w:val="es-PA"/>
        </w:rPr>
      </w:pPr>
      <w:r>
        <w:rPr>
          <w:vertAlign w:val="superscript"/>
        </w:rPr>
        <w:endnoteRef/>
      </w:r>
      <w:r w:rsidRPr="00A63206">
        <w:rPr>
          <w:color w:val="000000"/>
          <w:sz w:val="20"/>
          <w:szCs w:val="20"/>
          <w:lang w:val="es-PA"/>
        </w:rPr>
        <w:t xml:space="preserve"> Ver la Fundación Nydia Erika Bautista, actuando desde el exilio :  </w:t>
      </w:r>
      <w:hyperlink r:id="rId21">
        <w:r w:rsidRPr="00A63206">
          <w:rPr>
            <w:color w:val="1155CC"/>
            <w:sz w:val="20"/>
            <w:szCs w:val="20"/>
            <w:u w:val="single"/>
            <w:lang w:val="es-PA"/>
          </w:rPr>
          <w:t>https://web.nydia-erika-bautista.org/nosotros/</w:t>
        </w:r>
      </w:hyperlink>
      <w:r w:rsidRPr="00A63206">
        <w:rPr>
          <w:color w:val="000000"/>
          <w:sz w:val="20"/>
          <w:szCs w:val="20"/>
          <w:lang w:val="es-PA"/>
        </w:rPr>
        <w:t xml:space="preserve"> </w:t>
      </w:r>
    </w:p>
  </w:endnote>
  <w:endnote w:id="26">
    <w:p w14:paraId="5F4845AB" w14:textId="77777777" w:rsidR="00A90270" w:rsidRPr="00A63206" w:rsidRDefault="00A90270" w:rsidP="0055550A">
      <w:pPr>
        <w:pBdr>
          <w:top w:val="nil"/>
          <w:left w:val="nil"/>
          <w:bottom w:val="nil"/>
          <w:right w:val="nil"/>
          <w:between w:val="nil"/>
        </w:pBdr>
        <w:ind w:left="567"/>
        <w:jc w:val="both"/>
        <w:rPr>
          <w:color w:val="000000"/>
          <w:sz w:val="22"/>
          <w:szCs w:val="22"/>
          <w:lang w:val="es-PA"/>
        </w:rPr>
      </w:pPr>
      <w:r>
        <w:rPr>
          <w:vertAlign w:val="superscript"/>
        </w:rPr>
        <w:endnoteRef/>
      </w:r>
      <w:r w:rsidRPr="00A63206">
        <w:rPr>
          <w:color w:val="000000"/>
          <w:sz w:val="20"/>
          <w:szCs w:val="20"/>
          <w:lang w:val="es-PA"/>
        </w:rPr>
        <w:t xml:space="preserve"> Amnesty International, </w:t>
      </w:r>
      <w:r w:rsidRPr="00A63206">
        <w:rPr>
          <w:i/>
          <w:color w:val="000000"/>
          <w:sz w:val="20"/>
          <w:szCs w:val="20"/>
          <w:lang w:val="es-PA"/>
        </w:rPr>
        <w:t xml:space="preserve">Mujeres buscadoras en las Américas, </w:t>
      </w:r>
      <w:r w:rsidRPr="00A63206">
        <w:rPr>
          <w:color w:val="000000"/>
          <w:sz w:val="20"/>
          <w:szCs w:val="20"/>
          <w:lang w:val="es-PA"/>
        </w:rPr>
        <w:t xml:space="preserve">disponible en : </w:t>
      </w:r>
      <w:hyperlink r:id="rId22">
        <w:r w:rsidRPr="00A63206">
          <w:rPr>
            <w:color w:val="1155CC"/>
            <w:sz w:val="20"/>
            <w:szCs w:val="20"/>
            <w:u w:val="single"/>
            <w:lang w:val="es-PA"/>
          </w:rPr>
          <w:t>https://www.amnesty.org/es/projects/mujeres-buscadoras-en-las-americas/</w:t>
        </w:r>
      </w:hyperlink>
      <w:r w:rsidRPr="00A63206">
        <w:rPr>
          <w:color w:val="000000"/>
          <w:sz w:val="20"/>
          <w:szCs w:val="20"/>
          <w:lang w:val="es-PA"/>
        </w:rPr>
        <w:t xml:space="preserve"> </w:t>
      </w:r>
    </w:p>
  </w:endnote>
  <w:endnote w:id="27">
    <w:p w14:paraId="72A5AAE0" w14:textId="77777777" w:rsidR="00A90270" w:rsidRPr="00A63206" w:rsidRDefault="00A90270" w:rsidP="0055550A">
      <w:pPr>
        <w:pBdr>
          <w:top w:val="nil"/>
          <w:left w:val="nil"/>
          <w:bottom w:val="nil"/>
          <w:right w:val="nil"/>
          <w:between w:val="nil"/>
        </w:pBdr>
        <w:ind w:left="567"/>
        <w:jc w:val="both"/>
        <w:rPr>
          <w:color w:val="000000"/>
          <w:sz w:val="22"/>
          <w:szCs w:val="22"/>
          <w:lang w:val="es-PA"/>
        </w:rPr>
      </w:pPr>
      <w:r>
        <w:rPr>
          <w:vertAlign w:val="superscript"/>
        </w:rPr>
        <w:endnoteRef/>
      </w:r>
      <w:r w:rsidRPr="00A63206">
        <w:rPr>
          <w:color w:val="000000"/>
          <w:sz w:val="20"/>
          <w:szCs w:val="20"/>
          <w:lang w:val="es-PA"/>
        </w:rPr>
        <w:t xml:space="preserve"> Centro PRODH, </w:t>
      </w:r>
      <w:r w:rsidRPr="00A63206">
        <w:rPr>
          <w:i/>
          <w:color w:val="000000"/>
          <w:sz w:val="20"/>
          <w:szCs w:val="20"/>
          <w:lang w:val="es-PA"/>
        </w:rPr>
        <w:t xml:space="preserve">Nos llaman las locas de las palas. El papel de las mujeres en la búsqueda de sus familiares desaparecidos,  </w:t>
      </w:r>
      <w:r w:rsidRPr="00A63206">
        <w:rPr>
          <w:color w:val="000000"/>
          <w:sz w:val="20"/>
          <w:szCs w:val="20"/>
          <w:lang w:val="es-PA"/>
        </w:rPr>
        <w:t xml:space="preserve">, pág. 33, disponible en : </w:t>
      </w:r>
      <w:hyperlink r:id="rId23">
        <w:r w:rsidRPr="00A63206">
          <w:rPr>
            <w:color w:val="1155CC"/>
            <w:sz w:val="20"/>
            <w:szCs w:val="20"/>
            <w:u w:val="single"/>
            <w:lang w:val="es-PA"/>
          </w:rPr>
          <w:t>https://centroprodh.org.mx/2020/05/10/pub-las-locas-de-las-palas/</w:t>
        </w:r>
      </w:hyperlink>
      <w:r w:rsidRPr="00A63206">
        <w:rPr>
          <w:color w:val="000000"/>
          <w:sz w:val="20"/>
          <w:szCs w:val="20"/>
          <w:lang w:val="es-PA"/>
        </w:rPr>
        <w:t xml:space="preserve"> ;  CFDA y Euormed rights, </w:t>
      </w:r>
      <w:r w:rsidRPr="00A63206">
        <w:rPr>
          <w:i/>
          <w:color w:val="000000"/>
          <w:sz w:val="20"/>
          <w:szCs w:val="20"/>
          <w:lang w:val="es-PA"/>
        </w:rPr>
        <w:t>Rapport alternatif à l</w:t>
      </w:r>
      <w:r w:rsidRPr="00A63206">
        <w:rPr>
          <w:rFonts w:ascii="Arimo" w:eastAsia="Arimo" w:hAnsi="Arimo" w:cs="Arimo"/>
          <w:color w:val="000000"/>
          <w:sz w:val="20"/>
          <w:szCs w:val="20"/>
          <w:lang w:val="es-PA"/>
        </w:rPr>
        <w:t>’</w:t>
      </w:r>
      <w:r w:rsidRPr="00A63206">
        <w:rPr>
          <w:i/>
          <w:color w:val="000000"/>
          <w:sz w:val="20"/>
          <w:szCs w:val="20"/>
          <w:lang w:val="es-PA"/>
        </w:rPr>
        <w:t>attention du Comité des droits de l</w:t>
      </w:r>
      <w:r w:rsidRPr="00A63206">
        <w:rPr>
          <w:rFonts w:ascii="Arimo" w:eastAsia="Arimo" w:hAnsi="Arimo" w:cs="Arimo"/>
          <w:color w:val="000000"/>
          <w:sz w:val="20"/>
          <w:szCs w:val="20"/>
          <w:lang w:val="es-PA"/>
        </w:rPr>
        <w:t>’</w:t>
      </w:r>
      <w:r w:rsidRPr="00A63206">
        <w:rPr>
          <w:i/>
          <w:color w:val="000000"/>
          <w:sz w:val="20"/>
          <w:szCs w:val="20"/>
          <w:lang w:val="es-PA"/>
        </w:rPr>
        <w:t>homme des Nations Unies, 121</w:t>
      </w:r>
      <w:r>
        <w:rPr>
          <w:i/>
          <w:color w:val="000000"/>
          <w:sz w:val="20"/>
          <w:szCs w:val="20"/>
        </w:rPr>
        <w:t>ᵉ</w:t>
      </w:r>
      <w:r w:rsidRPr="00A63206">
        <w:rPr>
          <w:i/>
          <w:color w:val="000000"/>
          <w:sz w:val="20"/>
          <w:szCs w:val="20"/>
          <w:lang w:val="es-PA"/>
        </w:rPr>
        <w:t xml:space="preserve"> session du Comité des droits de l</w:t>
      </w:r>
      <w:r w:rsidRPr="00A63206">
        <w:rPr>
          <w:rFonts w:ascii="Arimo" w:eastAsia="Arimo" w:hAnsi="Arimo" w:cs="Arimo"/>
          <w:color w:val="000000"/>
          <w:sz w:val="20"/>
          <w:szCs w:val="20"/>
          <w:lang w:val="es-PA"/>
        </w:rPr>
        <w:t>’</w:t>
      </w:r>
      <w:r w:rsidRPr="00A63206">
        <w:rPr>
          <w:i/>
          <w:color w:val="000000"/>
          <w:sz w:val="20"/>
          <w:szCs w:val="20"/>
          <w:lang w:val="es-PA"/>
        </w:rPr>
        <w:t>homme (18 octobre – 10 novembre 2017)</w:t>
      </w:r>
      <w:r w:rsidRPr="00A63206">
        <w:rPr>
          <w:color w:val="000000"/>
          <w:sz w:val="20"/>
          <w:szCs w:val="20"/>
          <w:lang w:val="es-PA"/>
        </w:rPr>
        <w:t xml:space="preserve">, Disponible en : </w:t>
      </w:r>
      <w:hyperlink r:id="rId24">
        <w:r w:rsidRPr="00A63206">
          <w:rPr>
            <w:color w:val="1155CC"/>
            <w:sz w:val="20"/>
            <w:szCs w:val="20"/>
            <w:u w:val="single"/>
            <w:lang w:val="es-PA"/>
          </w:rPr>
          <w:t>https://www.algerie-disparus.org/app/uploads/2018/08/Alg%C3%A9rie-1er-rapport-alternatif-juillet-2017.pdf</w:t>
        </w:r>
      </w:hyperlink>
      <w:r w:rsidRPr="00A63206">
        <w:rPr>
          <w:color w:val="000000"/>
          <w:sz w:val="20"/>
          <w:szCs w:val="20"/>
          <w:lang w:val="es-PA"/>
        </w:rPr>
        <w:t xml:space="preserve"> Instituto Catalán Internacional Para La Paz (ICIP) Anna Fleischer, </w:t>
      </w:r>
      <w:r w:rsidRPr="00A63206">
        <w:rPr>
          <w:i/>
          <w:color w:val="000000"/>
          <w:sz w:val="20"/>
          <w:szCs w:val="20"/>
          <w:lang w:val="es-PA"/>
        </w:rPr>
        <w:t>¿Dónde están las personas desaparecidas? Verdad y justicia, un requisito para la paz, El impacto de género de las desapariciones forzadas en Siria</w:t>
      </w:r>
      <w:r w:rsidRPr="00A63206">
        <w:rPr>
          <w:color w:val="000000"/>
          <w:sz w:val="20"/>
          <w:szCs w:val="20"/>
          <w:lang w:val="es-PA"/>
        </w:rPr>
        <w:t xml:space="preserve">, disponible en : </w:t>
      </w:r>
      <w:hyperlink r:id="rId25">
        <w:r w:rsidRPr="00A63206">
          <w:rPr>
            <w:color w:val="1155CC"/>
            <w:sz w:val="20"/>
            <w:szCs w:val="20"/>
            <w:u w:val="single"/>
            <w:lang w:val="es-PA"/>
          </w:rPr>
          <w:t>https://www.icip.cat/perlapau/es/articulo/el-impacto-de-genero-de-las-desapariciones-forzadas-en-siria/</w:t>
        </w:r>
      </w:hyperlink>
      <w:r w:rsidRPr="00A63206">
        <w:rPr>
          <w:color w:val="000000"/>
          <w:sz w:val="20"/>
          <w:szCs w:val="20"/>
          <w:lang w:val="es-PA"/>
        </w:rPr>
        <w:t xml:space="preserve"> </w:t>
      </w:r>
    </w:p>
  </w:endnote>
  <w:endnote w:id="28">
    <w:p w14:paraId="589959F2" w14:textId="77777777" w:rsidR="00A90270" w:rsidRPr="00A63206" w:rsidRDefault="00A90270" w:rsidP="0055550A">
      <w:pPr>
        <w:pBdr>
          <w:top w:val="nil"/>
          <w:left w:val="nil"/>
          <w:bottom w:val="nil"/>
          <w:right w:val="nil"/>
          <w:between w:val="nil"/>
        </w:pBdr>
        <w:ind w:left="567"/>
        <w:rPr>
          <w:color w:val="000000"/>
          <w:sz w:val="22"/>
          <w:szCs w:val="22"/>
          <w:lang w:val="es-PA"/>
        </w:rPr>
      </w:pPr>
      <w:r>
        <w:rPr>
          <w:vertAlign w:val="superscript"/>
        </w:rPr>
        <w:endnoteRef/>
      </w:r>
      <w:r w:rsidRPr="00A63206">
        <w:rPr>
          <w:color w:val="1155CC"/>
          <w:sz w:val="20"/>
          <w:szCs w:val="20"/>
          <w:lang w:val="es-PA"/>
        </w:rPr>
        <w:t>Joan Cabasés Vega,</w:t>
      </w:r>
      <w:r w:rsidRPr="00A63206">
        <w:rPr>
          <w:i/>
          <w:color w:val="1155CC"/>
          <w:sz w:val="20"/>
          <w:szCs w:val="20"/>
          <w:lang w:val="es-PA"/>
        </w:rPr>
        <w:t xml:space="preserve"> Ellas buscan a sus seres desaparecidos en las guerras de Medio Oriente</w:t>
      </w:r>
      <w:r w:rsidRPr="00A63206">
        <w:rPr>
          <w:color w:val="1155CC"/>
          <w:sz w:val="20"/>
          <w:szCs w:val="20"/>
          <w:lang w:val="es-PA"/>
        </w:rPr>
        <w:t xml:space="preserve">, disponible en : </w:t>
      </w:r>
      <w:hyperlink r:id="rId26">
        <w:r w:rsidRPr="00A63206">
          <w:rPr>
            <w:color w:val="1155CC"/>
            <w:sz w:val="20"/>
            <w:szCs w:val="20"/>
            <w:u w:val="single"/>
            <w:lang w:val="es-PA"/>
          </w:rPr>
          <w:t>https://www.rfi.fr/es/programas/enfoque-internacional/20230831-ellas-buscan-a-sus-seres-desaparecidos-en-las-guerras-de-medio-oriente</w:t>
        </w:r>
      </w:hyperlink>
      <w:r w:rsidRPr="00A63206">
        <w:rPr>
          <w:color w:val="000000"/>
          <w:sz w:val="20"/>
          <w:szCs w:val="20"/>
          <w:lang w:val="es-PA"/>
        </w:rPr>
        <w:t xml:space="preserve">, MUGAK, Desaparecidos, Fadwa Mahmud: luchadora, madre y esposa de dos desaparecidos en las cárceles de Siria, disponible en :  </w:t>
      </w:r>
      <w:hyperlink r:id="rId27">
        <w:r w:rsidRPr="00A63206">
          <w:rPr>
            <w:color w:val="1155CC"/>
            <w:sz w:val="20"/>
            <w:szCs w:val="20"/>
            <w:u w:val="single"/>
            <w:lang w:val="es-PA"/>
          </w:rPr>
          <w:t>https://medios.mugak.eu/noticias/noticia/584289?criterio_id=28888</w:t>
        </w:r>
      </w:hyperlink>
      <w:r w:rsidRPr="00A63206">
        <w:rPr>
          <w:color w:val="000000"/>
          <w:sz w:val="20"/>
          <w:szCs w:val="20"/>
          <w:lang w:val="es-PA"/>
        </w:rPr>
        <w:t xml:space="preserve"> ;</w:t>
      </w:r>
    </w:p>
  </w:endnote>
  <w:endnote w:id="29">
    <w:p w14:paraId="0E1C7B73" w14:textId="77777777" w:rsidR="00A90270" w:rsidRPr="00A63206" w:rsidRDefault="00A90270" w:rsidP="0055550A">
      <w:pPr>
        <w:pBdr>
          <w:top w:val="nil"/>
          <w:left w:val="nil"/>
          <w:bottom w:val="nil"/>
          <w:right w:val="nil"/>
          <w:between w:val="nil"/>
        </w:pBdr>
        <w:ind w:left="567"/>
        <w:jc w:val="both"/>
        <w:rPr>
          <w:color w:val="000000"/>
          <w:sz w:val="22"/>
          <w:szCs w:val="22"/>
          <w:lang w:val="es-PA"/>
        </w:rPr>
      </w:pPr>
      <w:r>
        <w:rPr>
          <w:vertAlign w:val="superscript"/>
        </w:rPr>
        <w:endnoteRef/>
      </w:r>
      <w:r w:rsidRPr="00A63206">
        <w:rPr>
          <w:color w:val="000000"/>
          <w:sz w:val="20"/>
          <w:szCs w:val="20"/>
          <w:lang w:val="es-PA"/>
        </w:rPr>
        <w:t xml:space="preserve"> ICIP, Anna Fleischer, ¿Dónde están las personas desaparecidas? Verdad y justicia, un requisito para la paz, El impacto de género de las desapariciones forzadas en Siria, disponible en : </w:t>
      </w:r>
      <w:hyperlink r:id="rId28">
        <w:r w:rsidRPr="00A63206">
          <w:rPr>
            <w:color w:val="1155CC"/>
            <w:sz w:val="20"/>
            <w:szCs w:val="20"/>
            <w:u w:val="single"/>
            <w:lang w:val="es-PA"/>
          </w:rPr>
          <w:t>https://www.icip.cat/perlapau/es/articulo/el-impacto-de-genero-de-las-desapariciones-forzadas-en-siria/</w:t>
        </w:r>
      </w:hyperlink>
      <w:r w:rsidRPr="00A63206">
        <w:rPr>
          <w:color w:val="000000"/>
          <w:sz w:val="20"/>
          <w:szCs w:val="20"/>
          <w:lang w:val="es-PA"/>
        </w:rPr>
        <w:t xml:space="preserve">  </w:t>
      </w:r>
    </w:p>
  </w:endnote>
  <w:endnote w:id="30">
    <w:p w14:paraId="75B898C8" w14:textId="77777777" w:rsidR="00A90270" w:rsidRPr="00A63206" w:rsidRDefault="00A90270" w:rsidP="0055550A">
      <w:pPr>
        <w:pBdr>
          <w:top w:val="nil"/>
          <w:left w:val="nil"/>
          <w:bottom w:val="nil"/>
          <w:right w:val="nil"/>
          <w:between w:val="nil"/>
        </w:pBdr>
        <w:ind w:left="567"/>
        <w:jc w:val="both"/>
        <w:rPr>
          <w:color w:val="000000"/>
          <w:sz w:val="22"/>
          <w:szCs w:val="22"/>
          <w:lang w:val="es-PA"/>
        </w:rPr>
      </w:pPr>
      <w:r>
        <w:rPr>
          <w:vertAlign w:val="superscript"/>
        </w:rPr>
        <w:endnoteRef/>
      </w:r>
      <w:r w:rsidRPr="00A63206">
        <w:rPr>
          <w:color w:val="000000"/>
          <w:sz w:val="20"/>
          <w:szCs w:val="20"/>
          <w:lang w:val="es-PA"/>
        </w:rPr>
        <w:t>Asamblea General de la ONU, Resolución A/RES/53/144.</w:t>
      </w:r>
      <w:r w:rsidRPr="00A63206">
        <w:rPr>
          <w:color w:val="4A4A4A"/>
          <w:sz w:val="20"/>
          <w:szCs w:val="20"/>
          <w:lang w:val="es-PA"/>
        </w:rPr>
        <w:t xml:space="preserve"> </w:t>
      </w:r>
      <w:r w:rsidRPr="00A63206">
        <w:rPr>
          <w:color w:val="000000"/>
          <w:sz w:val="20"/>
          <w:szCs w:val="20"/>
          <w:lang w:val="es-PA"/>
        </w:rPr>
        <w:t xml:space="preserve">Declaración sobre los defensores de los derechos humanos, disponible en : </w:t>
      </w:r>
      <w:hyperlink r:id="rId29">
        <w:r w:rsidRPr="00A63206">
          <w:rPr>
            <w:color w:val="1155CC"/>
            <w:sz w:val="20"/>
            <w:szCs w:val="20"/>
            <w:u w:val="single"/>
            <w:lang w:val="es-PA"/>
          </w:rPr>
          <w:t>https://docs.un.org/es/A/RES/53/144</w:t>
        </w:r>
      </w:hyperlink>
      <w:r w:rsidRPr="00A63206">
        <w:rPr>
          <w:color w:val="000000"/>
          <w:sz w:val="20"/>
          <w:szCs w:val="20"/>
          <w:lang w:val="es-PA"/>
        </w:rPr>
        <w:t xml:space="preserve"> </w:t>
      </w:r>
    </w:p>
  </w:endnote>
  <w:endnote w:id="31">
    <w:p w14:paraId="45CA1EBA" w14:textId="77777777" w:rsidR="00A90270" w:rsidRDefault="00A90270" w:rsidP="0055550A">
      <w:pPr>
        <w:pBdr>
          <w:top w:val="nil"/>
          <w:left w:val="nil"/>
          <w:bottom w:val="nil"/>
          <w:right w:val="nil"/>
          <w:between w:val="nil"/>
        </w:pBdr>
        <w:ind w:left="567"/>
        <w:jc w:val="both"/>
        <w:rPr>
          <w:color w:val="000000"/>
          <w:sz w:val="22"/>
          <w:szCs w:val="22"/>
        </w:rPr>
      </w:pPr>
      <w:r>
        <w:rPr>
          <w:vertAlign w:val="superscript"/>
        </w:rPr>
        <w:endnoteRef/>
      </w:r>
      <w:r>
        <w:rPr>
          <w:color w:val="000000"/>
          <w:sz w:val="20"/>
          <w:szCs w:val="20"/>
        </w:rPr>
        <w:t xml:space="preserve">Frey Barbara A, </w:t>
      </w:r>
      <w:r>
        <w:rPr>
          <w:rFonts w:ascii="Arimo" w:eastAsia="Arimo" w:hAnsi="Arimo" w:cs="Arimo"/>
          <w:color w:val="000000"/>
          <w:sz w:val="20"/>
          <w:szCs w:val="20"/>
        </w:rPr>
        <w:t>“</w:t>
      </w:r>
      <w:r>
        <w:rPr>
          <w:i/>
          <w:color w:val="000000"/>
          <w:sz w:val="20"/>
          <w:szCs w:val="20"/>
        </w:rPr>
        <w:t>Los Desaparecidos: The Latin American Experience as a Narrative Framework for the International Norm against Forced Disappearances</w:t>
      </w:r>
      <w:r>
        <w:rPr>
          <w:color w:val="000000"/>
          <w:sz w:val="20"/>
          <w:szCs w:val="20"/>
        </w:rPr>
        <w:t>” (2009) Hispanic Issues Series University of Minnesota.</w:t>
      </w:r>
    </w:p>
  </w:endnote>
  <w:endnote w:id="32">
    <w:p w14:paraId="760998F6" w14:textId="77777777" w:rsidR="00A90270" w:rsidRDefault="00A90270" w:rsidP="0055550A">
      <w:pPr>
        <w:pBdr>
          <w:top w:val="nil"/>
          <w:left w:val="nil"/>
          <w:bottom w:val="nil"/>
          <w:right w:val="nil"/>
          <w:between w:val="nil"/>
        </w:pBdr>
        <w:ind w:left="567"/>
        <w:jc w:val="both"/>
        <w:rPr>
          <w:color w:val="000000"/>
          <w:sz w:val="22"/>
          <w:szCs w:val="22"/>
        </w:rPr>
      </w:pPr>
      <w:r>
        <w:rPr>
          <w:vertAlign w:val="superscript"/>
        </w:rPr>
        <w:endnoteRef/>
      </w:r>
      <w:r>
        <w:rPr>
          <w:color w:val="000000"/>
          <w:sz w:val="20"/>
          <w:szCs w:val="20"/>
        </w:rPr>
        <w:t xml:space="preserve"> Vegh Weis, Valeria, </w:t>
      </w:r>
      <w:r>
        <w:rPr>
          <w:rFonts w:ascii="Arimo" w:eastAsia="Arimo" w:hAnsi="Arimo" w:cs="Arimo"/>
          <w:color w:val="000000"/>
          <w:sz w:val="20"/>
          <w:szCs w:val="20"/>
        </w:rPr>
        <w:t>“</w:t>
      </w:r>
      <w:r>
        <w:rPr>
          <w:color w:val="000000"/>
          <w:sz w:val="20"/>
          <w:szCs w:val="20"/>
        </w:rPr>
        <w:t>The relevance of victim</w:t>
      </w:r>
      <w:r>
        <w:rPr>
          <w:rFonts w:ascii="Arimo" w:eastAsia="Arimo" w:hAnsi="Arimo" w:cs="Arimo"/>
          <w:color w:val="000000"/>
          <w:sz w:val="20"/>
          <w:szCs w:val="20"/>
        </w:rPr>
        <w:t>’</w:t>
      </w:r>
      <w:r>
        <w:rPr>
          <w:color w:val="000000"/>
          <w:sz w:val="20"/>
          <w:szCs w:val="20"/>
        </w:rPr>
        <w:t>s organizations in the transitional justice process: the case of the grandmothers of plaza de mayo in Argentina” (2017) Intercultural Human Rights Law Review, volume 12.</w:t>
      </w:r>
    </w:p>
  </w:endnote>
  <w:endnote w:id="33">
    <w:p w14:paraId="693E1BF0" w14:textId="77777777" w:rsidR="00A90270" w:rsidRPr="00A63206" w:rsidRDefault="00A90270" w:rsidP="0055550A">
      <w:pPr>
        <w:pBdr>
          <w:top w:val="nil"/>
          <w:left w:val="nil"/>
          <w:bottom w:val="nil"/>
          <w:right w:val="nil"/>
          <w:between w:val="nil"/>
        </w:pBdr>
        <w:ind w:left="567"/>
        <w:jc w:val="both"/>
        <w:rPr>
          <w:color w:val="000000"/>
          <w:sz w:val="22"/>
          <w:szCs w:val="22"/>
          <w:lang w:val="es-PA"/>
        </w:rPr>
      </w:pPr>
      <w:r>
        <w:rPr>
          <w:vertAlign w:val="superscript"/>
        </w:rPr>
        <w:endnoteRef/>
      </w:r>
      <w:r>
        <w:rPr>
          <w:color w:val="000000"/>
          <w:sz w:val="20"/>
          <w:szCs w:val="20"/>
        </w:rPr>
        <w:t xml:space="preserve"> Dulitzky Ariel, </w:t>
      </w:r>
      <w:r>
        <w:rPr>
          <w:rFonts w:ascii="Arimo" w:eastAsia="Arimo" w:hAnsi="Arimo" w:cs="Arimo"/>
          <w:color w:val="000000"/>
          <w:sz w:val="20"/>
          <w:szCs w:val="20"/>
        </w:rPr>
        <w:t>“</w:t>
      </w:r>
      <w:r>
        <w:rPr>
          <w:i/>
          <w:color w:val="000000"/>
          <w:sz w:val="20"/>
          <w:szCs w:val="20"/>
        </w:rPr>
        <w:t>The latin-american flavor of enforced disappearances</w:t>
      </w:r>
      <w:r>
        <w:rPr>
          <w:color w:val="000000"/>
          <w:sz w:val="20"/>
          <w:szCs w:val="20"/>
        </w:rPr>
        <w:t xml:space="preserve">” (2019) Chicago Journal of International Law: Vol. 19: No. 2, Article 3. Pervou Ioanna, </w:t>
      </w:r>
      <w:r>
        <w:rPr>
          <w:rFonts w:ascii="Arimo" w:eastAsia="Arimo" w:hAnsi="Arimo" w:cs="Arimo"/>
          <w:color w:val="000000"/>
          <w:sz w:val="20"/>
          <w:szCs w:val="20"/>
        </w:rPr>
        <w:t>“</w:t>
      </w:r>
      <w:r>
        <w:rPr>
          <w:i/>
          <w:color w:val="000000"/>
          <w:sz w:val="20"/>
          <w:szCs w:val="20"/>
        </w:rPr>
        <w:t>The Convention for the Protection of All Persons from Enforced Disappearance: Moving Human Rights Protection Ahead</w:t>
      </w:r>
      <w:r>
        <w:rPr>
          <w:color w:val="000000"/>
          <w:sz w:val="20"/>
          <w:szCs w:val="20"/>
        </w:rPr>
        <w:t xml:space="preserve">” (2012). </w:t>
      </w:r>
      <w:r w:rsidRPr="00A63206">
        <w:rPr>
          <w:color w:val="000000"/>
          <w:sz w:val="20"/>
          <w:szCs w:val="20"/>
          <w:lang w:val="es-PA"/>
        </w:rPr>
        <w:t xml:space="preserve">EJLS : 5 1, p. 145 ; </w:t>
      </w:r>
    </w:p>
  </w:endnote>
  <w:endnote w:id="34">
    <w:p w14:paraId="0EC2A8B9" w14:textId="77777777" w:rsidR="00A90270" w:rsidRPr="00A63206" w:rsidRDefault="00A90270" w:rsidP="0055550A">
      <w:pPr>
        <w:pBdr>
          <w:top w:val="nil"/>
          <w:left w:val="nil"/>
          <w:bottom w:val="nil"/>
          <w:right w:val="nil"/>
          <w:between w:val="nil"/>
        </w:pBdr>
        <w:ind w:left="567"/>
        <w:rPr>
          <w:color w:val="000000"/>
          <w:sz w:val="22"/>
          <w:szCs w:val="22"/>
          <w:lang w:val="es-PA"/>
        </w:rPr>
      </w:pPr>
      <w:r>
        <w:rPr>
          <w:vertAlign w:val="superscript"/>
        </w:rPr>
        <w:endnoteRef/>
      </w:r>
      <w:r w:rsidRPr="00A63206">
        <w:rPr>
          <w:color w:val="000000"/>
          <w:sz w:val="20"/>
          <w:szCs w:val="20"/>
          <w:lang w:val="es-PA"/>
        </w:rPr>
        <w:t xml:space="preserve">  Universidad Autónoma Metropolitana, </w:t>
      </w:r>
      <w:r w:rsidRPr="00A63206">
        <w:rPr>
          <w:i/>
          <w:color w:val="000000"/>
          <w:sz w:val="20"/>
          <w:szCs w:val="20"/>
          <w:lang w:val="es-PA"/>
        </w:rPr>
        <w:t xml:space="preserve">Miradas Interdisciplinarias sobre violencia de género, políticas, el desplazamiento, la desaparición forzada </w:t>
      </w:r>
      <w:r w:rsidRPr="00A63206">
        <w:rPr>
          <w:color w:val="000000"/>
          <w:sz w:val="20"/>
          <w:szCs w:val="20"/>
          <w:lang w:val="es-PA"/>
        </w:rPr>
        <w:t xml:space="preserve">pág. 47, disponible en : </w:t>
      </w:r>
      <w:hyperlink r:id="rId30">
        <w:r w:rsidRPr="00A63206">
          <w:rPr>
            <w:color w:val="1155CC"/>
            <w:sz w:val="20"/>
            <w:szCs w:val="20"/>
            <w:u w:val="single"/>
            <w:lang w:val="es-PA"/>
          </w:rPr>
          <w:t xml:space="preserve">https://simehbucket.s3.amazonaws.com/miscfiles/9786072830370_lqr0kmlw.pdf, </w:t>
        </w:r>
      </w:hyperlink>
    </w:p>
  </w:endnote>
  <w:endnote w:id="35">
    <w:p w14:paraId="5CCF6F36" w14:textId="77777777" w:rsidR="00A90270" w:rsidRPr="00A63206" w:rsidRDefault="00A90270" w:rsidP="0055550A">
      <w:pPr>
        <w:pBdr>
          <w:top w:val="nil"/>
          <w:left w:val="nil"/>
          <w:bottom w:val="nil"/>
          <w:right w:val="nil"/>
          <w:between w:val="nil"/>
        </w:pBdr>
        <w:ind w:left="567"/>
        <w:jc w:val="both"/>
        <w:rPr>
          <w:color w:val="000000"/>
          <w:sz w:val="22"/>
          <w:szCs w:val="22"/>
          <w:lang w:val="es-PA"/>
        </w:rPr>
      </w:pPr>
      <w:r>
        <w:rPr>
          <w:vertAlign w:val="superscript"/>
        </w:rPr>
        <w:endnoteRef/>
      </w:r>
      <w:r w:rsidRPr="00A63206">
        <w:rPr>
          <w:color w:val="000000"/>
          <w:sz w:val="20"/>
          <w:szCs w:val="20"/>
          <w:lang w:val="es-PA"/>
        </w:rPr>
        <w:t xml:space="preserve"> Consejo de derechos humanos, A/HRC/WGEID/98/2, 14 de febrero de 2013 preámbulo y párr.3, disponible en : </w:t>
      </w:r>
      <w:hyperlink r:id="rId31">
        <w:r w:rsidRPr="00A63206">
          <w:rPr>
            <w:color w:val="1155CC"/>
            <w:sz w:val="20"/>
            <w:szCs w:val="20"/>
            <w:u w:val="single"/>
            <w:lang w:val="es-PA"/>
          </w:rPr>
          <w:t>https://www.ohchr.org/sites/default/files/Documents/Issues/Disappearances/GC/A-HRC-WGEID-98-2_sp.pdf</w:t>
        </w:r>
      </w:hyperlink>
      <w:r w:rsidRPr="00A63206">
        <w:rPr>
          <w:color w:val="000000"/>
          <w:sz w:val="20"/>
          <w:szCs w:val="20"/>
          <w:lang w:val="es-PA"/>
        </w:rPr>
        <w:t xml:space="preserve"> </w:t>
      </w:r>
    </w:p>
  </w:endnote>
  <w:endnote w:id="36">
    <w:p w14:paraId="1CEA58B0" w14:textId="77777777" w:rsidR="00A90270" w:rsidRPr="00A63206" w:rsidRDefault="00A90270" w:rsidP="0055550A">
      <w:pPr>
        <w:pBdr>
          <w:top w:val="nil"/>
          <w:left w:val="nil"/>
          <w:bottom w:val="nil"/>
          <w:right w:val="nil"/>
          <w:between w:val="nil"/>
        </w:pBdr>
        <w:ind w:left="567"/>
        <w:rPr>
          <w:color w:val="000000"/>
          <w:sz w:val="22"/>
          <w:szCs w:val="22"/>
          <w:lang w:val="es-PA"/>
        </w:rPr>
      </w:pPr>
      <w:r>
        <w:rPr>
          <w:vertAlign w:val="superscript"/>
        </w:rPr>
        <w:endnoteRef/>
      </w:r>
      <w:r>
        <w:rPr>
          <w:color w:val="000000"/>
          <w:sz w:val="20"/>
          <w:szCs w:val="20"/>
        </w:rPr>
        <w:t xml:space="preserve">CED/C/HND/OAI/1, párr. </w:t>
      </w:r>
      <w:r w:rsidRPr="00A63206">
        <w:rPr>
          <w:color w:val="000000"/>
          <w:sz w:val="20"/>
          <w:szCs w:val="20"/>
          <w:lang w:val="es-PA"/>
        </w:rPr>
        <w:t xml:space="preserve">59, disponible en : </w:t>
      </w:r>
      <w:hyperlink r:id="rId32">
        <w:r w:rsidRPr="00A63206">
          <w:rPr>
            <w:color w:val="1155CC"/>
            <w:sz w:val="20"/>
            <w:szCs w:val="20"/>
            <w:u w:val="single"/>
            <w:lang w:val="es-PA"/>
          </w:rPr>
          <w:t>https://docstore.ohchr.org/SelfServices/FilesHandler.ashx?enc=EdJUVABCj%2FznJuuUgX4aUg%2BYtn1UEvdm4hTXg%2BxQUAar1zLbnQgq%2FJ0JygeqdTnGnQEMPXopiQuHREDTwAR8Gg%3D%3D</w:t>
        </w:r>
      </w:hyperlink>
      <w:r w:rsidRPr="00A63206">
        <w:rPr>
          <w:color w:val="000000"/>
          <w:sz w:val="20"/>
          <w:szCs w:val="20"/>
          <w:lang w:val="es-PA"/>
        </w:rPr>
        <w:t xml:space="preserve"> ; CED/C/MLI/CO/1, Observaciones finales sobre el informe presentado por Malí</w:t>
      </w:r>
      <w:r w:rsidRPr="00A63206">
        <w:rPr>
          <w:i/>
          <w:color w:val="000000"/>
          <w:sz w:val="20"/>
          <w:szCs w:val="20"/>
          <w:lang w:val="es-PA"/>
        </w:rPr>
        <w:t xml:space="preserve">, Situación de las mujeres miembros de la familia de una persona desaparecida, párrs. 48 y 49, </w:t>
      </w:r>
      <w:r w:rsidRPr="00A63206">
        <w:rPr>
          <w:color w:val="000000"/>
          <w:sz w:val="20"/>
          <w:szCs w:val="20"/>
          <w:lang w:val="es-PA"/>
        </w:rPr>
        <w:t>disponible en</w:t>
      </w:r>
      <w:r w:rsidRPr="00A63206">
        <w:rPr>
          <w:i/>
          <w:color w:val="000000"/>
          <w:sz w:val="20"/>
          <w:szCs w:val="20"/>
          <w:lang w:val="es-PA"/>
        </w:rPr>
        <w:t xml:space="preserve"> </w:t>
      </w:r>
      <w:r w:rsidRPr="00A63206">
        <w:rPr>
          <w:color w:val="000000"/>
          <w:sz w:val="20"/>
          <w:szCs w:val="20"/>
          <w:lang w:val="es-PA"/>
        </w:rPr>
        <w:t xml:space="preserve">: </w:t>
      </w:r>
      <w:hyperlink r:id="rId33">
        <w:r w:rsidRPr="00A63206">
          <w:rPr>
            <w:color w:val="1155CC"/>
            <w:sz w:val="20"/>
            <w:szCs w:val="20"/>
            <w:u w:val="single"/>
            <w:lang w:val="es-PA"/>
          </w:rPr>
          <w:t>https://docstore.ohchr.org/SelfServices/FilesHandler.ashx?enc=vnZ4exQFatXHT3nm%2FHv1g%2Bei6cwci1p3q4iwH%2Fue7wkLEcw%2F5WfKjJxEL4NQ4vQVDJ2SYVzT9KW%2BzAV6pBHE3w%3D%3D</w:t>
        </w:r>
      </w:hyperlink>
      <w:r w:rsidRPr="00A63206">
        <w:rPr>
          <w:color w:val="000000"/>
          <w:sz w:val="20"/>
          <w:szCs w:val="20"/>
          <w:lang w:val="es-PA"/>
        </w:rPr>
        <w:t xml:space="preserve"> </w:t>
      </w:r>
      <w:r w:rsidRPr="00A63206">
        <w:rPr>
          <w:i/>
          <w:color w:val="000000"/>
          <w:sz w:val="20"/>
          <w:szCs w:val="20"/>
          <w:lang w:val="es-PA"/>
        </w:rPr>
        <w:t xml:space="preserve"> </w:t>
      </w:r>
      <w:r w:rsidRPr="00A63206">
        <w:rPr>
          <w:color w:val="000000"/>
          <w:sz w:val="20"/>
          <w:szCs w:val="20"/>
          <w:lang w:val="es-PA"/>
        </w:rPr>
        <w:t>CED/C/NER/CO/1 Observaciones finales sobre el informe presentado por Níger</w:t>
      </w:r>
      <w:r w:rsidRPr="00A63206">
        <w:rPr>
          <w:i/>
          <w:color w:val="000000"/>
          <w:sz w:val="20"/>
          <w:szCs w:val="20"/>
          <w:lang w:val="es-PA"/>
        </w:rPr>
        <w:t xml:space="preserve">, Situación de las mujeres miembros de la familia de una persona desaparecida, párrs. 33 y 34, </w:t>
      </w:r>
      <w:r w:rsidRPr="00A63206">
        <w:rPr>
          <w:color w:val="000000"/>
          <w:sz w:val="20"/>
          <w:szCs w:val="20"/>
          <w:lang w:val="es-PA"/>
        </w:rPr>
        <w:t xml:space="preserve">disponible en : </w:t>
      </w:r>
      <w:hyperlink r:id="rId34">
        <w:r w:rsidRPr="00A63206">
          <w:rPr>
            <w:color w:val="1155CC"/>
            <w:sz w:val="20"/>
            <w:szCs w:val="20"/>
            <w:u w:val="single"/>
            <w:lang w:val="es-PA"/>
          </w:rPr>
          <w:t>https://docstore.ohchr.org/SelfServices/FilesHandler.ashx?enc=u6IYDjQHmuls7Ax5fZryBKSZZpf7fmrfTXsY3%2B5MSgYZ7TnczHtC2Guk0jjARRIzF0S%2BGZa6Ir8pqFsbWjpsKg%3D%3D</w:t>
        </w:r>
      </w:hyperlink>
      <w:r w:rsidRPr="00A63206">
        <w:rPr>
          <w:color w:val="000000"/>
          <w:sz w:val="20"/>
          <w:szCs w:val="20"/>
          <w:lang w:val="es-PA"/>
        </w:rPr>
        <w:t xml:space="preserve"> </w:t>
      </w:r>
      <w:r w:rsidRPr="00A63206">
        <w:rPr>
          <w:i/>
          <w:color w:val="000000"/>
          <w:sz w:val="20"/>
          <w:szCs w:val="20"/>
          <w:lang w:val="es-PA"/>
        </w:rPr>
        <w:t xml:space="preserve">; </w:t>
      </w:r>
      <w:r w:rsidRPr="00A63206">
        <w:rPr>
          <w:color w:val="000000"/>
          <w:sz w:val="20"/>
          <w:szCs w:val="20"/>
          <w:lang w:val="es-PA"/>
        </w:rPr>
        <w:t xml:space="preserve">CED/C/CHL/CO/1 Observaciones finales sobre el informe presentado por Chile, párr. 33, disponible en : </w:t>
      </w:r>
      <w:hyperlink r:id="rId35">
        <w:r w:rsidRPr="00A63206">
          <w:rPr>
            <w:color w:val="1155CC"/>
            <w:sz w:val="20"/>
            <w:szCs w:val="20"/>
            <w:u w:val="single"/>
            <w:lang w:val="es-PA"/>
          </w:rPr>
          <w:t>https://docstore.ohchr.org/SelfServices/FilesHandler.ashx?enc=%2FfruQ5fVTQE0fzgbLWvAgi5oVy36n9sjmXsejc3rWc8M4wvA78%2F2nJH7dKqJqfSpaDOP1b43N8t4QzEIRojb5w%3D%3D</w:t>
        </w:r>
      </w:hyperlink>
      <w:r w:rsidRPr="00A63206">
        <w:rPr>
          <w:color w:val="000000"/>
          <w:sz w:val="20"/>
          <w:szCs w:val="20"/>
          <w:lang w:val="es-PA"/>
        </w:rPr>
        <w:t xml:space="preserve"> </w:t>
      </w:r>
      <w:r w:rsidRPr="00A63206">
        <w:rPr>
          <w:i/>
          <w:color w:val="000000"/>
          <w:sz w:val="20"/>
          <w:szCs w:val="20"/>
          <w:lang w:val="es-PA"/>
        </w:rPr>
        <w:t xml:space="preserve">. </w:t>
      </w:r>
    </w:p>
  </w:endnote>
  <w:endnote w:id="37">
    <w:p w14:paraId="65592B41" w14:textId="77777777" w:rsidR="00A90270" w:rsidRPr="00A63206" w:rsidRDefault="00A90270" w:rsidP="0055550A">
      <w:pPr>
        <w:pBdr>
          <w:top w:val="nil"/>
          <w:left w:val="nil"/>
          <w:bottom w:val="nil"/>
          <w:right w:val="nil"/>
          <w:between w:val="nil"/>
        </w:pBdr>
        <w:ind w:left="567"/>
        <w:rPr>
          <w:color w:val="000000"/>
          <w:sz w:val="22"/>
          <w:szCs w:val="22"/>
          <w:lang w:val="es-PA"/>
        </w:rPr>
      </w:pPr>
      <w:r>
        <w:rPr>
          <w:vertAlign w:val="superscript"/>
        </w:rPr>
        <w:endnoteRef/>
      </w:r>
      <w:r w:rsidRPr="00A63206">
        <w:rPr>
          <w:color w:val="000000"/>
          <w:sz w:val="20"/>
          <w:szCs w:val="20"/>
          <w:lang w:val="es-PA"/>
        </w:rPr>
        <w:t xml:space="preserve"> CED/C/MEX/VR/1 (Conclusiones);): un enfoque diferencial debe prestar especial atención a las necesidades específicas de las mujeres, los niños, las personas mayores y las personas con discapacidad, y debe tener en cuenta todas las características personales de las víctimas que puedan ser relevantes; CED/C/IRQ/VR/1 (Conclusiones)párr.105,112-113, disponible en : </w:t>
      </w:r>
      <w:hyperlink r:id="rId36">
        <w:r w:rsidRPr="00A63206">
          <w:rPr>
            <w:color w:val="1155CC"/>
            <w:sz w:val="20"/>
            <w:szCs w:val="20"/>
            <w:u w:val="single"/>
            <w:lang w:val="es-PA"/>
          </w:rPr>
          <w:t>https://docstore.ohchr.org/SelfServices/FilesHandler.ashx?enc=yya6zU%2B8HA8%2B1K9pE4atxW0BeafOIwEhgB%2F9XrkK17qId3rxRwD81m5HBZyyEVbne9DJCE3tmJs4YONkP5lQ3YdqZMfYIjSkvMeR1Xd9%2FGU%3D</w:t>
        </w:r>
      </w:hyperlink>
      <w:r w:rsidRPr="00A63206">
        <w:rPr>
          <w:color w:val="000000"/>
          <w:sz w:val="20"/>
          <w:szCs w:val="20"/>
          <w:lang w:val="es-PA"/>
        </w:rPr>
        <w:t xml:space="preserve"> </w:t>
      </w:r>
    </w:p>
  </w:endnote>
  <w:endnote w:id="38">
    <w:p w14:paraId="28DD5C38" w14:textId="77777777" w:rsidR="00A90270" w:rsidRPr="00A63206" w:rsidRDefault="00A90270" w:rsidP="0055550A">
      <w:pPr>
        <w:pBdr>
          <w:top w:val="nil"/>
          <w:left w:val="nil"/>
          <w:bottom w:val="nil"/>
          <w:right w:val="nil"/>
          <w:between w:val="nil"/>
        </w:pBdr>
        <w:ind w:left="567"/>
        <w:jc w:val="both"/>
        <w:rPr>
          <w:color w:val="000000"/>
          <w:sz w:val="22"/>
          <w:szCs w:val="22"/>
          <w:lang w:val="es-PA"/>
        </w:rPr>
      </w:pPr>
      <w:r>
        <w:rPr>
          <w:vertAlign w:val="superscript"/>
        </w:rPr>
        <w:endnoteRef/>
      </w:r>
      <w:r w:rsidRPr="00A63206">
        <w:rPr>
          <w:color w:val="000000"/>
          <w:sz w:val="20"/>
          <w:szCs w:val="20"/>
          <w:lang w:val="es-PA"/>
        </w:rPr>
        <w:t xml:space="preserve"> CED/C/10, párr.22; Declaración sobre la eliminación de violencia contra la mujer, art.4 c)., disponbile en : </w:t>
      </w:r>
      <w:hyperlink r:id="rId37">
        <w:r w:rsidRPr="00A63206">
          <w:rPr>
            <w:color w:val="1155CC"/>
            <w:sz w:val="20"/>
            <w:szCs w:val="20"/>
            <w:u w:val="single"/>
            <w:lang w:val="es-PA"/>
          </w:rPr>
          <w:t>https://www.ohchr.org/es/instruments-mechanisms/instruments/declaration-elimination-violence-against-women</w:t>
        </w:r>
      </w:hyperlink>
      <w:r w:rsidRPr="00A63206">
        <w:rPr>
          <w:color w:val="000000"/>
          <w:sz w:val="20"/>
          <w:szCs w:val="20"/>
          <w:lang w:val="es-PA"/>
        </w:rPr>
        <w:t xml:space="preserve"> </w:t>
      </w:r>
    </w:p>
  </w:endnote>
  <w:endnote w:id="39">
    <w:p w14:paraId="4F2790A2" w14:textId="77777777" w:rsidR="00A90270" w:rsidRPr="002960EF" w:rsidRDefault="00A90270" w:rsidP="0055550A">
      <w:pPr>
        <w:pBdr>
          <w:top w:val="nil"/>
          <w:left w:val="nil"/>
          <w:bottom w:val="nil"/>
          <w:right w:val="nil"/>
          <w:between w:val="nil"/>
        </w:pBdr>
        <w:ind w:left="567"/>
        <w:jc w:val="both"/>
        <w:rPr>
          <w:color w:val="000000"/>
          <w:sz w:val="22"/>
          <w:szCs w:val="22"/>
        </w:rPr>
      </w:pPr>
      <w:r>
        <w:rPr>
          <w:vertAlign w:val="superscript"/>
        </w:rPr>
        <w:endnoteRef/>
      </w:r>
      <w:r>
        <w:rPr>
          <w:color w:val="000000"/>
          <w:sz w:val="20"/>
          <w:szCs w:val="20"/>
        </w:rPr>
        <w:t xml:space="preserve"> UNSG, Guidance Note of the Secretary General on Transitional Justice: A Strategic Tool for People, Prevention and Peace (2023). </w:t>
      </w:r>
      <w:r w:rsidRPr="002960EF">
        <w:rPr>
          <w:color w:val="000000"/>
          <w:sz w:val="20"/>
          <w:szCs w:val="20"/>
        </w:rPr>
        <w:t>Disponible en: https://www.ohchr.org/en/documents/tools-and-resources/guidance-note-secretary-general-transitional-justice-strategic-tool</w:t>
      </w:r>
    </w:p>
  </w:endnote>
  <w:endnote w:id="40">
    <w:p w14:paraId="3BE46AD9" w14:textId="77777777" w:rsidR="00A90270" w:rsidRPr="00A63206" w:rsidRDefault="00A90270" w:rsidP="0055550A">
      <w:pPr>
        <w:pBdr>
          <w:top w:val="nil"/>
          <w:left w:val="nil"/>
          <w:bottom w:val="nil"/>
          <w:right w:val="nil"/>
          <w:between w:val="nil"/>
        </w:pBdr>
        <w:ind w:left="567"/>
        <w:rPr>
          <w:color w:val="000000"/>
          <w:sz w:val="22"/>
          <w:szCs w:val="22"/>
          <w:lang w:val="es-PA"/>
        </w:rPr>
      </w:pPr>
      <w:r>
        <w:rPr>
          <w:vertAlign w:val="superscript"/>
        </w:rPr>
        <w:endnoteRef/>
      </w:r>
      <w:r w:rsidRPr="002960EF">
        <w:rPr>
          <w:color w:val="000000"/>
          <w:sz w:val="20"/>
          <w:szCs w:val="20"/>
        </w:rPr>
        <w:t xml:space="preserve"> A/RES/79/1. </w:t>
      </w:r>
      <w:r w:rsidRPr="00A63206">
        <w:rPr>
          <w:color w:val="000000"/>
          <w:sz w:val="20"/>
          <w:szCs w:val="20"/>
          <w:lang w:val="es-PA"/>
        </w:rPr>
        <w:t xml:space="preserve">Pacto por el Futuro, Acción 8,c, disponible en : </w:t>
      </w:r>
      <w:hyperlink r:id="rId38">
        <w:r w:rsidRPr="00A63206">
          <w:rPr>
            <w:color w:val="1155CC"/>
            <w:sz w:val="20"/>
            <w:szCs w:val="20"/>
            <w:u w:val="single"/>
            <w:lang w:val="es-PA"/>
          </w:rPr>
          <w:t>https://docs.un.org/en/A/RES/79/1</w:t>
        </w:r>
      </w:hyperlink>
      <w:r w:rsidRPr="00A63206">
        <w:rPr>
          <w:color w:val="000000"/>
          <w:sz w:val="20"/>
          <w:szCs w:val="20"/>
          <w:lang w:val="es-PA"/>
        </w:rPr>
        <w:t xml:space="preserve"> </w:t>
      </w:r>
    </w:p>
  </w:endnote>
  <w:endnote w:id="41">
    <w:p w14:paraId="44E3D20F" w14:textId="77777777" w:rsidR="00A90270" w:rsidRPr="00A63206" w:rsidRDefault="00A90270" w:rsidP="0055550A">
      <w:pPr>
        <w:pBdr>
          <w:top w:val="nil"/>
          <w:left w:val="nil"/>
          <w:bottom w:val="nil"/>
          <w:right w:val="nil"/>
          <w:between w:val="nil"/>
        </w:pBdr>
        <w:ind w:left="567"/>
        <w:jc w:val="both"/>
        <w:rPr>
          <w:color w:val="000000"/>
          <w:sz w:val="22"/>
          <w:szCs w:val="22"/>
          <w:lang w:val="es-PA"/>
        </w:rPr>
      </w:pPr>
      <w:r>
        <w:rPr>
          <w:vertAlign w:val="superscript"/>
        </w:rPr>
        <w:endnoteRef/>
      </w:r>
      <w:r w:rsidRPr="00A63206">
        <w:rPr>
          <w:color w:val="000000"/>
          <w:sz w:val="20"/>
          <w:szCs w:val="20"/>
          <w:lang w:val="es-PA"/>
        </w:rPr>
        <w:t xml:space="preserve"> ICIP,  Panel sobre el impacto de las desapariciones forzadas en las mujeres, Panel del congreso mundial contra las desapariciones forzdas de enero 2025 </w:t>
      </w:r>
      <w:r w:rsidRPr="00A63206">
        <w:rPr>
          <w:i/>
          <w:color w:val="000000"/>
          <w:sz w:val="20"/>
          <w:szCs w:val="20"/>
          <w:lang w:val="es-PA"/>
        </w:rPr>
        <w:t xml:space="preserve">Por un compromiso global contra las desapariciones forzadas, </w:t>
      </w:r>
      <w:hyperlink r:id="rId39">
        <w:r w:rsidRPr="00A63206">
          <w:rPr>
            <w:color w:val="0000FF"/>
            <w:sz w:val="20"/>
            <w:szCs w:val="20"/>
            <w:u w:val="single"/>
            <w:lang w:val="es-PA"/>
          </w:rPr>
          <w:t>https://www.icip.cat/es/opinion/per-un-compromis-global-contra-les-desaparicions-forcades/</w:t>
        </w:r>
      </w:hyperlink>
    </w:p>
  </w:endnote>
  <w:endnote w:id="42">
    <w:p w14:paraId="72FE715F" w14:textId="77777777" w:rsidR="00A90270" w:rsidRPr="00A63206" w:rsidRDefault="00A90270" w:rsidP="0055550A">
      <w:pPr>
        <w:pBdr>
          <w:top w:val="nil"/>
          <w:left w:val="nil"/>
          <w:bottom w:val="nil"/>
          <w:right w:val="nil"/>
          <w:between w:val="nil"/>
        </w:pBdr>
        <w:ind w:left="567"/>
        <w:jc w:val="both"/>
        <w:rPr>
          <w:color w:val="000000"/>
          <w:sz w:val="22"/>
          <w:szCs w:val="22"/>
          <w:lang w:val="es-PA"/>
        </w:rPr>
      </w:pPr>
      <w:r>
        <w:rPr>
          <w:vertAlign w:val="superscript"/>
        </w:rPr>
        <w:endnoteRef/>
      </w:r>
      <w:r w:rsidRPr="00A63206">
        <w:rPr>
          <w:color w:val="000000"/>
          <w:sz w:val="20"/>
          <w:szCs w:val="20"/>
          <w:lang w:val="es-PA"/>
        </w:rPr>
        <w:t xml:space="preserve"> FIDH - ¿Quién nos busca?, ¿quién nos cuida? Informe sobre la desaparición de mujeres y niñas vinculadas a la Trata de personas, disponible en: </w:t>
      </w:r>
      <w:hyperlink r:id="rId40">
        <w:r w:rsidRPr="00A63206">
          <w:rPr>
            <w:color w:val="1155CC"/>
            <w:sz w:val="20"/>
            <w:szCs w:val="20"/>
            <w:u w:val="single"/>
            <w:lang w:val="es-PA"/>
          </w:rPr>
          <w:t>https://www.fidh.org/IMG/pdf/mexiquefemmes835eweb_1_.pdf</w:t>
        </w:r>
      </w:hyperlink>
      <w:r w:rsidRPr="00A63206">
        <w:rPr>
          <w:color w:val="000000"/>
          <w:sz w:val="20"/>
          <w:szCs w:val="20"/>
          <w:lang w:val="es-PA"/>
        </w:rPr>
        <w:t xml:space="preserve">  ;  UNWomen/ICTJ, </w:t>
      </w:r>
      <w:r w:rsidRPr="00A63206">
        <w:rPr>
          <w:i/>
          <w:color w:val="000000"/>
          <w:sz w:val="20"/>
          <w:szCs w:val="20"/>
          <w:lang w:val="es-PA"/>
        </w:rPr>
        <w:t>Las desaparecidas y las invisibles. Repercusiones de la desaparición forzada en las mujeres</w:t>
      </w:r>
      <w:r w:rsidRPr="00A63206">
        <w:rPr>
          <w:color w:val="000000"/>
          <w:sz w:val="20"/>
          <w:szCs w:val="20"/>
          <w:lang w:val="es-PA"/>
        </w:rPr>
        <w:t xml:space="preserve">. UNWomen/ICTJ pág.5, disponible en : </w:t>
      </w:r>
      <w:hyperlink r:id="rId41">
        <w:r w:rsidRPr="00A63206">
          <w:rPr>
            <w:color w:val="1155CC"/>
            <w:sz w:val="20"/>
            <w:szCs w:val="20"/>
            <w:u w:val="single"/>
            <w:lang w:val="es-PA"/>
          </w:rPr>
          <w:t>https://www.ictj.org/sites/default/files/ICTJ-Global-Desapariciones-Genero-2015-ES.pdf</w:t>
        </w:r>
      </w:hyperlink>
      <w:r w:rsidRPr="00A63206">
        <w:rPr>
          <w:color w:val="000000"/>
          <w:sz w:val="20"/>
          <w:szCs w:val="20"/>
          <w:lang w:val="es-PA"/>
        </w:rPr>
        <w:t xml:space="preserve"> </w:t>
      </w:r>
    </w:p>
  </w:endnote>
  <w:endnote w:id="43">
    <w:p w14:paraId="2650473E" w14:textId="77777777" w:rsidR="00A90270" w:rsidRPr="00A63206" w:rsidRDefault="00A90270" w:rsidP="0055550A">
      <w:pPr>
        <w:pBdr>
          <w:top w:val="nil"/>
          <w:left w:val="nil"/>
          <w:bottom w:val="nil"/>
          <w:right w:val="nil"/>
          <w:between w:val="nil"/>
        </w:pBdr>
        <w:ind w:left="567"/>
        <w:jc w:val="both"/>
        <w:rPr>
          <w:color w:val="000000"/>
          <w:sz w:val="22"/>
          <w:szCs w:val="22"/>
          <w:lang w:val="es-PA"/>
        </w:rPr>
      </w:pPr>
      <w:r>
        <w:rPr>
          <w:vertAlign w:val="superscript"/>
        </w:rPr>
        <w:endnoteRef/>
      </w:r>
      <w:r w:rsidRPr="00A63206">
        <w:rPr>
          <w:color w:val="000000"/>
          <w:sz w:val="20"/>
          <w:szCs w:val="20"/>
          <w:lang w:val="es-PA"/>
        </w:rPr>
        <w:t xml:space="preserve"> Mecanismo de seguimiento OEA/Ser.L/II.7.10 Convención Belém Do Pará, (MESECVI) </w:t>
      </w:r>
      <w:r w:rsidRPr="00A63206">
        <w:rPr>
          <w:i/>
          <w:color w:val="000000"/>
          <w:sz w:val="20"/>
          <w:szCs w:val="20"/>
          <w:lang w:val="es-PA"/>
        </w:rPr>
        <w:t>Recomendación General No.2 del Comité de Expertas del MESECVI sobre mujeres y niñas desaparecidas en el hemisferio de acuerdo a los Arts. 7b y 8 de la Convención de Belém do Pará</w:t>
      </w:r>
      <w:r w:rsidRPr="00A63206">
        <w:rPr>
          <w:color w:val="000000"/>
          <w:sz w:val="20"/>
          <w:szCs w:val="20"/>
          <w:lang w:val="es-PA"/>
        </w:rPr>
        <w:t>, disponible en :</w:t>
      </w:r>
      <w:r w:rsidRPr="00A63206">
        <w:rPr>
          <w:i/>
          <w:color w:val="000000"/>
          <w:sz w:val="20"/>
          <w:szCs w:val="20"/>
          <w:lang w:val="es-PA"/>
        </w:rPr>
        <w:t xml:space="preserve"> </w:t>
      </w:r>
      <w:hyperlink r:id="rId42">
        <w:r w:rsidRPr="00A63206">
          <w:rPr>
            <w:color w:val="1155CC"/>
            <w:sz w:val="20"/>
            <w:szCs w:val="20"/>
            <w:u w:val="single"/>
            <w:lang w:val="es-PA"/>
          </w:rPr>
          <w:t>https://www.oas.org/es/mesecvi/docs/MESECVI-CEVI-XV-doc.250-ES.pdf</w:t>
        </w:r>
      </w:hyperlink>
      <w:r w:rsidRPr="00A63206">
        <w:rPr>
          <w:color w:val="000000"/>
          <w:sz w:val="20"/>
          <w:szCs w:val="20"/>
          <w:lang w:val="es-PA"/>
        </w:rPr>
        <w:t xml:space="preserve"> </w:t>
      </w:r>
    </w:p>
  </w:endnote>
  <w:endnote w:id="44">
    <w:p w14:paraId="70C9E791" w14:textId="77777777" w:rsidR="00A90270" w:rsidRPr="00A63206" w:rsidRDefault="00A90270" w:rsidP="0055550A">
      <w:pPr>
        <w:pBdr>
          <w:top w:val="nil"/>
          <w:left w:val="nil"/>
          <w:bottom w:val="nil"/>
          <w:right w:val="nil"/>
          <w:between w:val="nil"/>
        </w:pBdr>
        <w:ind w:left="567"/>
        <w:jc w:val="both"/>
        <w:rPr>
          <w:color w:val="000000"/>
          <w:sz w:val="22"/>
          <w:szCs w:val="22"/>
          <w:lang w:val="es-PA"/>
        </w:rPr>
      </w:pPr>
      <w:r>
        <w:rPr>
          <w:vertAlign w:val="superscript"/>
        </w:rPr>
        <w:endnoteRef/>
      </w:r>
      <w:r w:rsidRPr="00A63206">
        <w:rPr>
          <w:color w:val="000000"/>
          <w:sz w:val="20"/>
          <w:szCs w:val="20"/>
          <w:lang w:val="es-PA"/>
        </w:rPr>
        <w:t xml:space="preserve"> Convención Internacional para la protección de todas las personas contra las desapariciones forzadas, arts. 3, 7, 9 y 11. Véase también el Estatuto de Roma de la Corte Penal Internacional.</w:t>
      </w:r>
    </w:p>
  </w:endnote>
  <w:endnote w:id="45">
    <w:p w14:paraId="0CC5A1E9" w14:textId="77777777" w:rsidR="00A90270" w:rsidRPr="002960EF" w:rsidRDefault="00A90270" w:rsidP="0055550A">
      <w:pPr>
        <w:pBdr>
          <w:top w:val="nil"/>
          <w:left w:val="nil"/>
          <w:bottom w:val="nil"/>
          <w:right w:val="nil"/>
          <w:between w:val="nil"/>
        </w:pBdr>
        <w:ind w:left="567"/>
        <w:jc w:val="both"/>
        <w:rPr>
          <w:color w:val="000000"/>
          <w:sz w:val="22"/>
          <w:szCs w:val="22"/>
          <w:lang w:val="en-GB"/>
        </w:rPr>
      </w:pPr>
      <w:r>
        <w:rPr>
          <w:vertAlign w:val="superscript"/>
        </w:rPr>
        <w:endnoteRef/>
      </w:r>
      <w:r>
        <w:rPr>
          <w:color w:val="000000"/>
          <w:sz w:val="20"/>
          <w:szCs w:val="20"/>
        </w:rPr>
        <w:t xml:space="preserve"> UNSG, Guidance Note of the Secretary General on Transitional Justice: A Strategic Tool for People, Prevention and Peace (2023). </w:t>
      </w:r>
      <w:r w:rsidRPr="002960EF">
        <w:rPr>
          <w:color w:val="000000"/>
          <w:sz w:val="20"/>
          <w:szCs w:val="20"/>
          <w:lang w:val="en-GB"/>
        </w:rPr>
        <w:t>Disponible en: https://www.ohchr.org/en/documents/tools-and-resources/guidance-note-secretary-general-transitional-justice-strategic-tool</w:t>
      </w:r>
    </w:p>
  </w:endnote>
  <w:endnote w:id="46">
    <w:p w14:paraId="14E1216B" w14:textId="77777777" w:rsidR="00A90270" w:rsidRPr="00A63206" w:rsidRDefault="00A90270" w:rsidP="0055550A">
      <w:pPr>
        <w:pBdr>
          <w:top w:val="nil"/>
          <w:left w:val="nil"/>
          <w:bottom w:val="nil"/>
          <w:right w:val="nil"/>
          <w:between w:val="nil"/>
        </w:pBdr>
        <w:ind w:left="567"/>
        <w:jc w:val="both"/>
        <w:rPr>
          <w:color w:val="000000"/>
          <w:sz w:val="22"/>
          <w:szCs w:val="22"/>
          <w:lang w:val="es-PA"/>
        </w:rPr>
      </w:pPr>
      <w:r>
        <w:rPr>
          <w:vertAlign w:val="superscript"/>
        </w:rPr>
        <w:endnoteRef/>
      </w:r>
      <w:r>
        <w:rPr>
          <w:color w:val="000000"/>
          <w:sz w:val="20"/>
          <w:szCs w:val="20"/>
        </w:rPr>
        <w:t xml:space="preserve">OHCHR, Eliminating judicial stereotyping Equal access to justice for women in gender-based violence cases. </w:t>
      </w:r>
      <w:r w:rsidRPr="00A63206">
        <w:rPr>
          <w:color w:val="000000"/>
          <w:sz w:val="20"/>
          <w:szCs w:val="20"/>
          <w:lang w:val="es-PA"/>
        </w:rPr>
        <w:t xml:space="preserve">OHCHR. Simone Cusack, 2014, disponible en : </w:t>
      </w:r>
      <w:hyperlink r:id="rId43">
        <w:r w:rsidRPr="00A63206">
          <w:rPr>
            <w:color w:val="1155CC"/>
            <w:sz w:val="20"/>
            <w:szCs w:val="20"/>
            <w:u w:val="single"/>
            <w:lang w:val="es-PA"/>
          </w:rPr>
          <w:t>https://rm.coe.int/1680597b20</w:t>
        </w:r>
      </w:hyperlink>
      <w:r w:rsidRPr="00A63206">
        <w:rPr>
          <w:color w:val="000000"/>
          <w:sz w:val="20"/>
          <w:szCs w:val="20"/>
          <w:lang w:val="es-PA"/>
        </w:rPr>
        <w:t xml:space="preserve"> </w:t>
      </w:r>
    </w:p>
  </w:endnote>
  <w:endnote w:id="47">
    <w:p w14:paraId="1BCBBB13" w14:textId="77777777" w:rsidR="00A90270" w:rsidRPr="00A63206" w:rsidRDefault="00A90270" w:rsidP="0055550A">
      <w:pPr>
        <w:ind w:left="567"/>
        <w:rPr>
          <w:sz w:val="22"/>
          <w:szCs w:val="22"/>
          <w:lang w:val="es-PA"/>
        </w:rPr>
      </w:pPr>
      <w:r>
        <w:rPr>
          <w:vertAlign w:val="superscript"/>
        </w:rPr>
        <w:endnoteRef/>
      </w:r>
      <w:r w:rsidRPr="00A63206">
        <w:rPr>
          <w:sz w:val="20"/>
          <w:szCs w:val="20"/>
          <w:lang w:val="es-PA"/>
        </w:rPr>
        <w:t xml:space="preserve"> CEDAW/C/GC/33, </w:t>
      </w:r>
      <w:r w:rsidRPr="00A63206">
        <w:rPr>
          <w:i/>
          <w:sz w:val="20"/>
          <w:szCs w:val="20"/>
          <w:lang w:val="es-PA"/>
        </w:rPr>
        <w:t>RecomendacióRecomendaciónn general núm. 33 sobre el acceso de las mujeres a la justicia,</w:t>
      </w:r>
      <w:r w:rsidRPr="00A63206">
        <w:rPr>
          <w:sz w:val="20"/>
          <w:szCs w:val="20"/>
          <w:lang w:val="es-PA"/>
        </w:rPr>
        <w:t xml:space="preserve"> párr.26- 28, disponible e en : </w:t>
      </w:r>
      <w:hyperlink r:id="rId44">
        <w:r w:rsidRPr="00A63206">
          <w:rPr>
            <w:color w:val="1155CC"/>
            <w:sz w:val="20"/>
            <w:szCs w:val="20"/>
            <w:u w:val="single"/>
            <w:lang w:val="es-PA"/>
          </w:rPr>
          <w:t>https://docstore.ohchr.org/SelfServices/FilesHandler.ashx?enc=c62mN9wd8hzagNLNDNDeMpwFNpMvUNfgK5NBIVvVnPh%2By3l4GnqlcQGt53RjB%2B2dDT%2FbNl7CZqaQmkjeq51Hng%3D%3D</w:t>
        </w:r>
      </w:hyperlink>
      <w:r w:rsidRPr="00A63206">
        <w:rPr>
          <w:sz w:val="20"/>
          <w:szCs w:val="20"/>
          <w:lang w:val="es-PA"/>
        </w:rPr>
        <w:t xml:space="preserve"> ; ver también Corte IDH. </w:t>
      </w:r>
      <w:r w:rsidRPr="00A63206">
        <w:rPr>
          <w:i/>
          <w:sz w:val="20"/>
          <w:szCs w:val="20"/>
          <w:lang w:val="es-PA"/>
        </w:rPr>
        <w:t>Caso Gutiérrez Hernández y otros vs. Guatemala.</w:t>
      </w:r>
      <w:r w:rsidRPr="00A63206">
        <w:rPr>
          <w:sz w:val="20"/>
          <w:szCs w:val="20"/>
          <w:lang w:val="es-PA"/>
        </w:rPr>
        <w:t xml:space="preserve"> Excepciones Preliminares, Fondo, Reparaciones y Costas. Sentencia de 24 de agosto de 2017. Serie C No. 339, párr.175, disponible en : </w:t>
      </w:r>
      <w:hyperlink r:id="rId45">
        <w:r w:rsidRPr="00A63206">
          <w:rPr>
            <w:color w:val="1155CC"/>
            <w:sz w:val="20"/>
            <w:szCs w:val="20"/>
            <w:u w:val="single"/>
            <w:lang w:val="es-PA"/>
          </w:rPr>
          <w:t>https://www.corteidh.or.cr/docs/casos/articulos/seriec_339_esp.pdf</w:t>
        </w:r>
      </w:hyperlink>
      <w:r w:rsidRPr="00A63206">
        <w:rPr>
          <w:sz w:val="20"/>
          <w:szCs w:val="20"/>
          <w:lang w:val="es-PA"/>
        </w:rPr>
        <w:t xml:space="preserve"> </w:t>
      </w:r>
    </w:p>
  </w:endnote>
  <w:endnote w:id="48">
    <w:p w14:paraId="71D47A07" w14:textId="77777777" w:rsidR="00A90270" w:rsidRPr="00A63206" w:rsidRDefault="00A90270" w:rsidP="0055550A">
      <w:pPr>
        <w:pBdr>
          <w:top w:val="nil"/>
          <w:left w:val="nil"/>
          <w:bottom w:val="nil"/>
          <w:right w:val="nil"/>
          <w:between w:val="nil"/>
        </w:pBdr>
        <w:ind w:left="567"/>
        <w:rPr>
          <w:color w:val="000000"/>
          <w:sz w:val="22"/>
          <w:szCs w:val="22"/>
          <w:lang w:val="es-PA"/>
        </w:rPr>
      </w:pPr>
      <w:r>
        <w:rPr>
          <w:vertAlign w:val="superscript"/>
        </w:rPr>
        <w:endnoteRef/>
      </w:r>
      <w:r w:rsidRPr="00A63206">
        <w:rPr>
          <w:color w:val="000000"/>
          <w:sz w:val="20"/>
          <w:szCs w:val="20"/>
          <w:lang w:val="es-PA"/>
        </w:rPr>
        <w:t xml:space="preserve">Corte Interamericana de los Derechos Humanos (CorteIDH), IDH  </w:t>
      </w:r>
      <w:r w:rsidRPr="00A63206">
        <w:rPr>
          <w:i/>
          <w:color w:val="000000"/>
          <w:sz w:val="20"/>
          <w:szCs w:val="20"/>
          <w:lang w:val="es-PA"/>
        </w:rPr>
        <w:t>Caso Comunidad Santa Bárbara vs.Perú, Sentencia de 1 de septiembre de 2015 (Excepciones Preliminares, Fondo, Reparaciones y Costas)</w:t>
      </w:r>
      <w:r w:rsidRPr="00A63206">
        <w:rPr>
          <w:color w:val="000000"/>
          <w:sz w:val="20"/>
          <w:szCs w:val="20"/>
          <w:lang w:val="es-PA"/>
        </w:rPr>
        <w:t xml:space="preserve">, párrafo 227, disponible en : </w:t>
      </w:r>
      <w:hyperlink r:id="rId46">
        <w:r w:rsidRPr="00A63206">
          <w:rPr>
            <w:color w:val="1155CC"/>
            <w:sz w:val="20"/>
            <w:szCs w:val="20"/>
            <w:u w:val="single"/>
            <w:lang w:val="es-PA"/>
          </w:rPr>
          <w:t>https://www.corteidh.or.cr/docs/casos/articulos/seriec_299_esp.pdf</w:t>
        </w:r>
      </w:hyperlink>
      <w:r w:rsidRPr="00A63206">
        <w:rPr>
          <w:color w:val="000000"/>
          <w:sz w:val="20"/>
          <w:szCs w:val="20"/>
          <w:lang w:val="es-PA"/>
        </w:rPr>
        <w:t xml:space="preserve"> </w:t>
      </w:r>
    </w:p>
  </w:endnote>
  <w:endnote w:id="49">
    <w:p w14:paraId="7F5A4C3C" w14:textId="77777777" w:rsidR="00A90270" w:rsidRPr="00A63206" w:rsidRDefault="00A90270" w:rsidP="0055550A">
      <w:pPr>
        <w:pBdr>
          <w:top w:val="nil"/>
          <w:left w:val="nil"/>
          <w:bottom w:val="nil"/>
          <w:right w:val="nil"/>
          <w:between w:val="nil"/>
        </w:pBdr>
        <w:ind w:left="567"/>
        <w:jc w:val="both"/>
        <w:rPr>
          <w:color w:val="000000"/>
          <w:sz w:val="22"/>
          <w:szCs w:val="22"/>
          <w:lang w:val="es-PA"/>
        </w:rPr>
      </w:pPr>
      <w:r>
        <w:rPr>
          <w:vertAlign w:val="superscript"/>
        </w:rPr>
        <w:endnoteRef/>
      </w:r>
      <w:r w:rsidRPr="00A63206">
        <w:rPr>
          <w:color w:val="000000"/>
          <w:sz w:val="20"/>
          <w:szCs w:val="20"/>
          <w:highlight w:val="white"/>
          <w:lang w:val="es-PA"/>
        </w:rPr>
        <w:t xml:space="preserve">Suprema Corte de Justicia de la Nación de México y Unidad General de Conocimiento Científico y Derechos Humanos (2024). </w:t>
      </w:r>
      <w:hyperlink r:id="rId47">
        <w:r w:rsidRPr="00A63206">
          <w:rPr>
            <w:i/>
            <w:color w:val="1155CC"/>
            <w:sz w:val="20"/>
            <w:szCs w:val="20"/>
            <w:highlight w:val="white"/>
            <w:u w:val="single"/>
            <w:lang w:val="es-PA"/>
          </w:rPr>
          <w:t>Documento de trabajo: La necesidad de analizar la desaparición de personas desde un enfoque de género: el impacto diferenciado de este fenómeno en mujeres.</w:t>
        </w:r>
      </w:hyperlink>
      <w:r w:rsidRPr="00A63206">
        <w:rPr>
          <w:i/>
          <w:color w:val="000000"/>
          <w:sz w:val="20"/>
          <w:szCs w:val="20"/>
          <w:highlight w:val="white"/>
          <w:lang w:val="es-PA"/>
        </w:rPr>
        <w:t xml:space="preserve"> </w:t>
      </w:r>
      <w:r w:rsidRPr="00A63206">
        <w:rPr>
          <w:color w:val="000000"/>
          <w:sz w:val="20"/>
          <w:szCs w:val="20"/>
          <w:highlight w:val="white"/>
          <w:lang w:val="es-PA"/>
        </w:rPr>
        <w:t>Párr. 16.</w:t>
      </w:r>
    </w:p>
  </w:endnote>
  <w:endnote w:id="50">
    <w:p w14:paraId="462B9701" w14:textId="77777777" w:rsidR="00A90270" w:rsidRPr="00A63206" w:rsidRDefault="00A90270" w:rsidP="0055550A">
      <w:pPr>
        <w:pBdr>
          <w:top w:val="nil"/>
          <w:left w:val="nil"/>
          <w:bottom w:val="nil"/>
          <w:right w:val="nil"/>
          <w:between w:val="nil"/>
        </w:pBdr>
        <w:ind w:left="567"/>
        <w:jc w:val="both"/>
        <w:rPr>
          <w:color w:val="000000"/>
          <w:sz w:val="22"/>
          <w:szCs w:val="22"/>
          <w:lang w:val="es-PA"/>
        </w:rPr>
      </w:pPr>
      <w:r>
        <w:rPr>
          <w:vertAlign w:val="superscript"/>
        </w:rPr>
        <w:endnoteRef/>
      </w:r>
      <w:r w:rsidRPr="00A63206">
        <w:rPr>
          <w:color w:val="000000"/>
          <w:sz w:val="20"/>
          <w:szCs w:val="20"/>
          <w:lang w:val="es-PA"/>
        </w:rPr>
        <w:t xml:space="preserve"> Comisión Nacional de Búsqueda (CNB), , Protocolo Homologado para la Búsqueda de Personas Desaparecidas y No Localizadas, 2020, párr. 258 disponible en : </w:t>
      </w:r>
      <w:r>
        <w:fldChar w:fldCharType="begin"/>
      </w:r>
      <w:r w:rsidRPr="005D702F">
        <w:rPr>
          <w:lang w:val="es-419"/>
        </w:rPr>
        <w:instrText>HYPERLINK "https://comisionacionaldebusqueda.gob.mx/protocolo-homologado-de-busqueda/" \h</w:instrText>
      </w:r>
      <w:r>
        <w:fldChar w:fldCharType="separate"/>
      </w:r>
      <w:r w:rsidRPr="00A63206">
        <w:rPr>
          <w:color w:val="1155CC"/>
          <w:sz w:val="20"/>
          <w:szCs w:val="20"/>
          <w:u w:val="single"/>
          <w:lang w:val="es-PA"/>
        </w:rPr>
        <w:t>https://comisionacionaldebusqueda.gob.mx/protocolo-homologado-de-busqueda</w:t>
      </w:r>
      <w:r>
        <w:fldChar w:fldCharType="end"/>
      </w:r>
      <w:r w:rsidRPr="00A63206">
        <w:rPr>
          <w:color w:val="000000"/>
          <w:sz w:val="20"/>
          <w:szCs w:val="20"/>
          <w:lang w:val="es-PA"/>
        </w:rPr>
        <w:t xml:space="preserve"> ; Suprema Corte Judicial de la Nación (SCJN), De Pina, Volga, </w:t>
      </w:r>
      <w:r w:rsidRPr="00A63206">
        <w:rPr>
          <w:rFonts w:ascii="Arimo" w:eastAsia="Arimo" w:hAnsi="Arimo" w:cs="Arimo"/>
          <w:color w:val="000000"/>
          <w:sz w:val="20"/>
          <w:szCs w:val="20"/>
          <w:lang w:val="es-PA"/>
        </w:rPr>
        <w:t>“</w:t>
      </w:r>
      <w:r w:rsidRPr="00A63206">
        <w:rPr>
          <w:i/>
          <w:color w:val="000000"/>
          <w:sz w:val="20"/>
          <w:szCs w:val="20"/>
          <w:lang w:val="es-PA"/>
        </w:rPr>
        <w:t>La búsqueda de personas desaparecidas”</w:t>
      </w:r>
      <w:r w:rsidRPr="00A63206">
        <w:rPr>
          <w:color w:val="000000"/>
          <w:sz w:val="20"/>
          <w:szCs w:val="20"/>
          <w:lang w:val="es-PA"/>
        </w:rPr>
        <w:t xml:space="preserve">, en Tapia Olivares, Luis Eliud (coord.), </w:t>
      </w:r>
      <w:r w:rsidRPr="00A63206">
        <w:rPr>
          <w:i/>
          <w:color w:val="000000"/>
          <w:sz w:val="20"/>
          <w:szCs w:val="20"/>
          <w:lang w:val="es-PA"/>
        </w:rPr>
        <w:t>Manual sobre desaparición de personas</w:t>
      </w:r>
      <w:r w:rsidRPr="00A63206">
        <w:rPr>
          <w:color w:val="000000"/>
          <w:sz w:val="20"/>
          <w:szCs w:val="20"/>
          <w:lang w:val="es-PA"/>
        </w:rPr>
        <w:t xml:space="preserve">,, 2022, pp. 274-275 diponible en : </w:t>
      </w:r>
      <w:hyperlink r:id="rId48">
        <w:r w:rsidRPr="00A63206">
          <w:rPr>
            <w:color w:val="1155CC"/>
            <w:sz w:val="20"/>
            <w:szCs w:val="20"/>
            <w:u w:val="single"/>
            <w:lang w:val="es-PA"/>
          </w:rPr>
          <w:t>https://www.scjn.gob.mx/sites/default/files/publicaciones_scjn/publicacion/2024-04/Manual%20sobre%20desaparicio%CC%81n%20de%20personas.pdf</w:t>
        </w:r>
      </w:hyperlink>
      <w:r w:rsidRPr="00A63206">
        <w:rPr>
          <w:color w:val="000000"/>
          <w:sz w:val="20"/>
          <w:szCs w:val="20"/>
          <w:lang w:val="es-PA"/>
        </w:rPr>
        <w:t xml:space="preserve"> ; Procuración General de la Nación, , Protocolo Homologado de Investigación para los Delitos de Desaparición Forzada y Desaparición Cometida por Particulares, 2018, pp. 94-95, disponible en : </w:t>
      </w:r>
      <w:hyperlink r:id="rId49">
        <w:r w:rsidRPr="00A63206">
          <w:rPr>
            <w:color w:val="1155CC"/>
            <w:sz w:val="20"/>
            <w:szCs w:val="20"/>
            <w:u w:val="single"/>
            <w:lang w:val="es-PA"/>
          </w:rPr>
          <w:t>https://repositorio.colmex.mx/concern/books/zg64tm87t?locale=es</w:t>
        </w:r>
      </w:hyperlink>
      <w:r w:rsidRPr="00A63206">
        <w:rPr>
          <w:color w:val="000000"/>
          <w:sz w:val="20"/>
          <w:szCs w:val="20"/>
          <w:lang w:val="es-PA"/>
        </w:rPr>
        <w:t xml:space="preserve"> </w:t>
      </w:r>
    </w:p>
  </w:endnote>
  <w:endnote w:id="51">
    <w:p w14:paraId="114CC8EC" w14:textId="77777777" w:rsidR="00A90270" w:rsidRPr="002960EF" w:rsidRDefault="00A90270" w:rsidP="0055550A">
      <w:pPr>
        <w:pBdr>
          <w:top w:val="nil"/>
          <w:left w:val="nil"/>
          <w:bottom w:val="nil"/>
          <w:right w:val="nil"/>
          <w:between w:val="nil"/>
        </w:pBdr>
        <w:ind w:left="567"/>
        <w:jc w:val="both"/>
        <w:rPr>
          <w:color w:val="000000"/>
          <w:sz w:val="22"/>
          <w:szCs w:val="22"/>
          <w:lang w:val="en-GB"/>
        </w:rPr>
      </w:pPr>
      <w:r>
        <w:rPr>
          <w:vertAlign w:val="superscript"/>
        </w:rPr>
        <w:endnoteRef/>
      </w:r>
      <w:r>
        <w:rPr>
          <w:color w:val="000000"/>
          <w:sz w:val="20"/>
          <w:szCs w:val="20"/>
        </w:rPr>
        <w:t xml:space="preserve"> UNSG, Guidance Note of the Secretary General on Transitional Justice: A Strategic Tool for People, Prevention and Peace (2023). </w:t>
      </w:r>
      <w:r w:rsidRPr="002960EF">
        <w:rPr>
          <w:color w:val="000000"/>
          <w:sz w:val="20"/>
          <w:szCs w:val="20"/>
          <w:lang w:val="en-GB"/>
        </w:rPr>
        <w:t>Disponible en: https://www.ohchr.org/en/documents/tools-and-resources/guidance-note-secretary-general-transitional-justice-strategic-tool</w:t>
      </w:r>
    </w:p>
  </w:endnote>
  <w:endnote w:id="52">
    <w:p w14:paraId="49C4CB1E" w14:textId="77777777" w:rsidR="00A90270" w:rsidRPr="00A63206" w:rsidRDefault="00A90270" w:rsidP="0055550A">
      <w:pPr>
        <w:pBdr>
          <w:top w:val="nil"/>
          <w:left w:val="nil"/>
          <w:bottom w:val="nil"/>
          <w:right w:val="nil"/>
          <w:between w:val="nil"/>
        </w:pBdr>
        <w:ind w:left="567"/>
        <w:jc w:val="both"/>
        <w:rPr>
          <w:color w:val="000000"/>
          <w:sz w:val="22"/>
          <w:szCs w:val="22"/>
          <w:lang w:val="es-PA"/>
        </w:rPr>
      </w:pPr>
      <w:r>
        <w:rPr>
          <w:vertAlign w:val="superscript"/>
        </w:rPr>
        <w:endnoteRef/>
      </w:r>
      <w:r>
        <w:rPr>
          <w:color w:val="000000"/>
          <w:sz w:val="20"/>
          <w:szCs w:val="20"/>
        </w:rPr>
        <w:t xml:space="preserve"> UNSG, Guidance Note of the Secretary General on Transitional Justice: A Strategic Tool for People, Prevention and Peace (2023). </w:t>
      </w:r>
      <w:r w:rsidRPr="00A63206">
        <w:rPr>
          <w:color w:val="000000"/>
          <w:sz w:val="20"/>
          <w:szCs w:val="20"/>
          <w:lang w:val="es-PA"/>
        </w:rPr>
        <w:t>Disponible en: https://www.ohchr.org/en/documents/tools-and-resources/guidance-note-secretary-general-transitional-justice-strategic-tool</w:t>
      </w:r>
    </w:p>
  </w:endnote>
  <w:endnote w:id="53">
    <w:p w14:paraId="1DB11F62" w14:textId="77777777" w:rsidR="00A90270" w:rsidRPr="00A63206" w:rsidRDefault="00A90270" w:rsidP="0055550A">
      <w:pPr>
        <w:pBdr>
          <w:top w:val="nil"/>
          <w:left w:val="nil"/>
          <w:bottom w:val="nil"/>
          <w:right w:val="nil"/>
          <w:between w:val="nil"/>
        </w:pBdr>
        <w:ind w:left="567"/>
        <w:jc w:val="both"/>
        <w:rPr>
          <w:color w:val="000000"/>
          <w:sz w:val="22"/>
          <w:szCs w:val="22"/>
          <w:lang w:val="es-PA"/>
        </w:rPr>
      </w:pPr>
      <w:r>
        <w:rPr>
          <w:vertAlign w:val="superscript"/>
        </w:rPr>
        <w:endnoteRef/>
      </w:r>
      <w:r w:rsidRPr="00A63206">
        <w:rPr>
          <w:color w:val="000000"/>
          <w:sz w:val="20"/>
          <w:szCs w:val="20"/>
          <w:lang w:val="es-PA"/>
        </w:rPr>
        <w:t xml:space="preserve">CED/C/MEX/VR/1 (Conclusiones), Principios Rectores para la búsqueda de personas desaparecidas, principio 1, disponible en : https://hchr.org.mx/camp/principios-rectores-para-la-busqueda-de-personas-desaparecidas-comite-contra-la-desaparicion-forzada/ </w:t>
      </w:r>
    </w:p>
  </w:endnote>
  <w:endnote w:id="54">
    <w:p w14:paraId="2F0DB224" w14:textId="77777777" w:rsidR="00A90270" w:rsidRPr="00A63206" w:rsidRDefault="00A90270" w:rsidP="0055550A">
      <w:pPr>
        <w:pBdr>
          <w:top w:val="nil"/>
          <w:left w:val="nil"/>
          <w:bottom w:val="nil"/>
          <w:right w:val="nil"/>
          <w:between w:val="nil"/>
        </w:pBdr>
        <w:ind w:left="567"/>
        <w:jc w:val="both"/>
        <w:rPr>
          <w:color w:val="000000"/>
          <w:sz w:val="22"/>
          <w:szCs w:val="22"/>
          <w:lang w:val="es-PA"/>
        </w:rPr>
      </w:pPr>
      <w:r>
        <w:rPr>
          <w:vertAlign w:val="superscript"/>
        </w:rPr>
        <w:endnoteRef/>
      </w:r>
      <w:r w:rsidRPr="00A63206">
        <w:rPr>
          <w:color w:val="000000"/>
          <w:sz w:val="20"/>
          <w:szCs w:val="20"/>
          <w:lang w:val="es-PA"/>
        </w:rPr>
        <w:t xml:space="preserve"> Amnistía Internacional. Buscar sin miedo: Estándares Internacionales aplicables a la protección de mujeres buscadoras en las américa. Edición 2024.</w:t>
      </w:r>
    </w:p>
  </w:endnote>
  <w:endnote w:id="55">
    <w:p w14:paraId="3B77EA1E" w14:textId="77777777" w:rsidR="00A90270" w:rsidRPr="00A63206" w:rsidRDefault="00A90270" w:rsidP="0055550A">
      <w:pPr>
        <w:pBdr>
          <w:top w:val="nil"/>
          <w:left w:val="nil"/>
          <w:bottom w:val="nil"/>
          <w:right w:val="nil"/>
          <w:between w:val="nil"/>
        </w:pBdr>
        <w:ind w:left="567"/>
        <w:jc w:val="both"/>
        <w:rPr>
          <w:color w:val="000000"/>
          <w:sz w:val="22"/>
          <w:szCs w:val="22"/>
          <w:lang w:val="es-PA"/>
        </w:rPr>
      </w:pPr>
      <w:r>
        <w:rPr>
          <w:vertAlign w:val="superscript"/>
        </w:rPr>
        <w:endnoteRef/>
      </w:r>
      <w:r w:rsidRPr="00A63206">
        <w:rPr>
          <w:color w:val="000000"/>
          <w:sz w:val="20"/>
          <w:szCs w:val="20"/>
          <w:lang w:val="es-PA"/>
        </w:rPr>
        <w:t>CED/C/MEX/VR/1 (Conclusiones), Principios Rectores para la búsqueda de personas desaparecidas, principio 7, disponible en : https://hchr.org.mx/camp/principios-rectores-para-la-busqueda-de-personas-desaparecidas-comite-contra-la-desaparicion-forzada/ .</w:t>
      </w:r>
    </w:p>
  </w:endnote>
  <w:endnote w:id="56">
    <w:p w14:paraId="025D4EFA" w14:textId="77777777" w:rsidR="00A90270" w:rsidRPr="00A63206" w:rsidRDefault="00A90270" w:rsidP="0055550A">
      <w:pPr>
        <w:pBdr>
          <w:top w:val="nil"/>
          <w:left w:val="nil"/>
          <w:bottom w:val="nil"/>
          <w:right w:val="nil"/>
          <w:between w:val="nil"/>
        </w:pBdr>
        <w:ind w:left="567"/>
        <w:rPr>
          <w:color w:val="000000"/>
          <w:sz w:val="22"/>
          <w:szCs w:val="22"/>
          <w:lang w:val="es-PA"/>
        </w:rPr>
      </w:pPr>
      <w:r>
        <w:rPr>
          <w:vertAlign w:val="superscript"/>
        </w:rPr>
        <w:endnoteRef/>
      </w:r>
      <w:r w:rsidRPr="00A63206">
        <w:rPr>
          <w:color w:val="000000"/>
          <w:sz w:val="20"/>
          <w:szCs w:val="20"/>
          <w:lang w:val="es-PA"/>
        </w:rPr>
        <w:t>CED/C/MEX/VR/1 (Conclusiones), Principios Rectores para la búsqueda de personas desaparecidas, principio 1.4, disponible en : https://hchr.org.mx/camp/principios-rectores-para-la-busqueda-de-personas-desaparecidas-comite-contra-la-desaparicion-forzada/ .</w:t>
      </w:r>
    </w:p>
  </w:endnote>
  <w:endnote w:id="57">
    <w:p w14:paraId="50AB8AA3" w14:textId="77777777" w:rsidR="00A90270" w:rsidRPr="002960EF" w:rsidRDefault="00A90270" w:rsidP="0055550A">
      <w:pPr>
        <w:pBdr>
          <w:top w:val="nil"/>
          <w:left w:val="nil"/>
          <w:bottom w:val="nil"/>
          <w:right w:val="nil"/>
          <w:between w:val="nil"/>
        </w:pBdr>
        <w:ind w:left="567"/>
        <w:jc w:val="both"/>
        <w:rPr>
          <w:color w:val="000000"/>
          <w:sz w:val="22"/>
          <w:szCs w:val="22"/>
          <w:lang w:val="en-GB"/>
        </w:rPr>
      </w:pPr>
      <w:r>
        <w:rPr>
          <w:vertAlign w:val="superscript"/>
        </w:rPr>
        <w:endnoteRef/>
      </w:r>
      <w:r w:rsidRPr="00A63206">
        <w:rPr>
          <w:color w:val="000000"/>
          <w:sz w:val="20"/>
          <w:szCs w:val="20"/>
          <w:lang w:val="es-PA"/>
        </w:rPr>
        <w:t xml:space="preserve"> ICIP, Conversaciones con mujeres buscadores, la lucha contra las desapariciones forzadas y la construcción de paz. </w:t>
      </w:r>
      <w:r w:rsidRPr="002960EF">
        <w:rPr>
          <w:color w:val="000000"/>
          <w:sz w:val="20"/>
          <w:szCs w:val="20"/>
          <w:lang w:val="en-GB"/>
        </w:rPr>
        <w:t xml:space="preserve">Informe 23/2024, disponible </w:t>
      </w:r>
      <w:r w:rsidRPr="002960EF">
        <w:rPr>
          <w:color w:val="000000"/>
          <w:sz w:val="20"/>
          <w:szCs w:val="20"/>
          <w:lang w:val="en-GB"/>
        </w:rPr>
        <w:t xml:space="preserve">en : </w:t>
      </w:r>
      <w:hyperlink r:id="rId50">
        <w:r w:rsidRPr="002960EF">
          <w:rPr>
            <w:color w:val="1155CC"/>
            <w:sz w:val="20"/>
            <w:szCs w:val="20"/>
            <w:u w:val="single"/>
            <w:lang w:val="en-GB"/>
          </w:rPr>
          <w:t>https://www.icip.cat/wp-content/uploads/2024/12/InformeICIP-23-2024.pdf</w:t>
        </w:r>
      </w:hyperlink>
      <w:r w:rsidRPr="002960EF">
        <w:rPr>
          <w:color w:val="000000"/>
          <w:sz w:val="20"/>
          <w:szCs w:val="20"/>
          <w:lang w:val="en-GB"/>
        </w:rPr>
        <w:t xml:space="preserve"> </w:t>
      </w:r>
    </w:p>
  </w:endnote>
  <w:endnote w:id="58">
    <w:p w14:paraId="5FF2636F" w14:textId="77777777" w:rsidR="00A90270" w:rsidRDefault="00A90270" w:rsidP="0055550A">
      <w:pPr>
        <w:pBdr>
          <w:top w:val="nil"/>
          <w:left w:val="nil"/>
          <w:bottom w:val="nil"/>
          <w:right w:val="nil"/>
          <w:between w:val="nil"/>
        </w:pBdr>
        <w:ind w:left="567"/>
        <w:rPr>
          <w:color w:val="000000"/>
          <w:sz w:val="22"/>
          <w:szCs w:val="22"/>
        </w:rPr>
      </w:pPr>
      <w:r>
        <w:rPr>
          <w:vertAlign w:val="superscript"/>
        </w:rPr>
        <w:endnoteRef/>
      </w:r>
      <w:r>
        <w:rPr>
          <w:color w:val="000000"/>
          <w:sz w:val="20"/>
          <w:szCs w:val="20"/>
        </w:rPr>
        <w:t xml:space="preserve">  World vision Australia, Understanding Women</w:t>
      </w:r>
      <w:r>
        <w:rPr>
          <w:rFonts w:ascii="Arimo" w:eastAsia="Arimo" w:hAnsi="Arimo" w:cs="Arimo"/>
          <w:color w:val="000000"/>
          <w:sz w:val="20"/>
          <w:szCs w:val="20"/>
        </w:rPr>
        <w:t>’</w:t>
      </w:r>
      <w:r>
        <w:rPr>
          <w:color w:val="000000"/>
          <w:sz w:val="20"/>
          <w:szCs w:val="20"/>
        </w:rPr>
        <w:t xml:space="preserve">s Empowerment Meaning, Quotes &amp; How to Empower Women, disponible </w:t>
      </w:r>
      <w:r>
        <w:rPr>
          <w:color w:val="000000"/>
          <w:sz w:val="20"/>
          <w:szCs w:val="20"/>
        </w:rPr>
        <w:t xml:space="preserve">en :  </w:t>
      </w:r>
      <w:hyperlink r:id="rId51">
        <w:r>
          <w:rPr>
            <w:color w:val="1155CC"/>
            <w:sz w:val="20"/>
            <w:szCs w:val="20"/>
            <w:u w:val="single"/>
          </w:rPr>
          <w:t>Women</w:t>
        </w:r>
      </w:hyperlink>
      <w:hyperlink r:id="rId52">
        <w:r>
          <w:rPr>
            <w:rFonts w:ascii="Arimo" w:eastAsia="Arimo" w:hAnsi="Arimo" w:cs="Arimo"/>
            <w:color w:val="1155CC"/>
            <w:sz w:val="20"/>
            <w:szCs w:val="20"/>
            <w:u w:val="single"/>
          </w:rPr>
          <w:t>’</w:t>
        </w:r>
      </w:hyperlink>
      <w:hyperlink r:id="rId53">
        <w:r>
          <w:rPr>
            <w:color w:val="1155CC"/>
            <w:sz w:val="20"/>
            <w:szCs w:val="20"/>
            <w:u w:val="single"/>
          </w:rPr>
          <w:t>s Empowerment - Facts, Stories and How To Help | World Vision Australia</w:t>
        </w:r>
      </w:hyperlink>
    </w:p>
  </w:endnote>
  <w:endnote w:id="59">
    <w:p w14:paraId="70DD9075" w14:textId="77777777" w:rsidR="00A90270" w:rsidRPr="00A63206" w:rsidRDefault="00A90270" w:rsidP="0055550A">
      <w:pPr>
        <w:pBdr>
          <w:top w:val="nil"/>
          <w:left w:val="nil"/>
          <w:bottom w:val="nil"/>
          <w:right w:val="nil"/>
          <w:between w:val="nil"/>
        </w:pBdr>
        <w:ind w:left="567"/>
        <w:rPr>
          <w:color w:val="000000"/>
          <w:sz w:val="22"/>
          <w:szCs w:val="22"/>
          <w:lang w:val="es-PA"/>
        </w:rPr>
      </w:pPr>
      <w:r>
        <w:rPr>
          <w:vertAlign w:val="superscript"/>
        </w:rPr>
        <w:endnoteRef/>
      </w:r>
      <w:r w:rsidRPr="00A63206">
        <w:rPr>
          <w:color w:val="000000"/>
          <w:sz w:val="20"/>
          <w:szCs w:val="20"/>
          <w:lang w:val="es-PA"/>
        </w:rPr>
        <w:t xml:space="preserve"> </w:t>
      </w:r>
      <w:r w:rsidRPr="00A63206">
        <w:rPr>
          <w:sz w:val="20"/>
          <w:szCs w:val="20"/>
          <w:lang w:val="es-PA"/>
        </w:rPr>
        <w:t>Principios rectores para la búsqueda de personas desaparecidas, principio 14.3.</w:t>
      </w:r>
    </w:p>
  </w:endnote>
  <w:endnote w:id="60">
    <w:p w14:paraId="7EFBD15C" w14:textId="77777777" w:rsidR="00A90270" w:rsidRPr="00A63206" w:rsidRDefault="00A90270" w:rsidP="0055550A">
      <w:pPr>
        <w:ind w:left="567"/>
        <w:rPr>
          <w:sz w:val="20"/>
          <w:szCs w:val="20"/>
          <w:lang w:val="es-PA"/>
        </w:rPr>
      </w:pPr>
      <w:r>
        <w:rPr>
          <w:vertAlign w:val="superscript"/>
        </w:rPr>
        <w:endnoteRef/>
      </w:r>
      <w:r w:rsidRPr="00A63206">
        <w:rPr>
          <w:sz w:val="20"/>
          <w:szCs w:val="20"/>
          <w:lang w:val="es-PA"/>
        </w:rPr>
        <w:t xml:space="preserve"> Idem, CED/C/26 párrafo 61.</w:t>
      </w:r>
    </w:p>
  </w:endnote>
  <w:endnote w:id="61">
    <w:p w14:paraId="1D9BB62D" w14:textId="77777777" w:rsidR="00A90270" w:rsidRPr="00A63206" w:rsidRDefault="00A90270" w:rsidP="0055550A">
      <w:pPr>
        <w:pBdr>
          <w:top w:val="nil"/>
          <w:left w:val="nil"/>
          <w:bottom w:val="nil"/>
          <w:right w:val="nil"/>
          <w:between w:val="nil"/>
        </w:pBdr>
        <w:ind w:left="567"/>
        <w:jc w:val="both"/>
        <w:rPr>
          <w:color w:val="000000"/>
          <w:sz w:val="22"/>
          <w:szCs w:val="22"/>
          <w:lang w:val="es-PA"/>
        </w:rPr>
      </w:pPr>
      <w:r>
        <w:rPr>
          <w:vertAlign w:val="superscript"/>
        </w:rPr>
        <w:endnoteRef/>
      </w:r>
      <w:r w:rsidRPr="00A63206">
        <w:rPr>
          <w:color w:val="000000"/>
          <w:sz w:val="20"/>
          <w:szCs w:val="20"/>
          <w:lang w:val="es-PA"/>
        </w:rPr>
        <w:t xml:space="preserve"> Ariel Dulitzky Y Catalina Lagos, Jurisprudencia Interamericana Sobre Desaparición Forzada Y Mujeres: La tímida e inconsistente aparición de la perspectiva de género, página 91, disponible en : </w:t>
      </w:r>
      <w:r w:rsidRPr="00A63206">
        <w:rPr>
          <w:color w:val="000000"/>
          <w:sz w:val="20"/>
          <w:szCs w:val="20"/>
          <w:u w:val="single"/>
          <w:lang w:val="es-PA"/>
        </w:rPr>
        <w:t>https://repositorio.colmex.mx/concern/articles/f1881m75d?locale=es</w:t>
      </w:r>
      <w:r w:rsidRPr="00A63206">
        <w:rPr>
          <w:color w:val="000000"/>
          <w:sz w:val="20"/>
          <w:szCs w:val="20"/>
          <w:lang w:val="es-PA"/>
        </w:rPr>
        <w:t xml:space="preserve"> </w:t>
      </w:r>
    </w:p>
  </w:endnote>
  <w:endnote w:id="62">
    <w:p w14:paraId="79A8AAA5" w14:textId="77777777" w:rsidR="00A90270" w:rsidRPr="002960EF" w:rsidRDefault="00A90270" w:rsidP="0055550A">
      <w:pPr>
        <w:pBdr>
          <w:top w:val="nil"/>
          <w:left w:val="nil"/>
          <w:bottom w:val="nil"/>
          <w:right w:val="nil"/>
          <w:between w:val="nil"/>
        </w:pBdr>
        <w:ind w:left="567"/>
        <w:jc w:val="both"/>
        <w:rPr>
          <w:color w:val="000000"/>
          <w:sz w:val="22"/>
          <w:szCs w:val="22"/>
          <w:lang w:val="en-GB"/>
        </w:rPr>
      </w:pPr>
      <w:r>
        <w:rPr>
          <w:vertAlign w:val="superscript"/>
        </w:rPr>
        <w:endnoteRef/>
      </w:r>
      <w:r>
        <w:rPr>
          <w:color w:val="000000"/>
          <w:sz w:val="20"/>
          <w:szCs w:val="20"/>
        </w:rPr>
        <w:t xml:space="preserve"> UNGA, A/RES/60/147, Basic Principles and Guidelines on the Right to a Remedy and Reparation for Victims of Gross Violations of International Human Rights Law and Serious Violations of International Humanitarian Law. </w:t>
      </w:r>
      <w:r w:rsidRPr="002960EF">
        <w:rPr>
          <w:color w:val="000000"/>
          <w:sz w:val="20"/>
          <w:szCs w:val="20"/>
          <w:lang w:val="en-GB"/>
        </w:rPr>
        <w:t xml:space="preserve">Disponible </w:t>
      </w:r>
      <w:r w:rsidRPr="002960EF">
        <w:rPr>
          <w:color w:val="000000"/>
          <w:sz w:val="20"/>
          <w:szCs w:val="20"/>
          <w:lang w:val="en-GB"/>
        </w:rPr>
        <w:t>en: https://www.ohchr.org/es/instruments-mechanisms/instruments/basic-principles-and-guidelines-right-remedy-and-reparation</w:t>
      </w:r>
    </w:p>
  </w:endnote>
  <w:endnote w:id="63">
    <w:p w14:paraId="56A77506" w14:textId="77777777" w:rsidR="00A90270" w:rsidRDefault="00A90270" w:rsidP="0055550A">
      <w:pPr>
        <w:pBdr>
          <w:top w:val="nil"/>
          <w:left w:val="nil"/>
          <w:bottom w:val="nil"/>
          <w:right w:val="nil"/>
          <w:between w:val="nil"/>
        </w:pBdr>
        <w:ind w:left="567"/>
        <w:jc w:val="both"/>
        <w:rPr>
          <w:color w:val="000000"/>
          <w:sz w:val="22"/>
          <w:szCs w:val="22"/>
        </w:rPr>
      </w:pPr>
      <w:r>
        <w:rPr>
          <w:vertAlign w:val="superscript"/>
        </w:rPr>
        <w:endnoteRef/>
      </w:r>
      <w:r>
        <w:rPr>
          <w:color w:val="000000"/>
          <w:sz w:val="20"/>
          <w:szCs w:val="20"/>
        </w:rPr>
        <w:t xml:space="preserve"> International Coalition of Sites of Conscience, </w:t>
      </w:r>
      <w:r>
        <w:rPr>
          <w:i/>
          <w:color w:val="000000"/>
          <w:sz w:val="20"/>
          <w:szCs w:val="20"/>
        </w:rPr>
        <w:t>Memory to Action: A Toolkit for Memorialization in Post-Conflict Societies</w:t>
      </w:r>
      <w:r>
        <w:rPr>
          <w:color w:val="000000"/>
          <w:sz w:val="20"/>
          <w:szCs w:val="20"/>
        </w:rPr>
        <w:t xml:space="preserve">, </w:t>
      </w:r>
      <w:r>
        <w:rPr>
          <w:color w:val="000000"/>
          <w:sz w:val="20"/>
          <w:szCs w:val="20"/>
        </w:rPr>
        <w:t xml:space="preserve">pág. 3 disponible en : </w:t>
      </w:r>
      <w:hyperlink r:id="rId54">
        <w:r>
          <w:rPr>
            <w:color w:val="1155CC"/>
            <w:sz w:val="20"/>
            <w:szCs w:val="20"/>
            <w:u w:val="single"/>
          </w:rPr>
          <w:t>https://www.sitesofconscience.org/wp-content/uploads/2016/08/From-Memory-to-Action-A-Post-Conflict-Memorialization-Toolkit.pdf</w:t>
        </w:r>
      </w:hyperlink>
      <w:r>
        <w:rPr>
          <w:color w:val="000000"/>
          <w:sz w:val="20"/>
          <w:szCs w:val="20"/>
        </w:rPr>
        <w:t xml:space="preserve"> </w:t>
      </w:r>
    </w:p>
  </w:endnote>
  <w:endnote w:id="64">
    <w:p w14:paraId="71415566" w14:textId="77777777" w:rsidR="00A90270" w:rsidRPr="00A63206" w:rsidRDefault="00A90270" w:rsidP="0055550A">
      <w:pPr>
        <w:pBdr>
          <w:top w:val="nil"/>
          <w:left w:val="nil"/>
          <w:bottom w:val="nil"/>
          <w:right w:val="nil"/>
          <w:between w:val="nil"/>
        </w:pBdr>
        <w:ind w:left="567"/>
        <w:rPr>
          <w:color w:val="000000"/>
          <w:sz w:val="22"/>
          <w:szCs w:val="22"/>
          <w:lang w:val="es-PA"/>
        </w:rPr>
      </w:pPr>
      <w:r>
        <w:rPr>
          <w:vertAlign w:val="superscript"/>
        </w:rPr>
        <w:endnoteRef/>
      </w:r>
      <w:r w:rsidRPr="00A63206">
        <w:rPr>
          <w:color w:val="000000"/>
          <w:sz w:val="20"/>
          <w:szCs w:val="20"/>
          <w:lang w:val="es-PA"/>
        </w:rPr>
        <w:t xml:space="preserve"> CIDH y OEA, </w:t>
      </w:r>
      <w:r w:rsidRPr="00A63206">
        <w:rPr>
          <w:i/>
          <w:color w:val="000000"/>
          <w:sz w:val="20"/>
          <w:szCs w:val="20"/>
          <w:lang w:val="es-PA"/>
        </w:rPr>
        <w:t xml:space="preserve">Documento de trabajo: Principios sobre Políticas de Memoria en las Américas, </w:t>
      </w:r>
      <w:r w:rsidRPr="00A63206">
        <w:rPr>
          <w:color w:val="000000"/>
          <w:sz w:val="20"/>
          <w:szCs w:val="20"/>
          <w:lang w:val="es-PA"/>
        </w:rPr>
        <w:t xml:space="preserve">disponible en : </w:t>
      </w:r>
      <w:hyperlink r:id="rId55">
        <w:r w:rsidRPr="00A63206">
          <w:rPr>
            <w:color w:val="1155CC"/>
            <w:sz w:val="20"/>
            <w:szCs w:val="20"/>
            <w:u w:val="single"/>
            <w:lang w:val="es-PA"/>
          </w:rPr>
          <w:t>https://www.oas.org/es/cidh/prensa/comunicados/2019/020C.pdf</w:t>
        </w:r>
      </w:hyperlink>
      <w:r w:rsidRPr="00A63206">
        <w:rPr>
          <w:color w:val="000000"/>
          <w:sz w:val="20"/>
          <w:szCs w:val="20"/>
          <w:lang w:val="es-PA"/>
        </w:rPr>
        <w:t xml:space="preserve"> </w:t>
      </w:r>
    </w:p>
  </w:endnote>
  <w:endnote w:id="65">
    <w:p w14:paraId="72760B4F" w14:textId="77777777" w:rsidR="00A90270" w:rsidRPr="00A63206" w:rsidRDefault="00A90270" w:rsidP="0055550A">
      <w:pPr>
        <w:pBdr>
          <w:top w:val="nil"/>
          <w:left w:val="nil"/>
          <w:bottom w:val="nil"/>
          <w:right w:val="nil"/>
          <w:between w:val="nil"/>
        </w:pBdr>
        <w:ind w:left="567"/>
        <w:rPr>
          <w:color w:val="1155CC"/>
          <w:sz w:val="20"/>
          <w:szCs w:val="20"/>
          <w:lang w:val="es-PA"/>
        </w:rPr>
      </w:pPr>
      <w:r>
        <w:rPr>
          <w:vertAlign w:val="superscript"/>
        </w:rPr>
        <w:endnoteRef/>
      </w:r>
      <w:r w:rsidRPr="00A63206">
        <w:rPr>
          <w:color w:val="1155CC"/>
          <w:sz w:val="20"/>
          <w:szCs w:val="20"/>
          <w:lang w:val="es-PA"/>
        </w:rPr>
        <w:t xml:space="preserve"> ICIP, ¿Dónde están las personas desaparecidas? Verdad y justicia para la consolidación de la paz, disponible </w:t>
      </w:r>
      <w:r w:rsidRPr="00A63206">
        <w:rPr>
          <w:color w:val="1155CC"/>
          <w:sz w:val="20"/>
          <w:szCs w:val="20"/>
          <w:lang w:val="es-PA"/>
        </w:rPr>
        <w:t xml:space="preserve">en : </w:t>
      </w:r>
    </w:p>
    <w:p w14:paraId="359CCD36" w14:textId="77777777" w:rsidR="00A90270" w:rsidRPr="00A63206" w:rsidRDefault="00A90270" w:rsidP="0055550A">
      <w:pPr>
        <w:pBdr>
          <w:top w:val="nil"/>
          <w:left w:val="nil"/>
          <w:bottom w:val="nil"/>
          <w:right w:val="nil"/>
          <w:between w:val="nil"/>
        </w:pBdr>
        <w:ind w:left="567"/>
        <w:rPr>
          <w:color w:val="000000"/>
          <w:sz w:val="22"/>
          <w:szCs w:val="22"/>
          <w:lang w:val="es-PA"/>
        </w:rPr>
      </w:pPr>
      <w:r>
        <w:fldChar w:fldCharType="begin"/>
      </w:r>
      <w:r w:rsidRPr="005D702F">
        <w:rPr>
          <w:lang w:val="es-PA"/>
        </w:rPr>
        <w:instrText>HYPERLINK "https://www.icip.cat/perlapau/es/articulo/donde-estan-las-personas-desaparecidas-verdad-y-justicia-para-la-consolidacion-de-la-paz/" \h</w:instrText>
      </w:r>
      <w:r>
        <w:fldChar w:fldCharType="separate"/>
      </w:r>
      <w:r w:rsidRPr="00A63206">
        <w:rPr>
          <w:color w:val="1155CC"/>
          <w:sz w:val="20"/>
          <w:szCs w:val="20"/>
          <w:u w:val="single"/>
          <w:lang w:val="es-PA"/>
        </w:rPr>
        <w:t>https://www.icip.cat/perlapau/es/articulo/donde-estan-las-personas-desaparecidas-verdad-y-justicia-para-la-consolidacion-de-la-paz/</w:t>
      </w:r>
      <w:r>
        <w:fldChar w:fldCharType="end"/>
      </w:r>
      <w:r w:rsidRPr="00A63206">
        <w:rPr>
          <w:color w:val="000000"/>
          <w:sz w:val="20"/>
          <w:szCs w:val="20"/>
          <w:lang w:val="es-PA"/>
        </w:rPr>
        <w:t xml:space="preserve"> </w:t>
      </w:r>
    </w:p>
  </w:endnote>
  <w:endnote w:id="66">
    <w:p w14:paraId="5B795FAA" w14:textId="77777777" w:rsidR="00A90270" w:rsidRPr="00A63206" w:rsidRDefault="00A90270" w:rsidP="0055550A">
      <w:pPr>
        <w:pBdr>
          <w:top w:val="nil"/>
          <w:left w:val="nil"/>
          <w:bottom w:val="nil"/>
          <w:right w:val="nil"/>
          <w:between w:val="nil"/>
        </w:pBdr>
        <w:ind w:left="567"/>
        <w:rPr>
          <w:color w:val="000000"/>
          <w:sz w:val="22"/>
          <w:szCs w:val="22"/>
          <w:lang w:val="es-PA"/>
        </w:rPr>
      </w:pPr>
      <w:r>
        <w:rPr>
          <w:vertAlign w:val="superscript"/>
        </w:rPr>
        <w:endnoteRef/>
      </w:r>
      <w:r w:rsidRPr="00A63206">
        <w:rPr>
          <w:color w:val="000000"/>
          <w:sz w:val="20"/>
          <w:szCs w:val="20"/>
          <w:lang w:val="es-PA"/>
        </w:rPr>
        <w:t xml:space="preserve">Instituto de Políticas Públicas en Derechos Humanos del MERCOSUR (IPPDH) , </w:t>
      </w:r>
      <w:r w:rsidRPr="00A63206">
        <w:rPr>
          <w:i/>
          <w:color w:val="000000"/>
          <w:sz w:val="20"/>
          <w:szCs w:val="20"/>
          <w:lang w:val="es-PA"/>
        </w:rPr>
        <w:t>Principios fundamentales para las políticas públicas en materia de sitios de memoria</w:t>
      </w:r>
      <w:r w:rsidRPr="00A63206">
        <w:rPr>
          <w:color w:val="000000"/>
          <w:sz w:val="20"/>
          <w:szCs w:val="20"/>
          <w:lang w:val="es-PA"/>
        </w:rPr>
        <w:t xml:space="preserve">, 2013, pág. 8, disponible </w:t>
      </w:r>
      <w:r w:rsidRPr="00A63206">
        <w:rPr>
          <w:color w:val="000000"/>
          <w:sz w:val="20"/>
          <w:szCs w:val="20"/>
          <w:lang w:val="es-PA"/>
        </w:rPr>
        <w:t xml:space="preserve">en : </w:t>
      </w:r>
      <w:hyperlink r:id="rId56">
        <w:r w:rsidRPr="00A63206">
          <w:rPr>
            <w:color w:val="1155CC"/>
            <w:sz w:val="20"/>
            <w:szCs w:val="20"/>
            <w:u w:val="single"/>
            <w:lang w:val="es-PA"/>
          </w:rPr>
          <w:t>https://www.ippdh.mercosur.int/wp-content/uploads/2014/08/Sitios_de_memoria_FINAL_ES_INTERACTIVO.pdf</w:t>
        </w:r>
      </w:hyperlink>
      <w:r w:rsidRPr="00A63206">
        <w:rPr>
          <w:color w:val="000000"/>
          <w:sz w:val="20"/>
          <w:szCs w:val="20"/>
          <w:lang w:val="es-PA"/>
        </w:rPr>
        <w:t xml:space="preserve"> </w:t>
      </w:r>
    </w:p>
  </w:endnote>
  <w:endnote w:id="67">
    <w:p w14:paraId="5A57EECC" w14:textId="77777777" w:rsidR="00A90270" w:rsidRPr="00A63206" w:rsidRDefault="00A90270" w:rsidP="0055550A">
      <w:pPr>
        <w:pBdr>
          <w:top w:val="nil"/>
          <w:left w:val="nil"/>
          <w:bottom w:val="nil"/>
          <w:right w:val="nil"/>
          <w:between w:val="nil"/>
        </w:pBdr>
        <w:ind w:left="567"/>
        <w:jc w:val="both"/>
        <w:rPr>
          <w:color w:val="000000"/>
          <w:sz w:val="22"/>
          <w:szCs w:val="22"/>
          <w:lang w:val="es-PA"/>
        </w:rPr>
      </w:pPr>
      <w:r>
        <w:rPr>
          <w:vertAlign w:val="superscript"/>
        </w:rPr>
        <w:endnoteRef/>
      </w:r>
      <w:r w:rsidRPr="00A63206">
        <w:rPr>
          <w:color w:val="000000"/>
          <w:sz w:val="20"/>
          <w:szCs w:val="20"/>
          <w:lang w:val="es-PA"/>
        </w:rPr>
        <w:t xml:space="preserve"> Corte IDH, </w:t>
      </w:r>
      <w:r w:rsidRPr="00A63206">
        <w:rPr>
          <w:i/>
          <w:color w:val="000000"/>
          <w:sz w:val="20"/>
          <w:szCs w:val="20"/>
          <w:lang w:val="es-PA"/>
        </w:rPr>
        <w:t>Caso Loayza Tamayo vs. Perú,</w:t>
      </w:r>
      <w:r w:rsidRPr="00A63206">
        <w:rPr>
          <w:color w:val="000000"/>
          <w:sz w:val="20"/>
          <w:szCs w:val="20"/>
          <w:lang w:val="es-PA"/>
        </w:rPr>
        <w:t xml:space="preserve"> Sentencia de 27 de noviembre de 1998, párr. 148-1509, disponible </w:t>
      </w:r>
      <w:r w:rsidRPr="00A63206">
        <w:rPr>
          <w:color w:val="000000"/>
          <w:sz w:val="20"/>
          <w:szCs w:val="20"/>
          <w:lang w:val="es-PA"/>
        </w:rPr>
        <w:t xml:space="preserve">en : </w:t>
      </w:r>
      <w:r>
        <w:fldChar w:fldCharType="begin"/>
      </w:r>
      <w:r w:rsidRPr="005D702F">
        <w:rPr>
          <w:lang w:val="es-419"/>
        </w:rPr>
        <w:instrText>HYPERLINK "https://www.corteidh.or.cr/docs/casos/articulos/seriec_42_esp.pdf" \h</w:instrText>
      </w:r>
      <w:r>
        <w:fldChar w:fldCharType="separate"/>
      </w:r>
      <w:r w:rsidRPr="00A63206">
        <w:rPr>
          <w:color w:val="1155CC"/>
          <w:sz w:val="20"/>
          <w:szCs w:val="20"/>
          <w:u w:val="single"/>
          <w:lang w:val="es-PA"/>
        </w:rPr>
        <w:t>https://www.corteidh.or.cr/docs/casos/articulos/seriec_42_esp.pdf</w:t>
      </w:r>
      <w:r>
        <w:fldChar w:fldCharType="end"/>
      </w:r>
      <w:r w:rsidRPr="00A63206">
        <w:rPr>
          <w:color w:val="000000"/>
          <w:sz w:val="20"/>
          <w:szCs w:val="20"/>
          <w:lang w:val="es-PA"/>
        </w:rPr>
        <w:t xml:space="preserve">  Véase también: </w:t>
      </w:r>
      <w:r w:rsidRPr="00A63206">
        <w:rPr>
          <w:color w:val="000000"/>
          <w:sz w:val="20"/>
          <w:szCs w:val="20"/>
          <w:highlight w:val="white"/>
          <w:lang w:val="es-PA"/>
        </w:rPr>
        <w:t xml:space="preserve">Corte IDH. </w:t>
      </w:r>
      <w:r w:rsidRPr="00A63206">
        <w:rPr>
          <w:i/>
          <w:color w:val="000000"/>
          <w:sz w:val="20"/>
          <w:szCs w:val="20"/>
          <w:highlight w:val="white"/>
          <w:lang w:val="es-PA"/>
        </w:rPr>
        <w:t>Caso Dos Santos Nascimento y Ferreira Gomes Vs. Brasil.</w:t>
      </w:r>
      <w:r w:rsidRPr="00A63206">
        <w:rPr>
          <w:color w:val="000000"/>
          <w:sz w:val="20"/>
          <w:szCs w:val="20"/>
          <w:highlight w:val="white"/>
          <w:lang w:val="es-PA"/>
        </w:rPr>
        <w:t xml:space="preserve"> Excepciones Preliminares, Fondo, Reparaciones y Costas. Sentencia de 7 de octubre de 2024. Serie C No. 539. Párrs. 143-154. </w:t>
      </w:r>
    </w:p>
  </w:endnote>
  <w:endnote w:id="68">
    <w:p w14:paraId="7A70F37A" w14:textId="77777777" w:rsidR="00A90270" w:rsidRDefault="00A90270" w:rsidP="0055550A">
      <w:pPr>
        <w:pBdr>
          <w:top w:val="nil"/>
          <w:left w:val="nil"/>
          <w:bottom w:val="nil"/>
          <w:right w:val="nil"/>
          <w:between w:val="nil"/>
        </w:pBdr>
        <w:ind w:left="567"/>
        <w:jc w:val="both"/>
        <w:rPr>
          <w:color w:val="000000"/>
          <w:sz w:val="22"/>
          <w:szCs w:val="22"/>
        </w:rPr>
      </w:pPr>
      <w:r>
        <w:rPr>
          <w:vertAlign w:val="superscript"/>
        </w:rPr>
        <w:endnoteRef/>
      </w:r>
      <w:r w:rsidRPr="00A63206">
        <w:rPr>
          <w:color w:val="000000"/>
          <w:sz w:val="20"/>
          <w:szCs w:val="20"/>
          <w:lang w:val="es-PA"/>
        </w:rPr>
        <w:t xml:space="preserve"> Pauline Boss. </w:t>
      </w:r>
      <w:r>
        <w:rPr>
          <w:i/>
          <w:color w:val="000000"/>
          <w:sz w:val="20"/>
          <w:szCs w:val="20"/>
        </w:rPr>
        <w:t>Families of the missing: Psychosocial effects and therapeutic approaches.</w:t>
      </w:r>
      <w:r>
        <w:rPr>
          <w:color w:val="000000"/>
          <w:sz w:val="20"/>
          <w:szCs w:val="20"/>
        </w:rPr>
        <w:t xml:space="preserve"> International Review of the Red Cross (2017), 99 (2), 519-534, disponible </w:t>
      </w:r>
      <w:r>
        <w:rPr>
          <w:color w:val="000000"/>
          <w:sz w:val="20"/>
          <w:szCs w:val="20"/>
        </w:rPr>
        <w:t xml:space="preserve">en : </w:t>
      </w:r>
      <w:hyperlink r:id="rId57">
        <w:r>
          <w:rPr>
            <w:color w:val="000000"/>
            <w:sz w:val="20"/>
            <w:szCs w:val="20"/>
            <w:u w:val="single"/>
          </w:rPr>
          <w:t>https://international-review.icrc.org/sites/default/files/irrc_99_905_4.pdf</w:t>
        </w:r>
      </w:hyperlink>
      <w:r>
        <w:rPr>
          <w:color w:val="000000"/>
          <w:sz w:val="20"/>
          <w:szCs w:val="20"/>
          <w:u w:val="single"/>
        </w:rPr>
        <w:t xml:space="preserve"> </w:t>
      </w:r>
    </w:p>
  </w:endnote>
  <w:endnote w:id="69">
    <w:p w14:paraId="5A399AB0" w14:textId="77777777" w:rsidR="00A90270" w:rsidRDefault="00A90270" w:rsidP="0055550A">
      <w:pPr>
        <w:pBdr>
          <w:top w:val="nil"/>
          <w:left w:val="nil"/>
          <w:bottom w:val="nil"/>
          <w:right w:val="nil"/>
          <w:between w:val="nil"/>
        </w:pBdr>
        <w:ind w:left="567"/>
        <w:rPr>
          <w:color w:val="000000"/>
          <w:sz w:val="22"/>
          <w:szCs w:val="22"/>
        </w:rPr>
      </w:pPr>
      <w:r>
        <w:rPr>
          <w:vertAlign w:val="superscript"/>
        </w:rPr>
        <w:endnoteRef/>
      </w:r>
      <w:r>
        <w:rPr>
          <w:color w:val="000000"/>
          <w:sz w:val="20"/>
          <w:szCs w:val="20"/>
        </w:rPr>
        <w:t xml:space="preserve"> OHCHR Report on Accountability for Enforced Disappearances in Sri Lanka, disponible </w:t>
      </w:r>
      <w:r>
        <w:rPr>
          <w:color w:val="000000"/>
          <w:sz w:val="20"/>
          <w:szCs w:val="20"/>
        </w:rPr>
        <w:t>en :</w:t>
      </w:r>
      <w:hyperlink r:id="rId58">
        <w:r>
          <w:rPr>
            <w:color w:val="000000"/>
            <w:sz w:val="20"/>
            <w:szCs w:val="20"/>
            <w:u w:val="single"/>
          </w:rPr>
          <w:t>https://www.ohchr.org/en/documents/thematic-reports/accountability-enforced-disappearances-sri-lanka-ohchr-report</w:t>
        </w:r>
      </w:hyperlink>
      <w:r>
        <w:t>.</w:t>
      </w:r>
    </w:p>
  </w:endnote>
  <w:endnote w:id="70">
    <w:p w14:paraId="6EF02614" w14:textId="77777777" w:rsidR="00A90270" w:rsidRDefault="00A90270" w:rsidP="0055550A">
      <w:pPr>
        <w:pBdr>
          <w:top w:val="nil"/>
          <w:left w:val="nil"/>
          <w:bottom w:val="nil"/>
          <w:right w:val="nil"/>
          <w:between w:val="nil"/>
        </w:pBdr>
        <w:ind w:left="567"/>
        <w:jc w:val="both"/>
        <w:rPr>
          <w:color w:val="000000"/>
          <w:sz w:val="22"/>
          <w:szCs w:val="22"/>
        </w:rPr>
      </w:pPr>
      <w:r>
        <w:rPr>
          <w:vertAlign w:val="superscript"/>
        </w:rPr>
        <w:endnoteRef/>
      </w:r>
      <w:r>
        <w:rPr>
          <w:color w:val="000000"/>
          <w:sz w:val="20"/>
          <w:szCs w:val="20"/>
        </w:rPr>
        <w:t xml:space="preserve"> Pauline Boss. Families of the missing: Psychosocial effects and therapeutic approaches. International Review of the Red Cross (2017), 99 (2), 519-534</w:t>
      </w:r>
      <w:r>
        <w:rPr>
          <w:color w:val="000000"/>
          <w:sz w:val="20"/>
          <w:szCs w:val="20"/>
        </w:rPr>
        <w:t xml:space="preserve">, , </w:t>
      </w:r>
      <w:r>
        <w:rPr>
          <w:color w:val="000000"/>
          <w:sz w:val="20"/>
          <w:szCs w:val="20"/>
        </w:rPr>
        <w:t xml:space="preserve">pár. 148, disponible en : disponible en : </w:t>
      </w:r>
      <w:hyperlink r:id="rId59">
        <w:r>
          <w:rPr>
            <w:color w:val="000000"/>
            <w:sz w:val="20"/>
            <w:szCs w:val="20"/>
            <w:u w:val="single"/>
          </w:rPr>
          <w:t>https://international-review.icrc.org/sites/default/files/irrc_99_905_4.pdf</w:t>
        </w:r>
      </w:hyperlink>
      <w:r>
        <w:rPr>
          <w:color w:val="000000"/>
          <w:sz w:val="20"/>
          <w:szCs w:val="20"/>
          <w:u w:val="single"/>
        </w:rPr>
        <w:t xml:space="preserve">  </w:t>
      </w:r>
    </w:p>
  </w:endnote>
  <w:endnote w:id="71">
    <w:p w14:paraId="0DF1CCCC" w14:textId="77777777" w:rsidR="00A90270" w:rsidRPr="00A63206" w:rsidRDefault="00A90270" w:rsidP="0055550A">
      <w:pPr>
        <w:pBdr>
          <w:top w:val="nil"/>
          <w:left w:val="nil"/>
          <w:bottom w:val="nil"/>
          <w:right w:val="nil"/>
          <w:between w:val="nil"/>
        </w:pBdr>
        <w:ind w:left="567"/>
        <w:jc w:val="both"/>
        <w:rPr>
          <w:color w:val="000000"/>
          <w:sz w:val="22"/>
          <w:szCs w:val="22"/>
          <w:lang w:val="es-PA"/>
        </w:rPr>
      </w:pPr>
      <w:r>
        <w:rPr>
          <w:vertAlign w:val="superscript"/>
        </w:rPr>
        <w:endnoteRef/>
      </w:r>
      <w:r w:rsidRPr="00A63206">
        <w:rPr>
          <w:color w:val="000000"/>
          <w:sz w:val="20"/>
          <w:szCs w:val="20"/>
          <w:lang w:val="es-PA"/>
        </w:rPr>
        <w:t xml:space="preserve"> De la Nuez Sánchez-Cascado, </w:t>
      </w:r>
      <w:r w:rsidRPr="00A63206">
        <w:rPr>
          <w:i/>
          <w:color w:val="000000"/>
          <w:sz w:val="20"/>
          <w:szCs w:val="20"/>
          <w:lang w:val="es-PA"/>
        </w:rPr>
        <w:t xml:space="preserve">Paloma: El daño al proyecto de vida en la Corte Interamericana de Derechos Humanos a la luz del pensamiento político de J. </w:t>
      </w:r>
      <w:r w:rsidRPr="00A63206">
        <w:rPr>
          <w:i/>
          <w:color w:val="000000"/>
          <w:sz w:val="20"/>
          <w:szCs w:val="20"/>
          <w:lang w:val="es-PA"/>
        </w:rPr>
        <w:t>Shklar</w:t>
      </w:r>
      <w:r w:rsidRPr="00A63206">
        <w:rPr>
          <w:color w:val="000000"/>
          <w:sz w:val="20"/>
          <w:szCs w:val="20"/>
          <w:lang w:val="es-PA"/>
        </w:rPr>
        <w:t xml:space="preserve">. Disponible en: </w:t>
      </w:r>
      <w:r>
        <w:fldChar w:fldCharType="begin"/>
      </w:r>
      <w:r w:rsidRPr="005D702F">
        <w:rPr>
          <w:lang w:val="es-419"/>
        </w:rPr>
        <w:instrText>HYPERLINK "https://www.scielo.org.mx/scielo.php?script=sci_arttext&amp;pid=S1870-00632020000100147" \h</w:instrText>
      </w:r>
      <w:r>
        <w:fldChar w:fldCharType="separate"/>
      </w:r>
      <w:r w:rsidRPr="00A63206">
        <w:rPr>
          <w:color w:val="1155CC"/>
          <w:sz w:val="20"/>
          <w:szCs w:val="20"/>
          <w:u w:val="single"/>
          <w:lang w:val="es-PA"/>
        </w:rPr>
        <w:t>https://www.scielo.org.mx/scielo.php?script=sci_arttext&amp;pid=S1870-00632020000100147</w:t>
      </w:r>
      <w:r>
        <w:fldChar w:fldCharType="end"/>
      </w:r>
      <w:r w:rsidRPr="00A63206">
        <w:rPr>
          <w:color w:val="000000"/>
          <w:sz w:val="20"/>
          <w:szCs w:val="20"/>
          <w:lang w:val="es-PA"/>
        </w:rPr>
        <w:t xml:space="preserve"> </w:t>
      </w:r>
    </w:p>
  </w:endnote>
  <w:endnote w:id="72">
    <w:p w14:paraId="104A6795" w14:textId="77777777" w:rsidR="00A90270" w:rsidRPr="00A63206" w:rsidRDefault="00A90270" w:rsidP="0055550A">
      <w:pPr>
        <w:pBdr>
          <w:top w:val="nil"/>
          <w:left w:val="nil"/>
          <w:bottom w:val="nil"/>
          <w:right w:val="nil"/>
          <w:between w:val="nil"/>
        </w:pBdr>
        <w:ind w:left="567"/>
        <w:jc w:val="both"/>
        <w:rPr>
          <w:color w:val="000000"/>
          <w:sz w:val="22"/>
          <w:szCs w:val="22"/>
          <w:lang w:val="es-PA"/>
        </w:rPr>
      </w:pPr>
      <w:r>
        <w:rPr>
          <w:vertAlign w:val="superscript"/>
        </w:rPr>
        <w:endnoteRef/>
      </w:r>
      <w:r w:rsidRPr="00A63206">
        <w:rPr>
          <w:color w:val="000000"/>
          <w:sz w:val="20"/>
          <w:szCs w:val="20"/>
          <w:highlight w:val="white"/>
          <w:lang w:val="es-PA"/>
        </w:rPr>
        <w:t xml:space="preserve">GTDFI, Estudio Temático sobre desapariciones forzada o involuntaria  y los derechos económico, sociales y culturales, 2015, disponible en </w:t>
      </w:r>
      <w:hyperlink r:id="rId60">
        <w:r w:rsidRPr="00A63206">
          <w:rPr>
            <w:color w:val="1155CC"/>
            <w:sz w:val="20"/>
            <w:szCs w:val="20"/>
            <w:highlight w:val="white"/>
            <w:u w:val="single"/>
            <w:lang w:val="es-PA"/>
          </w:rPr>
          <w:t>https://www.refworld.org/es/ref/infortem/cdhonu/2015/es/107038</w:t>
        </w:r>
      </w:hyperlink>
      <w:r w:rsidRPr="00A63206">
        <w:rPr>
          <w:color w:val="000000"/>
          <w:sz w:val="20"/>
          <w:szCs w:val="20"/>
          <w:highlight w:val="white"/>
          <w:lang w:val="es-PA"/>
        </w:rPr>
        <w:t xml:space="preserve"> </w:t>
      </w:r>
    </w:p>
  </w:endnote>
  <w:endnote w:id="73">
    <w:p w14:paraId="11747ED2" w14:textId="77777777" w:rsidR="00A90270" w:rsidRPr="00A63206" w:rsidRDefault="00A90270" w:rsidP="0055550A">
      <w:pPr>
        <w:ind w:left="567"/>
        <w:jc w:val="both"/>
        <w:rPr>
          <w:sz w:val="20"/>
          <w:szCs w:val="20"/>
          <w:lang w:val="es-PA"/>
        </w:rPr>
      </w:pPr>
      <w:r>
        <w:rPr>
          <w:vertAlign w:val="superscript"/>
        </w:rPr>
        <w:endnoteRef/>
      </w:r>
      <w:r w:rsidRPr="00A63206">
        <w:rPr>
          <w:sz w:val="20"/>
          <w:szCs w:val="20"/>
          <w:lang w:val="es-PA"/>
        </w:rPr>
        <w:t xml:space="preserve"> Alemania, 2014 (CED/C/DEU/CO/1, para. 9); Montenegro, 2015 (CED/C/MNE/CO/1, para. 11); Bosnia y Herzegovina, 2016 (CED/C/BIH/CO/1, para. 14); Senegal, 2017 (CED/C/SEN/CO/1, para. 24); Bélgica, 2014</w:t>
      </w:r>
    </w:p>
    <w:p w14:paraId="3D3200E7" w14:textId="77777777" w:rsidR="00A90270" w:rsidRDefault="00A90270" w:rsidP="0055550A">
      <w:pPr>
        <w:ind w:left="567"/>
        <w:jc w:val="both"/>
        <w:rPr>
          <w:sz w:val="22"/>
          <w:szCs w:val="22"/>
        </w:rPr>
      </w:pPr>
      <w:r w:rsidRPr="00A63206">
        <w:rPr>
          <w:sz w:val="20"/>
          <w:szCs w:val="20"/>
          <w:lang w:val="es-PA"/>
        </w:rPr>
        <w:t xml:space="preserve">(CED/C/BEL/CO/1, para. 20); Túnez, 2016 (CED/C/TUN/CO/1, para. 19); Kazajstán, 2016 (CED/C/KAZ/CO/1, para. 14); Burkina Faso, 2016 (CED/C/BFA/CO/1, para. 20); Cuba, 2017(CED/C/CUB/CO/1, para. 16); Uruguay, 2013(CED/C/URY/CO/1, para. 14); Gabón, 2017 (CED/C/GAB/CO/1, para. 14); Honduras, 2018 (CED/C/HND/CO/1, para. </w:t>
      </w:r>
      <w:r>
        <w:rPr>
          <w:sz w:val="20"/>
          <w:szCs w:val="20"/>
        </w:rPr>
        <w:t>19); Chile, 2019 (CED/C/CHL/CO/1, para. 13).</w:t>
      </w:r>
    </w:p>
  </w:endnote>
  <w:endnote w:id="74">
    <w:p w14:paraId="425963C0" w14:textId="77777777" w:rsidR="00A90270" w:rsidRDefault="00A90270" w:rsidP="0055550A">
      <w:pPr>
        <w:pBdr>
          <w:top w:val="nil"/>
          <w:left w:val="nil"/>
          <w:bottom w:val="nil"/>
          <w:right w:val="nil"/>
          <w:between w:val="nil"/>
        </w:pBdr>
        <w:ind w:left="567"/>
        <w:jc w:val="both"/>
        <w:rPr>
          <w:color w:val="000000"/>
          <w:sz w:val="22"/>
          <w:szCs w:val="22"/>
        </w:rPr>
      </w:pPr>
      <w:r>
        <w:rPr>
          <w:vertAlign w:val="superscript"/>
        </w:rPr>
        <w:endnoteRef/>
      </w:r>
      <w:r>
        <w:rPr>
          <w:color w:val="000000"/>
          <w:sz w:val="20"/>
          <w:szCs w:val="20"/>
        </w:rPr>
        <w:t xml:space="preserve"> Norwegian Refugee Council, </w:t>
      </w:r>
      <w:r>
        <w:rPr>
          <w:i/>
          <w:color w:val="000000"/>
          <w:sz w:val="20"/>
          <w:szCs w:val="20"/>
        </w:rPr>
        <w:t>Legal guide to child's right in Iraq</w:t>
      </w:r>
      <w:r>
        <w:rPr>
          <w:color w:val="000000"/>
          <w:sz w:val="20"/>
          <w:szCs w:val="20"/>
        </w:rPr>
        <w:t xml:space="preserve">, </w:t>
      </w:r>
      <w:r>
        <w:rPr>
          <w:color w:val="000000"/>
          <w:sz w:val="20"/>
          <w:szCs w:val="20"/>
        </w:rPr>
        <w:t xml:space="preserve">pagina 91, Missing Fathers, disponible en: </w:t>
      </w:r>
      <w:hyperlink r:id="rId61">
        <w:r>
          <w:rPr>
            <w:color w:val="1155CC"/>
            <w:sz w:val="20"/>
            <w:szCs w:val="20"/>
            <w:u w:val="single"/>
          </w:rPr>
          <w:t>https://www.nrc.no/globalassets/pdf/guidelines/legal-protection-of-children/legal-guide-to-childs-rights-in-iraq-english.pdf</w:t>
        </w:r>
      </w:hyperlink>
      <w:r>
        <w:rPr>
          <w:color w:val="000000"/>
          <w:sz w:val="20"/>
          <w:szCs w:val="20"/>
        </w:rPr>
        <w:t xml:space="preserve">  </w:t>
      </w:r>
    </w:p>
  </w:endnote>
  <w:endnote w:id="75">
    <w:p w14:paraId="7A54A1AD" w14:textId="77777777" w:rsidR="00A90270" w:rsidRPr="00A63206" w:rsidRDefault="00A90270" w:rsidP="0055550A">
      <w:pPr>
        <w:pBdr>
          <w:top w:val="nil"/>
          <w:left w:val="nil"/>
          <w:bottom w:val="nil"/>
          <w:right w:val="nil"/>
          <w:between w:val="nil"/>
        </w:pBdr>
        <w:ind w:left="567"/>
        <w:jc w:val="both"/>
        <w:rPr>
          <w:color w:val="000000"/>
          <w:sz w:val="22"/>
          <w:szCs w:val="22"/>
          <w:lang w:val="es-PA"/>
        </w:rPr>
      </w:pPr>
      <w:r>
        <w:rPr>
          <w:vertAlign w:val="superscript"/>
        </w:rPr>
        <w:endnoteRef/>
      </w:r>
      <w:r w:rsidRPr="00A63206">
        <w:rPr>
          <w:color w:val="000000"/>
          <w:sz w:val="20"/>
          <w:szCs w:val="20"/>
          <w:lang w:val="es-PA"/>
        </w:rPr>
        <w:t>Artículo 23.1 de la Convención Internacional para la protección de todas las personas contra las desapariciones forzadas: Cada Estado Parte velará por que la formación del personal militar o civil encargado de la aplicación de la ley, del personal médico, de los funcionarios y de otras personas que puedan intervenir en la custodia o tratamiento de las personas privadas de libertad, incluya la enseñanza y la información necesarias sobre las disposiciones pertinentes de la presente Convención, a fin de: a ) Prevenir la participación de esos agentes en desapariciones forzadas; b ) Resaltar la importancia de la prevención y de las investigaciones en materia de desapariciones forzadas; c ) Velar por que se reconozca la urgencia de la resolución de los casos de desaparición forzada.</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mo">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3424C" w14:textId="77777777" w:rsidR="0016694D" w:rsidRDefault="0016694D">
    <w:pPr>
      <w:pBdr>
        <w:top w:val="nil"/>
        <w:left w:val="nil"/>
        <w:bottom w:val="nil"/>
        <w:right w:val="nil"/>
        <w:between w:val="nil"/>
      </w:pBdr>
      <w:tabs>
        <w:tab w:val="center" w:pos="4419"/>
        <w:tab w:val="right" w:pos="8818"/>
      </w:tabs>
      <w:jc w:val="center"/>
      <w:rPr>
        <w:color w:val="000000"/>
        <w:sz w:val="22"/>
        <w:szCs w:val="22"/>
      </w:rPr>
    </w:pPr>
    <w:r>
      <w:rPr>
        <w:color w:val="000000"/>
        <w:sz w:val="22"/>
        <w:szCs w:val="22"/>
      </w:rPr>
      <w:fldChar w:fldCharType="begin"/>
    </w:r>
    <w:r>
      <w:rPr>
        <w:color w:val="000000"/>
        <w:sz w:val="22"/>
        <w:szCs w:val="22"/>
      </w:rPr>
      <w:instrText>PAGE</w:instrText>
    </w:r>
    <w:r>
      <w:rPr>
        <w:color w:val="000000"/>
        <w:sz w:val="22"/>
        <w:szCs w:val="22"/>
      </w:rPr>
      <w:fldChar w:fldCharType="separate"/>
    </w:r>
    <w:r>
      <w:rPr>
        <w:noProof/>
        <w:color w:val="000000"/>
        <w:sz w:val="22"/>
        <w:szCs w:val="22"/>
      </w:rPr>
      <w:t>1</w:t>
    </w:r>
    <w:r>
      <w:rPr>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D6466" w14:textId="77777777" w:rsidR="00A90270" w:rsidRPr="00AC3823" w:rsidRDefault="00A90270" w:rsidP="00AC3823">
      <w:pPr>
        <w:pStyle w:val="Footer"/>
        <w:tabs>
          <w:tab w:val="right" w:pos="2155"/>
        </w:tabs>
        <w:spacing w:after="80" w:line="240" w:lineRule="atLeast"/>
        <w:ind w:left="680"/>
        <w:rPr>
          <w:u w:val="single"/>
        </w:rPr>
      </w:pPr>
      <w:r>
        <w:rPr>
          <w:u w:val="single"/>
        </w:rPr>
        <w:tab/>
      </w:r>
    </w:p>
  </w:footnote>
  <w:footnote w:type="continuationSeparator" w:id="0">
    <w:p w14:paraId="47FE1AE6" w14:textId="77777777" w:rsidR="00A90270" w:rsidRPr="00AC3823" w:rsidRDefault="00A90270" w:rsidP="00AC3823">
      <w:pPr>
        <w:pStyle w:val="Footer"/>
        <w:tabs>
          <w:tab w:val="right" w:pos="2155"/>
        </w:tabs>
        <w:spacing w:after="80" w:line="240" w:lineRule="atLeast"/>
        <w:ind w:left="680"/>
        <w:rPr>
          <w:u w:val="single"/>
        </w:rPr>
      </w:pPr>
      <w:r>
        <w:rPr>
          <w:u w:val="single"/>
        </w:rPr>
        <w:tab/>
      </w:r>
    </w:p>
  </w:footnote>
  <w:footnote w:type="continuationNotice" w:id="1">
    <w:p w14:paraId="064BF3C6" w14:textId="77777777" w:rsidR="00A90270" w:rsidRPr="00AC3823" w:rsidRDefault="00A90270">
      <w:pPr>
        <w:rPr>
          <w:sz w:val="2"/>
          <w:szCs w:val="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B5D64" w14:textId="77777777" w:rsidR="0016694D" w:rsidRDefault="0016694D">
    <w:pPr>
      <w:pBdr>
        <w:top w:val="nil"/>
        <w:left w:val="nil"/>
        <w:bottom w:val="nil"/>
        <w:right w:val="nil"/>
        <w:between w:val="nil"/>
      </w:pBdr>
      <w:tabs>
        <w:tab w:val="right" w:pos="9020"/>
      </w:tabs>
      <w:rPr>
        <w:rFonts w:ascii="Helvetica Neue" w:eastAsia="Helvetica Neue" w:hAnsi="Helvetica Neue" w:cs="Helvetica Neue"/>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34EEA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0844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D5003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44CBCB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4A6243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9AED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A9AA6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1AE61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45C69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B0402C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954887"/>
    <w:multiLevelType w:val="hybridMultilevel"/>
    <w:tmpl w:val="5A48E46A"/>
    <w:lvl w:ilvl="0" w:tplc="F560206C">
      <w:start w:val="1"/>
      <w:numFmt w:val="decimal"/>
      <w:pStyle w:val="ParNoG"/>
      <w:lvlText w:val="%1."/>
      <w:lvlJc w:val="left"/>
      <w:pPr>
        <w:tabs>
          <w:tab w:val="num" w:pos="1701"/>
        </w:tabs>
        <w:ind w:left="1134" w:firstLine="0"/>
      </w:pPr>
      <w:rPr>
        <w:rFonts w:ascii="Times New Roman" w:hAnsi="Times New Roman" w:hint="default"/>
        <w:b w:val="0"/>
        <w:i w:val="0"/>
        <w:sz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1" w15:restartNumberingAfterBreak="0">
    <w:nsid w:val="10E007F7"/>
    <w:multiLevelType w:val="hybridMultilevel"/>
    <w:tmpl w:val="C8EED07C"/>
    <w:lvl w:ilvl="0" w:tplc="DA1609F8">
      <w:start w:val="1"/>
      <w:numFmt w:val="decimal"/>
      <w:lvlText w:val="%1."/>
      <w:lvlJc w:val="left"/>
      <w:pPr>
        <w:ind w:left="1854" w:hanging="360"/>
      </w:pPr>
      <w:rPr>
        <w:b w:val="0"/>
        <w:bCs/>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2" w15:restartNumberingAfterBreak="0">
    <w:nsid w:val="2BEF3CB2"/>
    <w:multiLevelType w:val="multilevel"/>
    <w:tmpl w:val="934E7AD6"/>
    <w:lvl w:ilvl="0">
      <w:start w:val="2"/>
      <w:numFmt w:val="upperRoman"/>
      <w:lvlText w:val="%1."/>
      <w:lvlJc w:val="left"/>
      <w:pPr>
        <w:ind w:left="1855" w:hanging="720"/>
      </w:pPr>
      <w:rPr>
        <w:b/>
        <w:smallCaps w:val="0"/>
        <w:strike w:val="0"/>
        <w:shd w:val="clear" w:color="auto" w:fill="auto"/>
        <w:vertAlign w:val="baseline"/>
      </w:rPr>
    </w:lvl>
    <w:lvl w:ilvl="1">
      <w:start w:val="1"/>
      <w:numFmt w:val="lowerLetter"/>
      <w:lvlText w:val="%2."/>
      <w:lvlJc w:val="left"/>
      <w:pPr>
        <w:ind w:left="1440" w:hanging="360"/>
      </w:pPr>
      <w:rPr>
        <w:b/>
        <w:smallCaps w:val="0"/>
        <w:strike w:val="0"/>
        <w:shd w:val="clear" w:color="auto" w:fill="auto"/>
        <w:vertAlign w:val="baseline"/>
      </w:rPr>
    </w:lvl>
    <w:lvl w:ilvl="2">
      <w:start w:val="1"/>
      <w:numFmt w:val="lowerRoman"/>
      <w:lvlText w:val="%3."/>
      <w:lvlJc w:val="left"/>
      <w:pPr>
        <w:ind w:left="2160" w:hanging="290"/>
      </w:pPr>
      <w:rPr>
        <w:b/>
        <w:smallCaps w:val="0"/>
        <w:strike w:val="0"/>
        <w:shd w:val="clear" w:color="auto" w:fill="auto"/>
        <w:vertAlign w:val="baseline"/>
      </w:rPr>
    </w:lvl>
    <w:lvl w:ilvl="3">
      <w:start w:val="1"/>
      <w:numFmt w:val="decimal"/>
      <w:lvlText w:val="%4."/>
      <w:lvlJc w:val="left"/>
      <w:pPr>
        <w:ind w:left="2880" w:hanging="360"/>
      </w:pPr>
      <w:rPr>
        <w:b/>
        <w:smallCaps w:val="0"/>
        <w:strike w:val="0"/>
        <w:shd w:val="clear" w:color="auto" w:fill="auto"/>
        <w:vertAlign w:val="baseline"/>
      </w:rPr>
    </w:lvl>
    <w:lvl w:ilvl="4">
      <w:start w:val="1"/>
      <w:numFmt w:val="lowerLetter"/>
      <w:lvlText w:val="%5."/>
      <w:lvlJc w:val="left"/>
      <w:pPr>
        <w:ind w:left="3600" w:hanging="360"/>
      </w:pPr>
      <w:rPr>
        <w:b/>
        <w:smallCaps w:val="0"/>
        <w:strike w:val="0"/>
        <w:shd w:val="clear" w:color="auto" w:fill="auto"/>
        <w:vertAlign w:val="baseline"/>
      </w:rPr>
    </w:lvl>
    <w:lvl w:ilvl="5">
      <w:start w:val="1"/>
      <w:numFmt w:val="lowerRoman"/>
      <w:lvlText w:val="%6."/>
      <w:lvlJc w:val="left"/>
      <w:pPr>
        <w:ind w:left="4320" w:hanging="290"/>
      </w:pPr>
      <w:rPr>
        <w:b/>
        <w:smallCaps w:val="0"/>
        <w:strike w:val="0"/>
        <w:shd w:val="clear" w:color="auto" w:fill="auto"/>
        <w:vertAlign w:val="baseline"/>
      </w:rPr>
    </w:lvl>
    <w:lvl w:ilvl="6">
      <w:start w:val="1"/>
      <w:numFmt w:val="decimal"/>
      <w:lvlText w:val="%7."/>
      <w:lvlJc w:val="left"/>
      <w:pPr>
        <w:ind w:left="5040" w:hanging="360"/>
      </w:pPr>
      <w:rPr>
        <w:b/>
        <w:smallCaps w:val="0"/>
        <w:strike w:val="0"/>
        <w:shd w:val="clear" w:color="auto" w:fill="auto"/>
        <w:vertAlign w:val="baseline"/>
      </w:rPr>
    </w:lvl>
    <w:lvl w:ilvl="7">
      <w:start w:val="1"/>
      <w:numFmt w:val="lowerLetter"/>
      <w:lvlText w:val="%8."/>
      <w:lvlJc w:val="left"/>
      <w:pPr>
        <w:ind w:left="5760" w:hanging="360"/>
      </w:pPr>
      <w:rPr>
        <w:b/>
        <w:smallCaps w:val="0"/>
        <w:strike w:val="0"/>
        <w:shd w:val="clear" w:color="auto" w:fill="auto"/>
        <w:vertAlign w:val="baseline"/>
      </w:rPr>
    </w:lvl>
    <w:lvl w:ilvl="8">
      <w:start w:val="1"/>
      <w:numFmt w:val="lowerRoman"/>
      <w:lvlText w:val="%9."/>
      <w:lvlJc w:val="left"/>
      <w:pPr>
        <w:ind w:left="6480" w:hanging="290"/>
      </w:pPr>
      <w:rPr>
        <w:b/>
        <w:smallCaps w:val="0"/>
        <w:strike w:val="0"/>
        <w:shd w:val="clear" w:color="auto" w:fill="auto"/>
        <w:vertAlign w:val="baseline"/>
      </w:rPr>
    </w:lvl>
  </w:abstractNum>
  <w:abstractNum w:abstractNumId="13" w15:restartNumberingAfterBreak="0">
    <w:nsid w:val="3ACF4EB2"/>
    <w:multiLevelType w:val="hybridMultilevel"/>
    <w:tmpl w:val="3F2CCC0E"/>
    <w:lvl w:ilvl="0" w:tplc="78607ACC">
      <w:start w:val="1"/>
      <w:numFmt w:val="bullet"/>
      <w:pStyle w:val="Bullet2G"/>
      <w:lvlText w:val="•"/>
      <w:lvlJc w:val="left"/>
      <w:pPr>
        <w:tabs>
          <w:tab w:val="num" w:pos="2268"/>
        </w:tabs>
        <w:ind w:left="2268" w:hanging="170"/>
      </w:pPr>
      <w:rPr>
        <w:rFonts w:ascii="Times New Roman" w:hAnsi="Times New Roman" w:cs="Times New Roman" w:hint="default"/>
      </w:rPr>
    </w:lvl>
    <w:lvl w:ilvl="1" w:tplc="040C0003" w:tentative="1">
      <w:start w:val="1"/>
      <w:numFmt w:val="bullet"/>
      <w:lvlText w:val="o"/>
      <w:lvlJc w:val="left"/>
      <w:pPr>
        <w:tabs>
          <w:tab w:val="num" w:pos="3708"/>
        </w:tabs>
        <w:ind w:left="3708" w:hanging="360"/>
      </w:pPr>
      <w:rPr>
        <w:rFonts w:ascii="Courier New" w:hAnsi="Courier New" w:hint="default"/>
      </w:rPr>
    </w:lvl>
    <w:lvl w:ilvl="2" w:tplc="040C0005" w:tentative="1">
      <w:start w:val="1"/>
      <w:numFmt w:val="bullet"/>
      <w:lvlText w:val=""/>
      <w:lvlJc w:val="left"/>
      <w:pPr>
        <w:tabs>
          <w:tab w:val="num" w:pos="4428"/>
        </w:tabs>
        <w:ind w:left="4428" w:hanging="360"/>
      </w:pPr>
      <w:rPr>
        <w:rFonts w:ascii="Wingdings" w:hAnsi="Wingdings" w:hint="default"/>
      </w:rPr>
    </w:lvl>
    <w:lvl w:ilvl="3" w:tplc="040C0001" w:tentative="1">
      <w:start w:val="1"/>
      <w:numFmt w:val="bullet"/>
      <w:lvlText w:val=""/>
      <w:lvlJc w:val="left"/>
      <w:pPr>
        <w:tabs>
          <w:tab w:val="num" w:pos="5148"/>
        </w:tabs>
        <w:ind w:left="5148" w:hanging="360"/>
      </w:pPr>
      <w:rPr>
        <w:rFonts w:ascii="Symbol" w:hAnsi="Symbol" w:hint="default"/>
      </w:rPr>
    </w:lvl>
    <w:lvl w:ilvl="4" w:tplc="040C0003" w:tentative="1">
      <w:start w:val="1"/>
      <w:numFmt w:val="bullet"/>
      <w:lvlText w:val="o"/>
      <w:lvlJc w:val="left"/>
      <w:pPr>
        <w:tabs>
          <w:tab w:val="num" w:pos="5868"/>
        </w:tabs>
        <w:ind w:left="5868" w:hanging="360"/>
      </w:pPr>
      <w:rPr>
        <w:rFonts w:ascii="Courier New" w:hAnsi="Courier New" w:hint="default"/>
      </w:rPr>
    </w:lvl>
    <w:lvl w:ilvl="5" w:tplc="040C0005" w:tentative="1">
      <w:start w:val="1"/>
      <w:numFmt w:val="bullet"/>
      <w:lvlText w:val=""/>
      <w:lvlJc w:val="left"/>
      <w:pPr>
        <w:tabs>
          <w:tab w:val="num" w:pos="6588"/>
        </w:tabs>
        <w:ind w:left="6588" w:hanging="360"/>
      </w:pPr>
      <w:rPr>
        <w:rFonts w:ascii="Wingdings" w:hAnsi="Wingdings" w:hint="default"/>
      </w:rPr>
    </w:lvl>
    <w:lvl w:ilvl="6" w:tplc="040C0001" w:tentative="1">
      <w:start w:val="1"/>
      <w:numFmt w:val="bullet"/>
      <w:lvlText w:val=""/>
      <w:lvlJc w:val="left"/>
      <w:pPr>
        <w:tabs>
          <w:tab w:val="num" w:pos="7308"/>
        </w:tabs>
        <w:ind w:left="7308" w:hanging="360"/>
      </w:pPr>
      <w:rPr>
        <w:rFonts w:ascii="Symbol" w:hAnsi="Symbol" w:hint="default"/>
      </w:rPr>
    </w:lvl>
    <w:lvl w:ilvl="7" w:tplc="040C0003" w:tentative="1">
      <w:start w:val="1"/>
      <w:numFmt w:val="bullet"/>
      <w:lvlText w:val="o"/>
      <w:lvlJc w:val="left"/>
      <w:pPr>
        <w:tabs>
          <w:tab w:val="num" w:pos="8028"/>
        </w:tabs>
        <w:ind w:left="8028" w:hanging="360"/>
      </w:pPr>
      <w:rPr>
        <w:rFonts w:ascii="Courier New" w:hAnsi="Courier New" w:hint="default"/>
      </w:rPr>
    </w:lvl>
    <w:lvl w:ilvl="8" w:tplc="040C0005" w:tentative="1">
      <w:start w:val="1"/>
      <w:numFmt w:val="bullet"/>
      <w:lvlText w:val=""/>
      <w:lvlJc w:val="left"/>
      <w:pPr>
        <w:tabs>
          <w:tab w:val="num" w:pos="8748"/>
        </w:tabs>
        <w:ind w:left="8748" w:hanging="360"/>
      </w:pPr>
      <w:rPr>
        <w:rFonts w:ascii="Wingdings" w:hAnsi="Wingdings" w:hint="default"/>
      </w:rPr>
    </w:lvl>
  </w:abstractNum>
  <w:abstractNum w:abstractNumId="14" w15:restartNumberingAfterBreak="0">
    <w:nsid w:val="4F367E1E"/>
    <w:multiLevelType w:val="multilevel"/>
    <w:tmpl w:val="4DAAEF5C"/>
    <w:lvl w:ilvl="0">
      <w:start w:val="1"/>
      <w:numFmt w:val="upperRoman"/>
      <w:lvlText w:val="%1."/>
      <w:lvlJc w:val="left"/>
      <w:pPr>
        <w:ind w:left="1855" w:hanging="720"/>
      </w:pPr>
      <w:rPr>
        <w:b/>
        <w:smallCaps w:val="0"/>
        <w:strike w:val="0"/>
        <w:shd w:val="clear" w:color="auto" w:fill="auto"/>
        <w:vertAlign w:val="baseline"/>
      </w:rPr>
    </w:lvl>
    <w:lvl w:ilvl="1">
      <w:start w:val="1"/>
      <w:numFmt w:val="lowerLetter"/>
      <w:lvlText w:val="%2."/>
      <w:lvlJc w:val="left"/>
      <w:pPr>
        <w:ind w:left="1440" w:hanging="360"/>
      </w:pPr>
      <w:rPr>
        <w:b/>
        <w:smallCaps w:val="0"/>
        <w:strike w:val="0"/>
        <w:shd w:val="clear" w:color="auto" w:fill="auto"/>
        <w:vertAlign w:val="baseline"/>
      </w:rPr>
    </w:lvl>
    <w:lvl w:ilvl="2">
      <w:start w:val="1"/>
      <w:numFmt w:val="lowerRoman"/>
      <w:lvlText w:val="%3."/>
      <w:lvlJc w:val="left"/>
      <w:pPr>
        <w:ind w:left="2160" w:hanging="290"/>
      </w:pPr>
      <w:rPr>
        <w:b/>
        <w:smallCaps w:val="0"/>
        <w:strike w:val="0"/>
        <w:shd w:val="clear" w:color="auto" w:fill="auto"/>
        <w:vertAlign w:val="baseline"/>
      </w:rPr>
    </w:lvl>
    <w:lvl w:ilvl="3">
      <w:start w:val="1"/>
      <w:numFmt w:val="decimal"/>
      <w:lvlText w:val="%4."/>
      <w:lvlJc w:val="left"/>
      <w:pPr>
        <w:ind w:left="2880" w:hanging="360"/>
      </w:pPr>
      <w:rPr>
        <w:b/>
        <w:smallCaps w:val="0"/>
        <w:strike w:val="0"/>
        <w:shd w:val="clear" w:color="auto" w:fill="auto"/>
        <w:vertAlign w:val="baseline"/>
      </w:rPr>
    </w:lvl>
    <w:lvl w:ilvl="4">
      <w:start w:val="1"/>
      <w:numFmt w:val="lowerLetter"/>
      <w:lvlText w:val="%5."/>
      <w:lvlJc w:val="left"/>
      <w:pPr>
        <w:ind w:left="3600" w:hanging="360"/>
      </w:pPr>
      <w:rPr>
        <w:b/>
        <w:smallCaps w:val="0"/>
        <w:strike w:val="0"/>
        <w:shd w:val="clear" w:color="auto" w:fill="auto"/>
        <w:vertAlign w:val="baseline"/>
      </w:rPr>
    </w:lvl>
    <w:lvl w:ilvl="5">
      <w:start w:val="1"/>
      <w:numFmt w:val="lowerRoman"/>
      <w:lvlText w:val="%6."/>
      <w:lvlJc w:val="left"/>
      <w:pPr>
        <w:ind w:left="4320" w:hanging="290"/>
      </w:pPr>
      <w:rPr>
        <w:b/>
        <w:smallCaps w:val="0"/>
        <w:strike w:val="0"/>
        <w:shd w:val="clear" w:color="auto" w:fill="auto"/>
        <w:vertAlign w:val="baseline"/>
      </w:rPr>
    </w:lvl>
    <w:lvl w:ilvl="6">
      <w:start w:val="1"/>
      <w:numFmt w:val="decimal"/>
      <w:lvlText w:val="%7."/>
      <w:lvlJc w:val="left"/>
      <w:pPr>
        <w:ind w:left="5040" w:hanging="360"/>
      </w:pPr>
      <w:rPr>
        <w:b/>
        <w:smallCaps w:val="0"/>
        <w:strike w:val="0"/>
        <w:shd w:val="clear" w:color="auto" w:fill="auto"/>
        <w:vertAlign w:val="baseline"/>
      </w:rPr>
    </w:lvl>
    <w:lvl w:ilvl="7">
      <w:start w:val="1"/>
      <w:numFmt w:val="lowerLetter"/>
      <w:lvlText w:val="%8."/>
      <w:lvlJc w:val="left"/>
      <w:pPr>
        <w:ind w:left="5760" w:hanging="360"/>
      </w:pPr>
      <w:rPr>
        <w:b/>
        <w:smallCaps w:val="0"/>
        <w:strike w:val="0"/>
        <w:shd w:val="clear" w:color="auto" w:fill="auto"/>
        <w:vertAlign w:val="baseline"/>
      </w:rPr>
    </w:lvl>
    <w:lvl w:ilvl="8">
      <w:start w:val="1"/>
      <w:numFmt w:val="lowerRoman"/>
      <w:lvlText w:val="%9."/>
      <w:lvlJc w:val="left"/>
      <w:pPr>
        <w:ind w:left="6480" w:hanging="290"/>
      </w:pPr>
      <w:rPr>
        <w:b/>
        <w:smallCaps w:val="0"/>
        <w:strike w:val="0"/>
        <w:shd w:val="clear" w:color="auto" w:fill="auto"/>
        <w:vertAlign w:val="baseline"/>
      </w:rPr>
    </w:lvl>
  </w:abstractNum>
  <w:abstractNum w:abstractNumId="15" w15:restartNumberingAfterBreak="0">
    <w:nsid w:val="63C95284"/>
    <w:multiLevelType w:val="hybridMultilevel"/>
    <w:tmpl w:val="B4A01022"/>
    <w:lvl w:ilvl="0" w:tplc="A7C84148">
      <w:start w:val="1"/>
      <w:numFmt w:val="decimal"/>
      <w:lvlText w:val="%1."/>
      <w:lvlJc w:val="left"/>
      <w:pPr>
        <w:ind w:left="1854" w:hanging="360"/>
      </w:pPr>
      <w:rPr>
        <w:rFonts w:hint="default"/>
      </w:rPr>
    </w:lvl>
    <w:lvl w:ilvl="1" w:tplc="040C0019" w:tentative="1">
      <w:start w:val="1"/>
      <w:numFmt w:val="lowerLetter"/>
      <w:lvlText w:val="%2."/>
      <w:lvlJc w:val="left"/>
      <w:pPr>
        <w:ind w:left="1440" w:hanging="360"/>
      </w:pPr>
    </w:lvl>
    <w:lvl w:ilvl="2" w:tplc="6FAEC2A8">
      <w:start w:val="1"/>
      <w:numFmt w:val="decimal"/>
      <w:lvlText w:val="%3."/>
      <w:lvlJc w:val="lef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68AD07B2"/>
    <w:multiLevelType w:val="hybridMultilevel"/>
    <w:tmpl w:val="D7D47906"/>
    <w:lvl w:ilvl="0" w:tplc="3B64B33E">
      <w:start w:val="1"/>
      <w:numFmt w:val="bullet"/>
      <w:pStyle w:val="Bullet1G"/>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3141"/>
        </w:tabs>
        <w:ind w:left="3141" w:hanging="360"/>
      </w:pPr>
      <w:rPr>
        <w:rFonts w:ascii="Courier New" w:hAnsi="Courier New" w:hint="default"/>
      </w:rPr>
    </w:lvl>
    <w:lvl w:ilvl="2" w:tplc="040C0005" w:tentative="1">
      <w:start w:val="1"/>
      <w:numFmt w:val="bullet"/>
      <w:lvlText w:val=""/>
      <w:lvlJc w:val="left"/>
      <w:pPr>
        <w:tabs>
          <w:tab w:val="num" w:pos="3861"/>
        </w:tabs>
        <w:ind w:left="3861" w:hanging="360"/>
      </w:pPr>
      <w:rPr>
        <w:rFonts w:ascii="Wingdings" w:hAnsi="Wingdings" w:hint="default"/>
      </w:rPr>
    </w:lvl>
    <w:lvl w:ilvl="3" w:tplc="040C0001" w:tentative="1">
      <w:start w:val="1"/>
      <w:numFmt w:val="bullet"/>
      <w:lvlText w:val=""/>
      <w:lvlJc w:val="left"/>
      <w:pPr>
        <w:tabs>
          <w:tab w:val="num" w:pos="4581"/>
        </w:tabs>
        <w:ind w:left="4581" w:hanging="360"/>
      </w:pPr>
      <w:rPr>
        <w:rFonts w:ascii="Symbol" w:hAnsi="Symbol" w:hint="default"/>
      </w:rPr>
    </w:lvl>
    <w:lvl w:ilvl="4" w:tplc="040C0003" w:tentative="1">
      <w:start w:val="1"/>
      <w:numFmt w:val="bullet"/>
      <w:lvlText w:val="o"/>
      <w:lvlJc w:val="left"/>
      <w:pPr>
        <w:tabs>
          <w:tab w:val="num" w:pos="5301"/>
        </w:tabs>
        <w:ind w:left="5301" w:hanging="360"/>
      </w:pPr>
      <w:rPr>
        <w:rFonts w:ascii="Courier New" w:hAnsi="Courier New" w:hint="default"/>
      </w:rPr>
    </w:lvl>
    <w:lvl w:ilvl="5" w:tplc="040C0005" w:tentative="1">
      <w:start w:val="1"/>
      <w:numFmt w:val="bullet"/>
      <w:lvlText w:val=""/>
      <w:lvlJc w:val="left"/>
      <w:pPr>
        <w:tabs>
          <w:tab w:val="num" w:pos="6021"/>
        </w:tabs>
        <w:ind w:left="6021" w:hanging="360"/>
      </w:pPr>
      <w:rPr>
        <w:rFonts w:ascii="Wingdings" w:hAnsi="Wingdings" w:hint="default"/>
      </w:rPr>
    </w:lvl>
    <w:lvl w:ilvl="6" w:tplc="040C0001" w:tentative="1">
      <w:start w:val="1"/>
      <w:numFmt w:val="bullet"/>
      <w:lvlText w:val=""/>
      <w:lvlJc w:val="left"/>
      <w:pPr>
        <w:tabs>
          <w:tab w:val="num" w:pos="6741"/>
        </w:tabs>
        <w:ind w:left="6741" w:hanging="360"/>
      </w:pPr>
      <w:rPr>
        <w:rFonts w:ascii="Symbol" w:hAnsi="Symbol" w:hint="default"/>
      </w:rPr>
    </w:lvl>
    <w:lvl w:ilvl="7" w:tplc="040C0003" w:tentative="1">
      <w:start w:val="1"/>
      <w:numFmt w:val="bullet"/>
      <w:lvlText w:val="o"/>
      <w:lvlJc w:val="left"/>
      <w:pPr>
        <w:tabs>
          <w:tab w:val="num" w:pos="7461"/>
        </w:tabs>
        <w:ind w:left="7461" w:hanging="360"/>
      </w:pPr>
      <w:rPr>
        <w:rFonts w:ascii="Courier New" w:hAnsi="Courier New" w:hint="default"/>
      </w:rPr>
    </w:lvl>
    <w:lvl w:ilvl="8" w:tplc="040C0005" w:tentative="1">
      <w:start w:val="1"/>
      <w:numFmt w:val="bullet"/>
      <w:lvlText w:val=""/>
      <w:lvlJc w:val="left"/>
      <w:pPr>
        <w:tabs>
          <w:tab w:val="num" w:pos="8181"/>
        </w:tabs>
        <w:ind w:left="8181" w:hanging="360"/>
      </w:pPr>
      <w:rPr>
        <w:rFonts w:ascii="Wingdings" w:hAnsi="Wingdings" w:hint="default"/>
      </w:rPr>
    </w:lvl>
  </w:abstractNum>
  <w:num w:numId="1" w16cid:durableId="490413427">
    <w:abstractNumId w:val="16"/>
  </w:num>
  <w:num w:numId="2" w16cid:durableId="629475564">
    <w:abstractNumId w:val="13"/>
  </w:num>
  <w:num w:numId="3" w16cid:durableId="28847296">
    <w:abstractNumId w:val="10"/>
  </w:num>
  <w:num w:numId="4" w16cid:durableId="1966151991">
    <w:abstractNumId w:val="8"/>
  </w:num>
  <w:num w:numId="5" w16cid:durableId="1519389785">
    <w:abstractNumId w:val="3"/>
  </w:num>
  <w:num w:numId="6" w16cid:durableId="1761364730">
    <w:abstractNumId w:val="2"/>
  </w:num>
  <w:num w:numId="7" w16cid:durableId="370304330">
    <w:abstractNumId w:val="1"/>
  </w:num>
  <w:num w:numId="8" w16cid:durableId="455492928">
    <w:abstractNumId w:val="0"/>
  </w:num>
  <w:num w:numId="9" w16cid:durableId="2088185613">
    <w:abstractNumId w:val="9"/>
  </w:num>
  <w:num w:numId="10" w16cid:durableId="2053772807">
    <w:abstractNumId w:val="7"/>
  </w:num>
  <w:num w:numId="11" w16cid:durableId="910969610">
    <w:abstractNumId w:val="6"/>
  </w:num>
  <w:num w:numId="12" w16cid:durableId="1500274381">
    <w:abstractNumId w:val="5"/>
  </w:num>
  <w:num w:numId="13" w16cid:durableId="137580470">
    <w:abstractNumId w:val="4"/>
  </w:num>
  <w:num w:numId="14" w16cid:durableId="1380978142">
    <w:abstractNumId w:val="15"/>
  </w:num>
  <w:num w:numId="15" w16cid:durableId="1319771572">
    <w:abstractNumId w:val="10"/>
  </w:num>
  <w:num w:numId="16" w16cid:durableId="1418019010">
    <w:abstractNumId w:val="14"/>
  </w:num>
  <w:num w:numId="17" w16cid:durableId="1163862093">
    <w:abstractNumId w:val="12"/>
  </w:num>
  <w:num w:numId="18" w16cid:durableId="19177889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567"/>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270"/>
    <w:rsid w:val="00017F94"/>
    <w:rsid w:val="00023842"/>
    <w:rsid w:val="000334F9"/>
    <w:rsid w:val="0006655B"/>
    <w:rsid w:val="0007796D"/>
    <w:rsid w:val="000A57A8"/>
    <w:rsid w:val="000B7790"/>
    <w:rsid w:val="000C390E"/>
    <w:rsid w:val="00111F2F"/>
    <w:rsid w:val="0014365E"/>
    <w:rsid w:val="0014660A"/>
    <w:rsid w:val="00150DB2"/>
    <w:rsid w:val="0016694D"/>
    <w:rsid w:val="00176178"/>
    <w:rsid w:val="001A0FBE"/>
    <w:rsid w:val="001A6D3B"/>
    <w:rsid w:val="001F525A"/>
    <w:rsid w:val="00223272"/>
    <w:rsid w:val="0024779E"/>
    <w:rsid w:val="00271A0E"/>
    <w:rsid w:val="00291F1D"/>
    <w:rsid w:val="0029407C"/>
    <w:rsid w:val="002E635D"/>
    <w:rsid w:val="00350987"/>
    <w:rsid w:val="00353ED5"/>
    <w:rsid w:val="00375653"/>
    <w:rsid w:val="00382A1F"/>
    <w:rsid w:val="00390178"/>
    <w:rsid w:val="003B7CEC"/>
    <w:rsid w:val="003D1AD0"/>
    <w:rsid w:val="00404047"/>
    <w:rsid w:val="00437C73"/>
    <w:rsid w:val="00446FE5"/>
    <w:rsid w:val="00452396"/>
    <w:rsid w:val="004D1CEB"/>
    <w:rsid w:val="0050016E"/>
    <w:rsid w:val="00515311"/>
    <w:rsid w:val="005505B7"/>
    <w:rsid w:val="0055550A"/>
    <w:rsid w:val="005706C8"/>
    <w:rsid w:val="00573BE5"/>
    <w:rsid w:val="00586ED3"/>
    <w:rsid w:val="00596AA9"/>
    <w:rsid w:val="005D702F"/>
    <w:rsid w:val="006122C4"/>
    <w:rsid w:val="00650ABC"/>
    <w:rsid w:val="006871F1"/>
    <w:rsid w:val="006D03F3"/>
    <w:rsid w:val="006E13EA"/>
    <w:rsid w:val="006E2C9B"/>
    <w:rsid w:val="006F3606"/>
    <w:rsid w:val="0071601D"/>
    <w:rsid w:val="00741234"/>
    <w:rsid w:val="0076624F"/>
    <w:rsid w:val="00766CEC"/>
    <w:rsid w:val="00770252"/>
    <w:rsid w:val="007A62E6"/>
    <w:rsid w:val="0080684C"/>
    <w:rsid w:val="008126A3"/>
    <w:rsid w:val="00815502"/>
    <w:rsid w:val="00845D2D"/>
    <w:rsid w:val="00871C75"/>
    <w:rsid w:val="00873C28"/>
    <w:rsid w:val="008776DC"/>
    <w:rsid w:val="008F2A1D"/>
    <w:rsid w:val="0091088A"/>
    <w:rsid w:val="00910E71"/>
    <w:rsid w:val="009111F9"/>
    <w:rsid w:val="00957790"/>
    <w:rsid w:val="009705C8"/>
    <w:rsid w:val="009973E9"/>
    <w:rsid w:val="00A12AB5"/>
    <w:rsid w:val="00A90270"/>
    <w:rsid w:val="00AC3823"/>
    <w:rsid w:val="00AE323C"/>
    <w:rsid w:val="00AE7D9F"/>
    <w:rsid w:val="00B00181"/>
    <w:rsid w:val="00B15F41"/>
    <w:rsid w:val="00B43C66"/>
    <w:rsid w:val="00B55090"/>
    <w:rsid w:val="00B765F7"/>
    <w:rsid w:val="00BA0CA9"/>
    <w:rsid w:val="00BB3E59"/>
    <w:rsid w:val="00BC3699"/>
    <w:rsid w:val="00BE1F4C"/>
    <w:rsid w:val="00BE4745"/>
    <w:rsid w:val="00BE561F"/>
    <w:rsid w:val="00BF3C2C"/>
    <w:rsid w:val="00C02897"/>
    <w:rsid w:val="00CF3AE1"/>
    <w:rsid w:val="00D3439C"/>
    <w:rsid w:val="00D36445"/>
    <w:rsid w:val="00D40AEB"/>
    <w:rsid w:val="00DA22F4"/>
    <w:rsid w:val="00DB1831"/>
    <w:rsid w:val="00DD3BFD"/>
    <w:rsid w:val="00DF593E"/>
    <w:rsid w:val="00DF6678"/>
    <w:rsid w:val="00E22CF2"/>
    <w:rsid w:val="00E33F14"/>
    <w:rsid w:val="00E44A12"/>
    <w:rsid w:val="00E52D9F"/>
    <w:rsid w:val="00ED5584"/>
    <w:rsid w:val="00F112EE"/>
    <w:rsid w:val="00F12269"/>
    <w:rsid w:val="00F164B0"/>
    <w:rsid w:val="00F341D1"/>
    <w:rsid w:val="00F660DF"/>
    <w:rsid w:val="00F76174"/>
    <w:rsid w:val="00F80094"/>
    <w:rsid w:val="00F95C08"/>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6E40D"/>
  <w15:chartTrackingRefBased/>
  <w15:docId w15:val="{C4BA5EF6-7D62-4F57-A3EA-F7CD5CA61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lang w:val="fr-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0270"/>
    <w:rPr>
      <w:rFonts w:eastAsia="Times New Roman"/>
      <w:kern w:val="0"/>
      <w:sz w:val="24"/>
      <w:szCs w:val="24"/>
      <w:lang w:val="en-US"/>
      <w14:ligatures w14:val="none"/>
    </w:rPr>
  </w:style>
  <w:style w:type="paragraph" w:styleId="Heading1">
    <w:name w:val="heading 1"/>
    <w:aliases w:val="Table_G"/>
    <w:basedOn w:val="SingleTxtG"/>
    <w:next w:val="SingleTxtG"/>
    <w:link w:val="Heading1Char"/>
    <w:qFormat/>
    <w:rsid w:val="0080684C"/>
    <w:pPr>
      <w:keepNext/>
      <w:keepLines/>
      <w:spacing w:after="0"/>
      <w:ind w:right="0"/>
      <w:jc w:val="left"/>
      <w:outlineLvl w:val="0"/>
    </w:pPr>
  </w:style>
  <w:style w:type="paragraph" w:styleId="Heading2">
    <w:name w:val="heading 2"/>
    <w:basedOn w:val="Normal"/>
    <w:next w:val="Normal"/>
    <w:link w:val="Heading2Char"/>
    <w:semiHidden/>
    <w:qFormat/>
    <w:rsid w:val="00023842"/>
    <w:pPr>
      <w:outlineLvl w:val="1"/>
    </w:pPr>
  </w:style>
  <w:style w:type="paragraph" w:styleId="Heading3">
    <w:name w:val="heading 3"/>
    <w:basedOn w:val="Normal"/>
    <w:next w:val="Normal"/>
    <w:link w:val="Heading3Char"/>
    <w:semiHidden/>
    <w:qFormat/>
    <w:rsid w:val="00023842"/>
    <w:pPr>
      <w:outlineLvl w:val="2"/>
    </w:pPr>
  </w:style>
  <w:style w:type="paragraph" w:styleId="Heading4">
    <w:name w:val="heading 4"/>
    <w:basedOn w:val="Normal"/>
    <w:next w:val="Normal"/>
    <w:link w:val="Heading4Char"/>
    <w:semiHidden/>
    <w:qFormat/>
    <w:rsid w:val="00023842"/>
    <w:pPr>
      <w:outlineLvl w:val="3"/>
    </w:pPr>
  </w:style>
  <w:style w:type="paragraph" w:styleId="Heading5">
    <w:name w:val="heading 5"/>
    <w:basedOn w:val="Normal"/>
    <w:next w:val="Normal"/>
    <w:link w:val="Heading5Char"/>
    <w:semiHidden/>
    <w:qFormat/>
    <w:rsid w:val="00023842"/>
    <w:pPr>
      <w:outlineLvl w:val="4"/>
    </w:pPr>
  </w:style>
  <w:style w:type="paragraph" w:styleId="Heading6">
    <w:name w:val="heading 6"/>
    <w:basedOn w:val="Normal"/>
    <w:next w:val="Normal"/>
    <w:link w:val="Heading6Char"/>
    <w:semiHidden/>
    <w:qFormat/>
    <w:rsid w:val="00023842"/>
    <w:pPr>
      <w:outlineLvl w:val="5"/>
    </w:pPr>
  </w:style>
  <w:style w:type="paragraph" w:styleId="Heading7">
    <w:name w:val="heading 7"/>
    <w:basedOn w:val="Normal"/>
    <w:next w:val="Normal"/>
    <w:link w:val="Heading7Char"/>
    <w:semiHidden/>
    <w:qFormat/>
    <w:rsid w:val="00023842"/>
    <w:pPr>
      <w:outlineLvl w:val="6"/>
    </w:pPr>
  </w:style>
  <w:style w:type="paragraph" w:styleId="Heading8">
    <w:name w:val="heading 8"/>
    <w:basedOn w:val="Normal"/>
    <w:next w:val="Normal"/>
    <w:link w:val="Heading8Char"/>
    <w:semiHidden/>
    <w:qFormat/>
    <w:rsid w:val="00023842"/>
    <w:pPr>
      <w:outlineLvl w:val="7"/>
    </w:pPr>
  </w:style>
  <w:style w:type="paragraph" w:styleId="Heading9">
    <w:name w:val="heading 9"/>
    <w:basedOn w:val="Normal"/>
    <w:next w:val="Normal"/>
    <w:link w:val="Heading9Char"/>
    <w:semiHidden/>
    <w:qFormat/>
    <w:rsid w:val="00023842"/>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6_G"/>
    <w:basedOn w:val="Normal"/>
    <w:link w:val="HeaderChar"/>
    <w:rsid w:val="00AE7D9F"/>
    <w:pPr>
      <w:pBdr>
        <w:bottom w:val="single" w:sz="4" w:space="4" w:color="auto"/>
      </w:pBdr>
    </w:pPr>
    <w:rPr>
      <w:b/>
      <w:sz w:val="18"/>
    </w:rPr>
  </w:style>
  <w:style w:type="character" w:customStyle="1" w:styleId="HeaderChar">
    <w:name w:val="Header Char"/>
    <w:aliases w:val="6_G Char"/>
    <w:basedOn w:val="DefaultParagraphFont"/>
    <w:link w:val="Header"/>
    <w:rsid w:val="0080684C"/>
    <w:rPr>
      <w:rFonts w:eastAsia="Times New Roman"/>
      <w:b/>
      <w:kern w:val="0"/>
      <w:sz w:val="18"/>
      <w:szCs w:val="24"/>
      <w:lang w:val="en-US"/>
      <w14:ligatures w14:val="none"/>
    </w:rPr>
  </w:style>
  <w:style w:type="paragraph" w:styleId="Footer">
    <w:name w:val="footer"/>
    <w:aliases w:val="3_G"/>
    <w:basedOn w:val="Normal"/>
    <w:next w:val="Normal"/>
    <w:link w:val="FooterChar"/>
    <w:qFormat/>
    <w:rsid w:val="0080684C"/>
    <w:rPr>
      <w:sz w:val="16"/>
    </w:rPr>
  </w:style>
  <w:style w:type="character" w:customStyle="1" w:styleId="FooterChar">
    <w:name w:val="Footer Char"/>
    <w:aliases w:val="3_G Char"/>
    <w:basedOn w:val="DefaultParagraphFont"/>
    <w:link w:val="Footer"/>
    <w:rsid w:val="0080684C"/>
    <w:rPr>
      <w:rFonts w:ascii="Times New Roman" w:eastAsia="Times New Roman" w:hAnsi="Times New Roman" w:cs="Times New Roman"/>
      <w:sz w:val="16"/>
      <w:szCs w:val="20"/>
      <w:lang w:eastAsia="en-US"/>
    </w:rPr>
  </w:style>
  <w:style w:type="paragraph" w:customStyle="1" w:styleId="HMG">
    <w:name w:val="_ H __M_G"/>
    <w:basedOn w:val="Normal"/>
    <w:next w:val="Normal"/>
    <w:qFormat/>
    <w:rsid w:val="0080684C"/>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qFormat/>
    <w:rsid w:val="0080684C"/>
    <w:pPr>
      <w:keepNext/>
      <w:keepLines/>
      <w:tabs>
        <w:tab w:val="right" w:pos="851"/>
      </w:tabs>
      <w:spacing w:before="360" w:after="240" w:line="300" w:lineRule="exact"/>
      <w:ind w:left="1134" w:right="1134" w:hanging="1134"/>
    </w:pPr>
    <w:rPr>
      <w:b/>
      <w:sz w:val="28"/>
    </w:rPr>
  </w:style>
  <w:style w:type="paragraph" w:customStyle="1" w:styleId="H1G">
    <w:name w:val="_ H_1_G"/>
    <w:basedOn w:val="Normal"/>
    <w:next w:val="Normal"/>
    <w:qFormat/>
    <w:rsid w:val="0080684C"/>
    <w:pPr>
      <w:keepNext/>
      <w:keepLines/>
      <w:tabs>
        <w:tab w:val="right" w:pos="851"/>
      </w:tabs>
      <w:spacing w:before="360" w:after="240" w:line="270" w:lineRule="exact"/>
      <w:ind w:left="1134" w:right="1134" w:hanging="1134"/>
    </w:pPr>
    <w:rPr>
      <w:b/>
    </w:rPr>
  </w:style>
  <w:style w:type="paragraph" w:customStyle="1" w:styleId="H23G">
    <w:name w:val="_ H_2/3_G"/>
    <w:basedOn w:val="Normal"/>
    <w:next w:val="Normal"/>
    <w:qFormat/>
    <w:rsid w:val="0080684C"/>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qFormat/>
    <w:rsid w:val="0080684C"/>
    <w:pPr>
      <w:keepNext/>
      <w:keepLines/>
      <w:tabs>
        <w:tab w:val="right" w:pos="851"/>
      </w:tabs>
      <w:spacing w:before="240" w:after="120" w:line="240" w:lineRule="exact"/>
      <w:ind w:left="1134" w:right="1134" w:hanging="1134"/>
    </w:pPr>
    <w:rPr>
      <w:i/>
    </w:rPr>
  </w:style>
  <w:style w:type="paragraph" w:customStyle="1" w:styleId="H56G">
    <w:name w:val="_ H_5/6_G"/>
    <w:basedOn w:val="Normal"/>
    <w:next w:val="Normal"/>
    <w:qFormat/>
    <w:rsid w:val="00871C75"/>
    <w:pPr>
      <w:keepNext/>
      <w:keepLines/>
      <w:tabs>
        <w:tab w:val="right" w:pos="851"/>
      </w:tabs>
      <w:spacing w:before="240" w:after="120" w:line="240" w:lineRule="exact"/>
      <w:ind w:left="1134" w:right="1134" w:hanging="1134"/>
    </w:pPr>
  </w:style>
  <w:style w:type="paragraph" w:customStyle="1" w:styleId="SingleTxtG">
    <w:name w:val="_ Single Txt_G"/>
    <w:basedOn w:val="Normal"/>
    <w:qFormat/>
    <w:rsid w:val="0080684C"/>
    <w:pPr>
      <w:spacing w:after="120"/>
      <w:ind w:left="1134" w:right="1134"/>
      <w:jc w:val="both"/>
    </w:pPr>
  </w:style>
  <w:style w:type="paragraph" w:customStyle="1" w:styleId="SLG">
    <w:name w:val="__S_L_G"/>
    <w:basedOn w:val="Normal"/>
    <w:next w:val="Normal"/>
    <w:rsid w:val="0080684C"/>
    <w:pPr>
      <w:keepNext/>
      <w:keepLines/>
      <w:spacing w:before="240" w:after="240" w:line="580" w:lineRule="exact"/>
      <w:ind w:left="1134" w:right="1134"/>
    </w:pPr>
    <w:rPr>
      <w:b/>
      <w:sz w:val="56"/>
    </w:rPr>
  </w:style>
  <w:style w:type="paragraph" w:customStyle="1" w:styleId="SMG">
    <w:name w:val="__S_M_G"/>
    <w:basedOn w:val="Normal"/>
    <w:next w:val="Normal"/>
    <w:rsid w:val="0080684C"/>
    <w:pPr>
      <w:keepNext/>
      <w:keepLines/>
      <w:spacing w:before="240" w:after="240" w:line="420" w:lineRule="exact"/>
      <w:ind w:left="1134" w:right="1134"/>
    </w:pPr>
    <w:rPr>
      <w:b/>
      <w:sz w:val="40"/>
    </w:rPr>
  </w:style>
  <w:style w:type="paragraph" w:customStyle="1" w:styleId="SSG">
    <w:name w:val="__S_S_G"/>
    <w:basedOn w:val="Normal"/>
    <w:next w:val="Normal"/>
    <w:rsid w:val="0080684C"/>
    <w:pPr>
      <w:keepNext/>
      <w:keepLines/>
      <w:spacing w:before="240" w:after="240" w:line="300" w:lineRule="exact"/>
      <w:ind w:left="1134" w:right="1134"/>
    </w:pPr>
    <w:rPr>
      <w:b/>
      <w:sz w:val="28"/>
    </w:rPr>
  </w:style>
  <w:style w:type="paragraph" w:customStyle="1" w:styleId="XLargeG">
    <w:name w:val="__XLarge_G"/>
    <w:basedOn w:val="Normal"/>
    <w:next w:val="Normal"/>
    <w:rsid w:val="00871C75"/>
    <w:pPr>
      <w:keepNext/>
      <w:keepLines/>
      <w:spacing w:before="240" w:after="240" w:line="420" w:lineRule="exact"/>
      <w:ind w:left="1134" w:right="1134"/>
    </w:pPr>
    <w:rPr>
      <w:b/>
      <w:sz w:val="40"/>
    </w:rPr>
  </w:style>
  <w:style w:type="paragraph" w:customStyle="1" w:styleId="Bullet1G">
    <w:name w:val="_Bullet 1_G"/>
    <w:basedOn w:val="Normal"/>
    <w:qFormat/>
    <w:rsid w:val="0080684C"/>
    <w:pPr>
      <w:numPr>
        <w:numId w:val="1"/>
      </w:numPr>
      <w:spacing w:after="120"/>
      <w:ind w:right="1134"/>
      <w:jc w:val="both"/>
    </w:pPr>
  </w:style>
  <w:style w:type="paragraph" w:customStyle="1" w:styleId="Bullet2G">
    <w:name w:val="_Bullet 2_G"/>
    <w:basedOn w:val="Normal"/>
    <w:qFormat/>
    <w:rsid w:val="0080684C"/>
    <w:pPr>
      <w:numPr>
        <w:numId w:val="2"/>
      </w:numPr>
      <w:spacing w:after="120"/>
      <w:ind w:right="1134"/>
      <w:jc w:val="both"/>
    </w:pPr>
  </w:style>
  <w:style w:type="character" w:styleId="FootnoteReference">
    <w:name w:val="footnote reference"/>
    <w:aliases w:val="4_G"/>
    <w:basedOn w:val="DefaultParagraphFont"/>
    <w:qFormat/>
    <w:rsid w:val="00023842"/>
    <w:rPr>
      <w:rFonts w:ascii="Times New Roman" w:hAnsi="Times New Roman"/>
      <w:sz w:val="18"/>
      <w:vertAlign w:val="superscript"/>
      <w:lang w:val="fr-CH"/>
    </w:rPr>
  </w:style>
  <w:style w:type="character" w:styleId="EndnoteReference">
    <w:name w:val="endnote reference"/>
    <w:aliases w:val="1_G"/>
    <w:basedOn w:val="FootnoteReference"/>
    <w:qFormat/>
    <w:rsid w:val="00023842"/>
    <w:rPr>
      <w:rFonts w:ascii="Times New Roman" w:hAnsi="Times New Roman"/>
      <w:sz w:val="18"/>
      <w:vertAlign w:val="superscript"/>
      <w:lang w:val="fr-CH"/>
    </w:rPr>
  </w:style>
  <w:style w:type="table" w:styleId="TableGrid">
    <w:name w:val="Table Grid"/>
    <w:basedOn w:val="TableNormal"/>
    <w:rsid w:val="00382A1F"/>
    <w:pPr>
      <w:suppressAutoHyphens/>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Hyperlink">
    <w:name w:val="Hyperlink"/>
    <w:basedOn w:val="DefaultParagraphFont"/>
    <w:semiHidden/>
    <w:rsid w:val="00957790"/>
    <w:rPr>
      <w:color w:val="0000FF"/>
      <w:u w:val="none"/>
    </w:rPr>
  </w:style>
  <w:style w:type="character" w:styleId="FollowedHyperlink">
    <w:name w:val="FollowedHyperlink"/>
    <w:basedOn w:val="DefaultParagraphFont"/>
    <w:semiHidden/>
    <w:rsid w:val="00957790"/>
    <w:rPr>
      <w:color w:val="0000FF"/>
      <w:u w:val="none"/>
    </w:rPr>
  </w:style>
  <w:style w:type="paragraph" w:styleId="FootnoteText">
    <w:name w:val="footnote text"/>
    <w:aliases w:val="5_G"/>
    <w:basedOn w:val="Normal"/>
    <w:link w:val="FootnoteTextChar"/>
    <w:qFormat/>
    <w:rsid w:val="0080684C"/>
    <w:pPr>
      <w:tabs>
        <w:tab w:val="right" w:pos="1021"/>
      </w:tabs>
      <w:spacing w:line="220" w:lineRule="exact"/>
      <w:ind w:left="1134" w:right="1134" w:hanging="1134"/>
    </w:pPr>
    <w:rPr>
      <w:sz w:val="18"/>
    </w:rPr>
  </w:style>
  <w:style w:type="character" w:customStyle="1" w:styleId="FootnoteTextChar">
    <w:name w:val="Footnote Text Char"/>
    <w:aliases w:val="5_G Char"/>
    <w:basedOn w:val="DefaultParagraphFont"/>
    <w:link w:val="FootnoteText"/>
    <w:rsid w:val="0080684C"/>
    <w:rPr>
      <w:rFonts w:ascii="Times New Roman" w:eastAsia="Times New Roman" w:hAnsi="Times New Roman" w:cs="Times New Roman"/>
      <w:sz w:val="18"/>
      <w:szCs w:val="20"/>
      <w:lang w:eastAsia="en-US"/>
    </w:rPr>
  </w:style>
  <w:style w:type="paragraph" w:styleId="EndnoteText">
    <w:name w:val="endnote text"/>
    <w:aliases w:val="2_G"/>
    <w:basedOn w:val="FootnoteText"/>
    <w:link w:val="EndnoteTextChar"/>
    <w:qFormat/>
    <w:rsid w:val="0080684C"/>
  </w:style>
  <w:style w:type="character" w:customStyle="1" w:styleId="EndnoteTextChar">
    <w:name w:val="Endnote Text Char"/>
    <w:aliases w:val="2_G Char"/>
    <w:basedOn w:val="DefaultParagraphFont"/>
    <w:link w:val="EndnoteText"/>
    <w:rsid w:val="0080684C"/>
    <w:rPr>
      <w:rFonts w:ascii="Times New Roman" w:eastAsia="Times New Roman" w:hAnsi="Times New Roman" w:cs="Times New Roman"/>
      <w:sz w:val="18"/>
      <w:szCs w:val="20"/>
      <w:lang w:eastAsia="en-US"/>
    </w:rPr>
  </w:style>
  <w:style w:type="character" w:styleId="PageNumber">
    <w:name w:val="page number"/>
    <w:aliases w:val="7_G"/>
    <w:basedOn w:val="DefaultParagraphFont"/>
    <w:qFormat/>
    <w:rsid w:val="00023842"/>
    <w:rPr>
      <w:rFonts w:ascii="Times New Roman" w:hAnsi="Times New Roman"/>
      <w:b/>
      <w:sz w:val="18"/>
      <w:lang w:val="fr-CH"/>
    </w:rPr>
  </w:style>
  <w:style w:type="character" w:customStyle="1" w:styleId="Heading1Char">
    <w:name w:val="Heading 1 Char"/>
    <w:aliases w:val="Table_G Char"/>
    <w:basedOn w:val="DefaultParagraphFont"/>
    <w:link w:val="Heading1"/>
    <w:rsid w:val="0080684C"/>
    <w:rPr>
      <w:rFonts w:ascii="Times New Roman" w:eastAsia="Times New Roman" w:hAnsi="Times New Roman" w:cs="Times New Roman"/>
      <w:sz w:val="20"/>
      <w:szCs w:val="20"/>
      <w:lang w:eastAsia="en-US"/>
    </w:rPr>
  </w:style>
  <w:style w:type="character" w:customStyle="1" w:styleId="Heading2Char">
    <w:name w:val="Heading 2 Char"/>
    <w:basedOn w:val="DefaultParagraphFont"/>
    <w:link w:val="Heading2"/>
    <w:semiHidden/>
    <w:rsid w:val="00023842"/>
    <w:rPr>
      <w:rFonts w:ascii="Times New Roman" w:eastAsia="Times New Roman" w:hAnsi="Times New Roman" w:cs="Times New Roman"/>
      <w:sz w:val="20"/>
      <w:szCs w:val="20"/>
      <w:lang w:eastAsia="en-US"/>
    </w:rPr>
  </w:style>
  <w:style w:type="character" w:customStyle="1" w:styleId="Heading3Char">
    <w:name w:val="Heading 3 Char"/>
    <w:basedOn w:val="DefaultParagraphFont"/>
    <w:link w:val="Heading3"/>
    <w:semiHidden/>
    <w:rsid w:val="00023842"/>
    <w:rPr>
      <w:rFonts w:ascii="Times New Roman" w:eastAsia="Times New Roman" w:hAnsi="Times New Roman" w:cs="Times New Roman"/>
      <w:sz w:val="20"/>
      <w:szCs w:val="20"/>
      <w:lang w:eastAsia="en-US"/>
    </w:rPr>
  </w:style>
  <w:style w:type="character" w:customStyle="1" w:styleId="Heading4Char">
    <w:name w:val="Heading 4 Char"/>
    <w:basedOn w:val="DefaultParagraphFont"/>
    <w:link w:val="Heading4"/>
    <w:semiHidden/>
    <w:rsid w:val="00023842"/>
    <w:rPr>
      <w:rFonts w:ascii="Times New Roman" w:eastAsia="Times New Roman" w:hAnsi="Times New Roman" w:cs="Times New Roman"/>
      <w:sz w:val="20"/>
      <w:szCs w:val="20"/>
      <w:lang w:eastAsia="en-US"/>
    </w:rPr>
  </w:style>
  <w:style w:type="character" w:customStyle="1" w:styleId="Heading5Char">
    <w:name w:val="Heading 5 Char"/>
    <w:basedOn w:val="DefaultParagraphFont"/>
    <w:link w:val="Heading5"/>
    <w:semiHidden/>
    <w:rsid w:val="00023842"/>
    <w:rPr>
      <w:rFonts w:ascii="Times New Roman" w:eastAsia="Times New Roman" w:hAnsi="Times New Roman" w:cs="Times New Roman"/>
      <w:sz w:val="20"/>
      <w:szCs w:val="20"/>
      <w:lang w:eastAsia="en-US"/>
    </w:rPr>
  </w:style>
  <w:style w:type="character" w:customStyle="1" w:styleId="Heading6Char">
    <w:name w:val="Heading 6 Char"/>
    <w:basedOn w:val="DefaultParagraphFont"/>
    <w:link w:val="Heading6"/>
    <w:semiHidden/>
    <w:rsid w:val="00023842"/>
    <w:rPr>
      <w:rFonts w:ascii="Times New Roman" w:eastAsia="Times New Roman" w:hAnsi="Times New Roman" w:cs="Times New Roman"/>
      <w:sz w:val="20"/>
      <w:szCs w:val="20"/>
      <w:lang w:eastAsia="en-US"/>
    </w:rPr>
  </w:style>
  <w:style w:type="character" w:customStyle="1" w:styleId="Heading7Char">
    <w:name w:val="Heading 7 Char"/>
    <w:basedOn w:val="DefaultParagraphFont"/>
    <w:link w:val="Heading7"/>
    <w:semiHidden/>
    <w:rsid w:val="00023842"/>
    <w:rPr>
      <w:rFonts w:ascii="Times New Roman" w:eastAsia="Times New Roman" w:hAnsi="Times New Roman" w:cs="Times New Roman"/>
      <w:sz w:val="20"/>
      <w:szCs w:val="20"/>
      <w:lang w:eastAsia="en-US"/>
    </w:rPr>
  </w:style>
  <w:style w:type="character" w:customStyle="1" w:styleId="Heading8Char">
    <w:name w:val="Heading 8 Char"/>
    <w:basedOn w:val="DefaultParagraphFont"/>
    <w:link w:val="Heading8"/>
    <w:semiHidden/>
    <w:rsid w:val="00023842"/>
    <w:rPr>
      <w:rFonts w:ascii="Times New Roman" w:eastAsia="Times New Roman" w:hAnsi="Times New Roman" w:cs="Times New Roman"/>
      <w:sz w:val="20"/>
      <w:szCs w:val="20"/>
      <w:lang w:eastAsia="en-US"/>
    </w:rPr>
  </w:style>
  <w:style w:type="character" w:customStyle="1" w:styleId="Heading9Char">
    <w:name w:val="Heading 9 Char"/>
    <w:basedOn w:val="DefaultParagraphFont"/>
    <w:link w:val="Heading9"/>
    <w:semiHidden/>
    <w:rsid w:val="00023842"/>
    <w:rPr>
      <w:rFonts w:ascii="Times New Roman" w:eastAsia="Times New Roman" w:hAnsi="Times New Roman" w:cs="Times New Roman"/>
      <w:sz w:val="20"/>
      <w:szCs w:val="20"/>
      <w:lang w:eastAsia="en-US"/>
    </w:rPr>
  </w:style>
  <w:style w:type="paragraph" w:customStyle="1" w:styleId="ParNoG">
    <w:name w:val="_ParNo_G"/>
    <w:basedOn w:val="SingleTxtG"/>
    <w:qFormat/>
    <w:rsid w:val="005706C8"/>
    <w:pPr>
      <w:numPr>
        <w:numId w:val="15"/>
      </w:numPr>
      <w:tabs>
        <w:tab w:val="clear" w:pos="1701"/>
      </w:tabs>
    </w:pPr>
  </w:style>
  <w:style w:type="paragraph" w:styleId="Title">
    <w:name w:val="Title"/>
    <w:basedOn w:val="Normal"/>
    <w:next w:val="Normal"/>
    <w:link w:val="TitleChar"/>
    <w:uiPriority w:val="10"/>
    <w:semiHidden/>
    <w:qFormat/>
    <w:rsid w:val="00A9027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A902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semiHidden/>
    <w:qFormat/>
    <w:rsid w:val="00A9027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semiHidden/>
    <w:rsid w:val="00A9027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semiHidden/>
    <w:qFormat/>
    <w:rsid w:val="00A90270"/>
    <w:pPr>
      <w:spacing w:before="160" w:after="160"/>
      <w:jc w:val="center"/>
    </w:pPr>
    <w:rPr>
      <w:i/>
      <w:iCs/>
      <w:color w:val="404040" w:themeColor="text1" w:themeTint="BF"/>
    </w:rPr>
  </w:style>
  <w:style w:type="character" w:customStyle="1" w:styleId="QuoteChar">
    <w:name w:val="Quote Char"/>
    <w:basedOn w:val="DefaultParagraphFont"/>
    <w:link w:val="Quote"/>
    <w:uiPriority w:val="29"/>
    <w:semiHidden/>
    <w:rsid w:val="00A90270"/>
    <w:rPr>
      <w:i/>
      <w:iCs/>
      <w:color w:val="404040" w:themeColor="text1" w:themeTint="BF"/>
    </w:rPr>
  </w:style>
  <w:style w:type="paragraph" w:styleId="ListParagraph">
    <w:name w:val="List Paragraph"/>
    <w:basedOn w:val="Normal"/>
    <w:uiPriority w:val="34"/>
    <w:semiHidden/>
    <w:qFormat/>
    <w:rsid w:val="00A90270"/>
    <w:pPr>
      <w:ind w:left="720"/>
      <w:contextualSpacing/>
    </w:pPr>
  </w:style>
  <w:style w:type="character" w:styleId="IntenseEmphasis">
    <w:name w:val="Intense Emphasis"/>
    <w:basedOn w:val="DefaultParagraphFont"/>
    <w:uiPriority w:val="21"/>
    <w:semiHidden/>
    <w:qFormat/>
    <w:rsid w:val="00A90270"/>
    <w:rPr>
      <w:i/>
      <w:iCs/>
      <w:color w:val="365F91" w:themeColor="accent1" w:themeShade="BF"/>
    </w:rPr>
  </w:style>
  <w:style w:type="paragraph" w:styleId="IntenseQuote">
    <w:name w:val="Intense Quote"/>
    <w:basedOn w:val="Normal"/>
    <w:next w:val="Normal"/>
    <w:link w:val="IntenseQuoteChar"/>
    <w:uiPriority w:val="30"/>
    <w:semiHidden/>
    <w:qFormat/>
    <w:rsid w:val="00A9027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semiHidden/>
    <w:rsid w:val="00A90270"/>
    <w:rPr>
      <w:i/>
      <w:iCs/>
      <w:color w:val="365F91" w:themeColor="accent1" w:themeShade="BF"/>
    </w:rPr>
  </w:style>
  <w:style w:type="character" w:styleId="IntenseReference">
    <w:name w:val="Intense Reference"/>
    <w:basedOn w:val="DefaultParagraphFont"/>
    <w:uiPriority w:val="32"/>
    <w:semiHidden/>
    <w:qFormat/>
    <w:rsid w:val="00A90270"/>
    <w:rPr>
      <w:b/>
      <w:bCs/>
      <w:smallCaps/>
      <w:color w:val="365F91" w:themeColor="accent1" w:themeShade="BF"/>
      <w:spacing w:val="5"/>
    </w:rPr>
  </w:style>
  <w:style w:type="character" w:styleId="CommentReference">
    <w:name w:val="annotation reference"/>
    <w:basedOn w:val="DefaultParagraphFont"/>
    <w:uiPriority w:val="99"/>
    <w:semiHidden/>
    <w:unhideWhenUsed/>
    <w:rsid w:val="00A90270"/>
    <w:rPr>
      <w:sz w:val="16"/>
      <w:szCs w:val="16"/>
    </w:rPr>
  </w:style>
  <w:style w:type="paragraph" w:styleId="CommentText">
    <w:name w:val="annotation text"/>
    <w:basedOn w:val="Normal"/>
    <w:link w:val="CommentTextChar"/>
    <w:uiPriority w:val="99"/>
    <w:unhideWhenUsed/>
    <w:rsid w:val="00A90270"/>
    <w:rPr>
      <w:sz w:val="20"/>
      <w:szCs w:val="20"/>
    </w:rPr>
  </w:style>
  <w:style w:type="character" w:customStyle="1" w:styleId="CommentTextChar">
    <w:name w:val="Comment Text Char"/>
    <w:basedOn w:val="DefaultParagraphFont"/>
    <w:link w:val="CommentText"/>
    <w:uiPriority w:val="99"/>
    <w:rsid w:val="00A90270"/>
    <w:rPr>
      <w:rFonts w:eastAsia="Times New Roman"/>
      <w:kern w:val="0"/>
      <w:lang w:val="en-US"/>
      <w14:ligatures w14:val="none"/>
    </w:rPr>
  </w:style>
  <w:style w:type="character" w:styleId="UnresolvedMention">
    <w:name w:val="Unresolved Mention"/>
    <w:basedOn w:val="DefaultParagraphFont"/>
    <w:uiPriority w:val="99"/>
    <w:semiHidden/>
    <w:unhideWhenUsed/>
    <w:rsid w:val="009108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ohchr-ced@un.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endnotes.xml.rels><?xml version="1.0" encoding="UTF-8" standalone="yes"?>
<Relationships xmlns="http://schemas.openxmlformats.org/package/2006/relationships"><Relationship Id="rId13" Type="http://schemas.openxmlformats.org/officeDocument/2006/relationships/hyperlink" Target="https://tbinternet.ohchr.org/_layouts/15/treatybodyexternal/Download.aspx?symbolno=INT/CED/STA/COL/60557&amp;Lang=en" TargetMode="External"/><Relationship Id="rId18" Type="http://schemas.openxmlformats.org/officeDocument/2006/relationships/hyperlink" Target="https://rm.coe.int/1680597b20" TargetMode="External"/><Relationship Id="rId26" Type="http://schemas.openxmlformats.org/officeDocument/2006/relationships/hyperlink" Target="https://www.rfi.fr/es/programas/enfoque-internacional/20230831-ellas-buscan-a-sus-seres-desaparecidos-en-las-guerras-de-medio-oriente" TargetMode="External"/><Relationship Id="rId39" Type="http://schemas.openxmlformats.org/officeDocument/2006/relationships/hyperlink" Target="https://www.icip.cat/es/opinion/per-un-compromis-global-contra-les-desaparicions-forcades/" TargetMode="External"/><Relationship Id="rId21" Type="http://schemas.openxmlformats.org/officeDocument/2006/relationships/hyperlink" Target="https://web.nydia-erika-bautista.org/nosotros/" TargetMode="External"/><Relationship Id="rId34" Type="http://schemas.openxmlformats.org/officeDocument/2006/relationships/hyperlink" Target="https://docstore.ohchr.org/SelfServices/FilesHandler.ashx?enc=u6IYDjQHmuls7Ax5fZryBKSZZpf7fmrfTXsY3+5MSgYZ7TnczHtC2Guk0jjARRIzF0S+GZa6Ir8pqFsbWjpsKg==" TargetMode="External"/><Relationship Id="rId42" Type="http://schemas.openxmlformats.org/officeDocument/2006/relationships/hyperlink" Target="https://www.oas.org/es/mesecvi/docs/MESECVI-CEVI-XV-doc.250-ES.pdf" TargetMode="External"/><Relationship Id="rId47" Type="http://schemas.openxmlformats.org/officeDocument/2006/relationships/hyperlink" Target="https://www.scjn.gob.mx/derechos-humanos/sites/default/files/documentos-trabajo/2024-06/Documento-trabajo_desaparicion-y-genero.pdf" TargetMode="External"/><Relationship Id="rId50" Type="http://schemas.openxmlformats.org/officeDocument/2006/relationships/hyperlink" Target="https://www.icip.cat/wp-content/uploads/2024/12/InformeICIP-23-2024.pdf" TargetMode="External"/><Relationship Id="rId55" Type="http://schemas.openxmlformats.org/officeDocument/2006/relationships/hyperlink" Target="https://www.oas.org/es/cidh/prensa/comunicados/2019/020C.pdf" TargetMode="External"/><Relationship Id="rId7" Type="http://schemas.openxmlformats.org/officeDocument/2006/relationships/hyperlink" Target="https://corteidh.or.cr/docs/casos/articulos/seriec_242_esp.pdf" TargetMode="External"/><Relationship Id="rId2" Type="http://schemas.openxmlformats.org/officeDocument/2006/relationships/hyperlink" Target="https://www.ohchr.org/en/documents/thematic-reports/accountability-enforced-disappearances-sri-lanka-ohchr-report" TargetMode="External"/><Relationship Id="rId16" Type="http://schemas.openxmlformats.org/officeDocument/2006/relationships/hyperlink" Target="https://www.defensoria.gob.pe/wp-content/uploads/2024/11/Reporte-Igualdad-y-No-Violencia-57.pdf" TargetMode="External"/><Relationship Id="rId29" Type="http://schemas.openxmlformats.org/officeDocument/2006/relationships/hyperlink" Target="https://docs.un.org/es/A/RES/53/144" TargetMode="External"/><Relationship Id="rId11" Type="http://schemas.openxmlformats.org/officeDocument/2006/relationships/hyperlink" Target="https://simehbucket.s3.amazonaws.com/miscfiles/9786072830370_lqr0kmlw.pdf" TargetMode="External"/><Relationship Id="rId24" Type="http://schemas.openxmlformats.org/officeDocument/2006/relationships/hyperlink" Target="https://www.algerie-disparus.org/app/uploads/2018/08/Alg%2525C3%2525A9rie-1er-rapport-alternatif-juillet-2017.pdf" TargetMode="External"/><Relationship Id="rId32" Type="http://schemas.openxmlformats.org/officeDocument/2006/relationships/hyperlink" Target="https://docstore.ohchr.org/SelfServices/FilesHandler.ashx?enc=EdJUVABCj/znJuuUgX4aUg+Ytn1UEvdm4hTXg+xQUAar1zLbnQgq/J0JygeqdTnGnQEMPXopiQuHREDTwAR8Gg==" TargetMode="External"/><Relationship Id="rId37" Type="http://schemas.openxmlformats.org/officeDocument/2006/relationships/hyperlink" Target="https://www.ohchr.org/es/instruments-mechanisms/instruments/declaration-elimination-violence-against-women" TargetMode="External"/><Relationship Id="rId40" Type="http://schemas.openxmlformats.org/officeDocument/2006/relationships/hyperlink" Target="https://www.fidh.org/IMG/pdf/mexiquefemmes835eweb_1_.pdf" TargetMode="External"/><Relationship Id="rId45" Type="http://schemas.openxmlformats.org/officeDocument/2006/relationships/hyperlink" Target="https://www.corteidh.or.cr/docs/casos/articulos/seriec_339_esp.pdf" TargetMode="External"/><Relationship Id="rId53" Type="http://schemas.openxmlformats.org/officeDocument/2006/relationships/hyperlink" Target="https://www.worldvision.com.au/womens-empowerment" TargetMode="External"/><Relationship Id="rId58" Type="http://schemas.openxmlformats.org/officeDocument/2006/relationships/hyperlink" Target="https://www.ohchr.org/en/documents/thematic-reports/accountability-enforced-disappearances-sri-lanka-ohchr-report" TargetMode="External"/><Relationship Id="rId5" Type="http://schemas.openxmlformats.org/officeDocument/2006/relationships/hyperlink" Target="https://www.unidadvictimas.gov.co/sites/default/files/documentosbiblioteca/mujeres.PDF" TargetMode="External"/><Relationship Id="rId61" Type="http://schemas.openxmlformats.org/officeDocument/2006/relationships/hyperlink" Target="https://www.nrc.no/globalassets/pdf/guidelines/legal-protection-of-children/legal-guide-to-childs-rights-in-iraq-english.pdf" TargetMode="External"/><Relationship Id="rId19" Type="http://schemas.openxmlformats.org/officeDocument/2006/relationships/hyperlink" Target="https://docstore.ohchr.org/SelfServices/FilesHandler.ashx?enc=c62mN9wd8hzagNLNDNDeMpwFNpMvUNfgK5NBIVvVnPh+y3l4GnqlcQGt53RjB+2dDT/bNl7CZqaQmkjeq51Hng==" TargetMode="External"/><Relationship Id="rId14" Type="http://schemas.openxmlformats.org/officeDocument/2006/relationships/hyperlink" Target="https://www.oas.org/es/mesecvi/docs/MESECVI-CEVI-XV-doc.250-ES.pdf" TargetMode="External"/><Relationship Id="rId22" Type="http://schemas.openxmlformats.org/officeDocument/2006/relationships/hyperlink" Target="https://www.amnesty.org/es/projects/mujeres-buscadoras-en-las-americas/" TargetMode="External"/><Relationship Id="rId27" Type="http://schemas.openxmlformats.org/officeDocument/2006/relationships/hyperlink" Target="https://medios.mugak.eu/noticias/noticia/584289?criterio_id=28888" TargetMode="External"/><Relationship Id="rId30" Type="http://schemas.openxmlformats.org/officeDocument/2006/relationships/hyperlink" Target="https://simehbucket.s3.amazonaws.com/miscfiles/9786072830370_lqr0kmlw.pdf" TargetMode="External"/><Relationship Id="rId35" Type="http://schemas.openxmlformats.org/officeDocument/2006/relationships/hyperlink" Target="https://docstore.ohchr.org/SelfServices/FilesHandler.ashx?enc=/fruQ5fVTQE0fzgbLWvAgi5oVy36n9sjmXsejc3rWc8M4wvA78/2nJH7dKqJqfSpaDOP1b43N8t4QzEIRojb5w==" TargetMode="External"/><Relationship Id="rId43" Type="http://schemas.openxmlformats.org/officeDocument/2006/relationships/hyperlink" Target="https://rm.coe.int/1680597b20" TargetMode="External"/><Relationship Id="rId48" Type="http://schemas.openxmlformats.org/officeDocument/2006/relationships/hyperlink" Target="https://www.scjn.gob.mx/sites/default/files/publicaciones_scjn/publicacion/2024-04/Manual%252520sobre%252520desaparicio%2525CC%252581n%252520de%252520personas.pdf" TargetMode="External"/><Relationship Id="rId56" Type="http://schemas.openxmlformats.org/officeDocument/2006/relationships/hyperlink" Target="https://www.ippdh.mercosur.int/wp-content/uploads/2014/08/Sitios_de_memoria_FINAL_ES_INTERACTIVO.pdf" TargetMode="External"/><Relationship Id="rId8" Type="http://schemas.openxmlformats.org/officeDocument/2006/relationships/hyperlink" Target="https://www.corteidh.or.cr/docs/casos/articulos/seriec_221_esp1.pdf" TargetMode="External"/><Relationship Id="rId51" Type="http://schemas.openxmlformats.org/officeDocument/2006/relationships/hyperlink" Target="https://www.worldvision.com.au/womens-empowerment" TargetMode="External"/><Relationship Id="rId3" Type="http://schemas.openxmlformats.org/officeDocument/2006/relationships/hyperlink" Target="https://www.acnur.org/fileadmin/Documentos/BDL/2014/9925.pdf" TargetMode="External"/><Relationship Id="rId12" Type="http://schemas.openxmlformats.org/officeDocument/2006/relationships/hyperlink" Target="https://www.fidh.org/IMG/pdf/mexiquefemmes835eweb_1_.pdf" TargetMode="External"/><Relationship Id="rId17" Type="http://schemas.openxmlformats.org/officeDocument/2006/relationships/hyperlink" Target="https://www.cidh.oas.org/women/acceso07/indiceacceso.htm" TargetMode="External"/><Relationship Id="rId25" Type="http://schemas.openxmlformats.org/officeDocument/2006/relationships/hyperlink" Target="https://www.icip.cat/perlapau/es/articulo/el-impacto-de-genero-de-las-desapariciones-forzadas-en-siria/" TargetMode="External"/><Relationship Id="rId33" Type="http://schemas.openxmlformats.org/officeDocument/2006/relationships/hyperlink" Target="https://docstore.ohchr.org/SelfServices/FilesHandler.ashx?enc=vnZ4exQFatXHT3nm/Hv1g+ei6cwci1p3q4iwH/ue7wkLEcw/5WfKjJxEL4NQ4vQVDJ2SYVzT9KW+zAV6pBHE3w==" TargetMode="External"/><Relationship Id="rId38" Type="http://schemas.openxmlformats.org/officeDocument/2006/relationships/hyperlink" Target="https://docs.un.org/en/A/RES/79/1" TargetMode="External"/><Relationship Id="rId46" Type="http://schemas.openxmlformats.org/officeDocument/2006/relationships/hyperlink" Target="https://www.corteidh.or.cr/docs/casos/articulos/seriec_299_esp.pdf" TargetMode="External"/><Relationship Id="rId59" Type="http://schemas.openxmlformats.org/officeDocument/2006/relationships/hyperlink" Target="https://international-review.icrc.org/sites/default/files/irrc_99_905_4.pdf" TargetMode="External"/><Relationship Id="rId20" Type="http://schemas.openxmlformats.org/officeDocument/2006/relationships/hyperlink" Target="https://movndmx.org/informeriesgos2024/" TargetMode="External"/><Relationship Id="rId41" Type="http://schemas.openxmlformats.org/officeDocument/2006/relationships/hyperlink" Target="https://www.ictj.org/sites/default/files/ICTJ-Global-Desapariciones-Genero-2015-ES.pdf" TargetMode="External"/><Relationship Id="rId54" Type="http://schemas.openxmlformats.org/officeDocument/2006/relationships/hyperlink" Target="https://www.sitesofconscience.org/wp-content/uploads/2016/08/From-Memory-to-Action-A-Post-Conflict-Memorialization-Toolkit.pdf" TargetMode="External"/><Relationship Id="rId1" Type="http://schemas.openxmlformats.org/officeDocument/2006/relationships/hyperlink" Target="https://hchr.org.mx/wp/wp-content/uploads/2023/08/01.-Ivette-Melissa-Flores-Roman-Dictamen-del-Comite-en-virtud-del-articulo-7-parrafo-3-del-Protocolo-Facultativo-respecto-de-la-comunicacion-num.-153_2020-Ivette-Melissa-Flores-Roman.pdf" TargetMode="External"/><Relationship Id="rId6" Type="http://schemas.openxmlformats.org/officeDocument/2006/relationships/hyperlink" Target="https://www.ohchr.org/sites/default/files/documents/hrbodies/ced/2022-09-29/JointstatementICA_HR_28September2022.pdf" TargetMode="External"/><Relationship Id="rId15" Type="http://schemas.openxmlformats.org/officeDocument/2006/relationships/hyperlink" Target="https://docstore.ohchr.org/SelfServices/FilesHandler.ashx?enc=BRXcQB2Hyw5oK4w9m9zUmfckD/PemsUabuhKHmjp06OIZ3pVlML9o2FnLZRzI8XA6U8R7W7cmqY3dveUx5BGyPotjMcZElFlmqoe8UA4RFQ=" TargetMode="External"/><Relationship Id="rId23" Type="http://schemas.openxmlformats.org/officeDocument/2006/relationships/hyperlink" Target="https://centroprodh.org.mx/2020/05/10/pub-las-locas-de-las-palas/" TargetMode="External"/><Relationship Id="rId28" Type="http://schemas.openxmlformats.org/officeDocument/2006/relationships/hyperlink" Target="https://www.icip.cat/perlapau/es/articulo/el-impacto-de-genero-de-las-desapariciones-forzadas-en-siria/" TargetMode="External"/><Relationship Id="rId36" Type="http://schemas.openxmlformats.org/officeDocument/2006/relationships/hyperlink" Target="https://docstore.ohchr.org/SelfServices/FilesHandler.ashx?enc=yya6zU+8HA8+1K9pE4atxW0BeafOIwEhgB/9XrkK17qId3rxRwD81m5HBZyyEVbne9DJCE3tmJs4YONkP5lQ3YdqZMfYIjSkvMeR1Xd9/GU=" TargetMode="External"/><Relationship Id="rId49" Type="http://schemas.openxmlformats.org/officeDocument/2006/relationships/hyperlink" Target="https://repositorio.colmex.mx/concern/books/zg64tm87t?locale=es" TargetMode="External"/><Relationship Id="rId57" Type="http://schemas.openxmlformats.org/officeDocument/2006/relationships/hyperlink" Target="https://international-review.icrc.org/sites/default/files/irrc_99_905_4.pdf" TargetMode="External"/><Relationship Id="rId10" Type="http://schemas.openxmlformats.org/officeDocument/2006/relationships/hyperlink" Target="https://elpais.com/mexico/2022-11-25/radiografia-de-un-pais-que-mata-a-sus-mujeres-17776-asesinadas-en-cincoanos.html?event=go&amp;event_log=go&amp;prod=REGCRARTMEX&amp;o=cerrmex" TargetMode="External"/><Relationship Id="rId31" Type="http://schemas.openxmlformats.org/officeDocument/2006/relationships/hyperlink" Target="https://www.ohchr.org/sites/default/files/Documents/Issues/Disappearances/GC/A-HRC-WGEID-98-2_sp.pdf" TargetMode="External"/><Relationship Id="rId44" Type="http://schemas.openxmlformats.org/officeDocument/2006/relationships/hyperlink" Target="https://docstore.ohchr.org/SelfServices/FilesHandler.ashx?enc=c62mN9wd8hzagNLNDNDeMpwFNpMvUNfgK5NBIVvVnPh+y3l4GnqlcQGt53RjB+2dDT/bNl7CZqaQmkjeq51Hng==" TargetMode="External"/><Relationship Id="rId52" Type="http://schemas.openxmlformats.org/officeDocument/2006/relationships/hyperlink" Target="https://www.worldvision.com.au/womens-empowerment" TargetMode="External"/><Relationship Id="rId60" Type="http://schemas.openxmlformats.org/officeDocument/2006/relationships/hyperlink" Target="https://www.refworld.org/es/ref/infortem/cdhonu/2015/es/107038" TargetMode="External"/><Relationship Id="rId4" Type="http://schemas.openxmlformats.org/officeDocument/2006/relationships/hyperlink" Target="https://hchr.org.mx/camp/principios-rectores-para-la-busqueda-de-personas-desaparecidas-comite-contra-la-desaparicion-forzada/" TargetMode="External"/><Relationship Id="rId9" Type="http://schemas.openxmlformats.org/officeDocument/2006/relationships/hyperlink" Target="https://www.defensoria.gob.pe/defensoria-del-pueblo-de-enero-a-octubre-del-2024-se-han-reportado-5518-alertas-de-mujeres-reportadas-como-desaparecid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Date xmlns="985ec44e-1bab-4c0b-9df0-6ba128686fc9">2025-04-14T12:53:15+00:00</Document_x0020_Date>
    <Donor xmlns="11a6fe0c-d8de-4390-afb3-d9c7c54181f0" xsi:nil="true"/>
    <Report_x0020_Type xmlns="11a6fe0c-d8de-4390-afb3-d9c7c54181f0" xsi:nil="true"/>
    <Field_x0020_Office xmlns="11a6fe0c-d8de-4390-afb3-d9c7c54181f0" xsi:nil="true"/>
    <Document_x0020_Type xmlns="985ec44e-1bab-4c0b-9df0-6ba128686fc9" xsi:nil="true"/>
    <UD_x0020_Added_x0020_On xmlns="11a6fe0c-d8de-4390-afb3-d9c7c54181f0" xsi:nil="true"/>
    <UD_x0020_Modified_x0020_By xmlns="11a6fe0c-d8de-4390-afb3-d9c7c54181f0" xsi:nil="true"/>
    <lcf76f155ced4ddcb4097134ff3c332f xmlns="8328ca42-2125-412e-803c-da962a6c2716">
      <Terms xmlns="http://schemas.microsoft.com/office/infopath/2007/PartnerControls"/>
    </lcf76f155ced4ddcb4097134ff3c332f>
    <UD_x0020_Modified_x0020_On xmlns="11a6fe0c-d8de-4390-afb3-d9c7c54181f0" xsi:nil="true"/>
    <Working_x0020_Group xmlns="11a6fe0c-d8de-4390-afb3-d9c7c54181f0" xsi:nil="true"/>
    <TaxCatchAll xmlns="985ec44e-1bab-4c0b-9df0-6ba128686fc9" xsi:nil="true"/>
    <Thematic_x0020_Area xmlns="11a6fe0c-d8de-4390-afb3-d9c7c54181f0" xsi:nil="true"/>
    <UD_x0020_Added_x0020_By xmlns="11a6fe0c-d8de-4390-afb3-d9c7c54181f0" xsi:nil="true"/>
    <Project_x0020_Name xmlns="11a6fe0c-d8de-4390-afb3-d9c7c54181f0" xsi:nil="true"/>
    <Session xmlns="11a6fe0c-d8de-4390-afb3-d9c7c54181f0" xsi:nil="true"/>
    <Meeting xmlns="11a6fe0c-d8de-4390-afb3-d9c7c54181f0" xsi:nil="true"/>
    <UD_x0020_Office_x0020_of_x0020_Origin xmlns="11a6fe0c-d8de-4390-afb3-d9c7c54181f0" xsi:nil="true"/>
    <Country xmlns="11a6fe0c-d8de-4390-afb3-d9c7c54181f0" xsi:nil="true"/>
    <Security_x0020_Level xmlns="985ec44e-1bab-4c0b-9df0-6ba128686fc9" xsi:nil="true"/>
    <UN_x0020_Official_x0020_Language xmlns="985ec44e-1bab-4c0b-9df0-6ba128686fc9" xsi:nil="true"/>
    <Treaty_x0020_Body xmlns="11a6fe0c-d8de-4390-afb3-d9c7c54181f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3F3498CE0ABCF44AFA9CE6E5EEF9E2B" ma:contentTypeVersion="37" ma:contentTypeDescription="Create a new document." ma:contentTypeScope="" ma:versionID="efecc1b32cc2df9f5f553c6d7f998d7b">
  <xsd:schema xmlns:xsd="http://www.w3.org/2001/XMLSchema" xmlns:xs="http://www.w3.org/2001/XMLSchema" xmlns:p="http://schemas.microsoft.com/office/2006/metadata/properties" xmlns:ns3="985ec44e-1bab-4c0b-9df0-6ba128686fc9" xmlns:ns4="11a6fe0c-d8de-4390-afb3-d9c7c54181f0" xmlns:ns5="8328ca42-2125-412e-803c-da962a6c2716" targetNamespace="http://schemas.microsoft.com/office/2006/metadata/properties" ma:root="true" ma:fieldsID="7b837ef1564bfebd63cdf6dd7e6363d9" ns3:_="" ns4:_="" ns5:_="">
    <xsd:import namespace="985ec44e-1bab-4c0b-9df0-6ba128686fc9"/>
    <xsd:import namespace="11a6fe0c-d8de-4390-afb3-d9c7c54181f0"/>
    <xsd:import namespace="8328ca42-2125-412e-803c-da962a6c2716"/>
    <xsd:element name="properties">
      <xsd:complexType>
        <xsd:sequence>
          <xsd:element name="documentManagement">
            <xsd:complexType>
              <xsd:all>
                <xsd:element ref="ns3:UN_x0020_Official_x0020_Language" minOccurs="0"/>
                <xsd:element ref="ns3:Security_x0020_Level" minOccurs="0"/>
                <xsd:element ref="ns3:Document_x0020_Date" minOccurs="0"/>
                <xsd:element ref="ns3:Document_x0020_Type" minOccurs="0"/>
                <xsd:element ref="ns4:UD_x0020_Added_x0020_By" minOccurs="0"/>
                <xsd:element ref="ns4:UD_x0020_Added_x0020_On" minOccurs="0"/>
                <xsd:element ref="ns4:UD_x0020_Modified_x0020_By" minOccurs="0"/>
                <xsd:element ref="ns4:UD_x0020_Modified_x0020_On" minOccurs="0"/>
                <xsd:element ref="ns4:UD_x0020_Office_x0020_of_x0020_Origin" minOccurs="0"/>
                <xsd:element ref="ns4:Session" minOccurs="0"/>
                <xsd:element ref="ns4:Meeting" minOccurs="0"/>
                <xsd:element ref="ns4:Thematic_x0020_Area" minOccurs="0"/>
                <xsd:element ref="ns4:Country" minOccurs="0"/>
                <xsd:element ref="ns4:Donor" minOccurs="0"/>
                <xsd:element ref="ns4:Field_x0020_Office" minOccurs="0"/>
                <xsd:element ref="ns4:Project_x0020_Name" minOccurs="0"/>
                <xsd:element ref="ns4:Report_x0020_Type" minOccurs="0"/>
                <xsd:element ref="ns4:Treaty_x0020_Body" minOccurs="0"/>
                <xsd:element ref="ns4:Working_x0020_Group" minOccurs="0"/>
                <xsd:element ref="ns5:MediaServiceMetadata" minOccurs="0"/>
                <xsd:element ref="ns5:MediaServiceFastMetadata" minOccurs="0"/>
                <xsd:element ref="ns5:MediaServiceSearchProperties" minOccurs="0"/>
                <xsd:element ref="ns5:MediaServiceObjectDetectorVersions" minOccurs="0"/>
                <xsd:element ref="ns5:MediaServiceGenerationTime" minOccurs="0"/>
                <xsd:element ref="ns5:MediaServiceEventHashCode" minOccurs="0"/>
                <xsd:element ref="ns5:MediaLengthInSeconds" minOccurs="0"/>
                <xsd:element ref="ns5:MediaServiceDateTaken" minOccurs="0"/>
                <xsd:element ref="ns4:SharedWithUsers" minOccurs="0"/>
                <xsd:element ref="ns4:SharedWithDetails" minOccurs="0"/>
                <xsd:element ref="ns5:lcf76f155ced4ddcb4097134ff3c332f" minOccurs="0"/>
                <xsd:element ref="ns3:TaxCatchAll" minOccurs="0"/>
                <xsd:element ref="ns5:MediaServiceOCR" minOccurs="0"/>
                <xsd:element ref="ns5: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UN_x0020_Official_x0020_Language" ma:index="9" nillable="true" ma:displayName="Language (UN's Official)" ma:format="Dropdown" ma:internalName="UN_x0020_Official_x0020_Language">
      <xsd:simpleType>
        <xsd:restriction base="dms:Choice">
          <xsd:enumeration value="Arabic"/>
          <xsd:enumeration value="Chinese"/>
          <xsd:enumeration value="English"/>
          <xsd:enumeration value="French"/>
          <xsd:enumeration value="Russian"/>
          <xsd:enumeration value="Spanish"/>
        </xsd:restriction>
      </xsd:simpleType>
    </xsd:element>
    <xsd:element name="Security_x0020_Level" ma:index="10" nillable="true" ma:displayName="Security Level" ma:format="RadioButtons" ma:internalName="Security_x0020_Level">
      <xsd:simpleType>
        <xsd:restriction base="dms:Choice">
          <xsd:enumeration value="Unclassified"/>
          <xsd:enumeration value="Confidential"/>
          <xsd:enumeration value="Strictly Confidential"/>
          <xsd:enumeration value="Classified"/>
        </xsd:restriction>
      </xsd:simpleType>
    </xsd:element>
    <xsd:element name="Document_x0020_Date" ma:index="11" nillable="true" ma:displayName="Document Date" ma:default="[today]" ma:description="The date when the file was drafted" ma:format="DateOnly" ma:internalName="Document_x0020_Date">
      <xsd:simpleType>
        <xsd:restriction base="dms:DateTime"/>
      </xsd:simpleType>
    </xsd:element>
    <xsd:element name="Document_x0020_Type" ma:index="12" nillable="true" ma:displayName="Document Type" ma:format="Dropdown" ma:internalName="Document_x0020_Type">
      <xsd:simpleType>
        <xsd:restriction base="dms:Choice">
          <xsd:enumeration value="Code Cable"/>
          <xsd:enumeration value="Facsimile"/>
          <xsd:enumeration value="Form"/>
          <xsd:enumeration value="Letter"/>
          <xsd:enumeration value="Memorandum"/>
          <xsd:enumeration value="Note"/>
          <xsd:enumeration value="Note verbale"/>
          <xsd:enumeration value="Report"/>
          <xsd:enumeration value="Slip"/>
          <xsd:enumeration value="UN others"/>
          <xsd:enumeration value="Non-UN"/>
        </xsd:restriction>
      </xsd:simpleType>
    </xsd:element>
    <xsd:element name="TaxCatchAll" ma:index="42" nillable="true" ma:displayName="Taxonomy Catch All Column" ma:hidden="true" ma:list="{5430d4b1-0018-4ea0-88e3-0972f21a686e}" ma:internalName="TaxCatchAll" ma:showField="CatchAllData" ma:web="11a6fe0c-d8de-4390-afb3-d9c7c54181f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a6fe0c-d8de-4390-afb3-d9c7c54181f0" elementFormDefault="qualified">
    <xsd:import namespace="http://schemas.microsoft.com/office/2006/documentManagement/types"/>
    <xsd:import namespace="http://schemas.microsoft.com/office/infopath/2007/PartnerControls"/>
    <xsd:element name="UD_x0020_Added_x0020_By" ma:index="15" nillable="true" ma:displayName="UD Added By" ma:internalName="UD_x0020_Added_x0020_By">
      <xsd:simpleType>
        <xsd:restriction base="dms:Text">
          <xsd:maxLength value="255"/>
        </xsd:restriction>
      </xsd:simpleType>
    </xsd:element>
    <xsd:element name="UD_x0020_Added_x0020_On" ma:index="16" nillable="true" ma:displayName="UD Added On" ma:format="DateOnly" ma:internalName="UD_x0020_Added_x0020_On">
      <xsd:simpleType>
        <xsd:restriction base="dms:DateTime"/>
      </xsd:simpleType>
    </xsd:element>
    <xsd:element name="UD_x0020_Modified_x0020_By" ma:index="17" nillable="true" ma:displayName="UD Modified By" ma:internalName="UD_x0020_Modified_x0020_By">
      <xsd:simpleType>
        <xsd:restriction base="dms:Text">
          <xsd:maxLength value="255"/>
        </xsd:restriction>
      </xsd:simpleType>
    </xsd:element>
    <xsd:element name="UD_x0020_Modified_x0020_On" ma:index="18" nillable="true" ma:displayName="UD Modified On" ma:format="DateOnly" ma:internalName="UD_x0020_Modified_x0020_On">
      <xsd:simpleType>
        <xsd:restriction base="dms:DateTime"/>
      </xsd:simpleType>
    </xsd:element>
    <xsd:element name="UD_x0020_Office_x0020_of_x0020_Origin" ma:index="19" nillable="true" ma:displayName="UD Office of Origin" ma:internalName="UD_x0020_Office_x0020_of_x0020_Origin">
      <xsd:simpleType>
        <xsd:restriction base="dms:Text">
          <xsd:maxLength value="255"/>
        </xsd:restriction>
      </xsd:simpleType>
    </xsd:element>
    <xsd:element name="Session" ma:index="20" nillable="true" ma:displayName="Session" ma:internalName="Session">
      <xsd:simpleType>
        <xsd:restriction base="dms:Text">
          <xsd:maxLength value="255"/>
        </xsd:restriction>
      </xsd:simpleType>
    </xsd:element>
    <xsd:element name="Meeting" ma:index="21" nillable="true" ma:displayName="Meeting" ma:internalName="Meeting">
      <xsd:simpleType>
        <xsd:restriction base="dms:Text">
          <xsd:maxLength value="255"/>
        </xsd:restriction>
      </xsd:simpleType>
    </xsd:element>
    <xsd:element name="Thematic_x0020_Area" ma:index="22" nillable="true" ma:displayName="Thematic Area" ma:internalName="Thematic_x0020_Area">
      <xsd:simpleType>
        <xsd:restriction base="dms:Text">
          <xsd:maxLength value="255"/>
        </xsd:restriction>
      </xsd:simpleType>
    </xsd:element>
    <xsd:element name="Country" ma:index="23" nillable="true" ma:displayName="Country" ma:internalName="Country">
      <xsd:simpleType>
        <xsd:restriction base="dms:Text">
          <xsd:maxLength value="255"/>
        </xsd:restriction>
      </xsd:simpleType>
    </xsd:element>
    <xsd:element name="Donor" ma:index="24" nillable="true" ma:displayName="Donor" ma:internalName="Donor">
      <xsd:simpleType>
        <xsd:restriction base="dms:Text">
          <xsd:maxLength value="255"/>
        </xsd:restriction>
      </xsd:simpleType>
    </xsd:element>
    <xsd:element name="Field_x0020_Office" ma:index="25" nillable="true" ma:displayName="Field Office" ma:internalName="Field_x0020_Office">
      <xsd:simpleType>
        <xsd:restriction base="dms:Text">
          <xsd:maxLength value="255"/>
        </xsd:restriction>
      </xsd:simpleType>
    </xsd:element>
    <xsd:element name="Project_x0020_Name" ma:index="26" nillable="true" ma:displayName="Project Name" ma:internalName="Project_x0020_Name">
      <xsd:simpleType>
        <xsd:restriction base="dms:Text">
          <xsd:maxLength value="255"/>
        </xsd:restriction>
      </xsd:simpleType>
    </xsd:element>
    <xsd:element name="Report_x0020_Type" ma:index="27" nillable="true" ma:displayName="Report Type" ma:internalName="Report_x0020_Type">
      <xsd:simpleType>
        <xsd:restriction base="dms:Text">
          <xsd:maxLength value="255"/>
        </xsd:restriction>
      </xsd:simpleType>
    </xsd:element>
    <xsd:element name="Treaty_x0020_Body" ma:index="28" nillable="true" ma:displayName="Treaty Body" ma:internalName="Treaty_x0020_Body">
      <xsd:simpleType>
        <xsd:restriction base="dms:Text">
          <xsd:maxLength value="255"/>
        </xsd:restriction>
      </xsd:simpleType>
    </xsd:element>
    <xsd:element name="Working_x0020_Group" ma:index="29" nillable="true" ma:displayName="Working Group" ma:internalName="Working_x0020_Group">
      <xsd:simpleType>
        <xsd:restriction base="dms:Text">
          <xsd:maxLength value="255"/>
        </xsd:restriction>
      </xsd:simpleType>
    </xsd:element>
    <xsd:element name="SharedWithUsers" ma:index="3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328ca42-2125-412e-803c-da962a6c2716" elementFormDefault="qualified">
    <xsd:import namespace="http://schemas.microsoft.com/office/2006/documentManagement/types"/>
    <xsd:import namespace="http://schemas.microsoft.com/office/infopath/2007/PartnerControls"/>
    <xsd:element name="MediaServiceMetadata" ma:index="30" nillable="true" ma:displayName="MediaServiceMetadata" ma:hidden="true" ma:internalName="MediaServiceMetadata" ma:readOnly="true">
      <xsd:simpleType>
        <xsd:restriction base="dms:Note"/>
      </xsd:simpleType>
    </xsd:element>
    <xsd:element name="MediaServiceFastMetadata" ma:index="31" nillable="true" ma:displayName="MediaServiceFastMetadata" ma:hidden="true" ma:internalName="MediaServiceFastMetadata" ma:readOnly="true">
      <xsd:simpleType>
        <xsd:restriction base="dms:Note"/>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MediaLengthInSeconds" ma:index="36" nillable="true" ma:displayName="MediaLengthInSeconds" ma:hidden="true" ma:internalName="MediaLengthInSeconds" ma:readOnly="true">
      <xsd:simpleType>
        <xsd:restriction base="dms:Unknown"/>
      </xsd:simpleType>
    </xsd:element>
    <xsd:element name="MediaServiceDateTaken" ma:index="37" nillable="true" ma:displayName="MediaServiceDateTaken" ma:description="" ma:hidden="true" ma:indexed="true" ma:internalName="MediaServiceDateTaken" ma:readOnly="true">
      <xsd:simpleType>
        <xsd:restriction base="dms:Text"/>
      </xsd:simpleType>
    </xsd:element>
    <xsd:element name="lcf76f155ced4ddcb4097134ff3c332f" ma:index="41"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43" nillable="true" ma:displayName="Extracted Text" ma:internalName="MediaServiceOCR" ma:readOnly="true">
      <xsd:simpleType>
        <xsd:restriction base="dms:Note">
          <xsd:maxLength value="255"/>
        </xsd:restriction>
      </xsd:simpleType>
    </xsd:element>
    <xsd:element name="MediaServiceLocation" ma:index="44"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3"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8" ma:displayName="Subject"/>
        <xsd:element ref="dc:description" minOccurs="0" maxOccurs="1"/>
        <xsd:element name="keywords" minOccurs="0" maxOccurs="1" type="xsd:string" ma:index="1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8FEA07-8C5D-4497-B873-4195035195DC}">
  <ds:schemaRefs>
    <ds:schemaRef ds:uri="http://schemas.microsoft.com/office/2006/metadata/properties"/>
    <ds:schemaRef ds:uri="http://schemas.microsoft.com/office/infopath/2007/PartnerControls"/>
    <ds:schemaRef ds:uri="985ec44e-1bab-4c0b-9df0-6ba128686fc9"/>
    <ds:schemaRef ds:uri="11a6fe0c-d8de-4390-afb3-d9c7c54181f0"/>
    <ds:schemaRef ds:uri="8328ca42-2125-412e-803c-da962a6c2716"/>
  </ds:schemaRefs>
</ds:datastoreItem>
</file>

<file path=customXml/itemProps2.xml><?xml version="1.0" encoding="utf-8"?>
<ds:datastoreItem xmlns:ds="http://schemas.openxmlformats.org/officeDocument/2006/customXml" ds:itemID="{664737D2-2D1F-4A19-B85C-CFB9E4F5EB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5ec44e-1bab-4c0b-9df0-6ba128686fc9"/>
    <ds:schemaRef ds:uri="11a6fe0c-d8de-4390-afb3-d9c7c54181f0"/>
    <ds:schemaRef ds:uri="8328ca42-2125-412e-803c-da962a6c27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EAC688-786C-4B05-97E8-D9227E7C4DC4}">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4</TotalTime>
  <Pages>16</Pages>
  <Words>6041</Words>
  <Characters>34435</Characters>
  <Application>Microsoft Office Word</Application>
  <DocSecurity>0</DocSecurity>
  <Lines>286</Lines>
  <Paragraphs>80</Paragraphs>
  <ScaleCrop>false</ScaleCrop>
  <Company>OHCHR</Company>
  <LinksUpToDate>false</LinksUpToDate>
  <CharactersWithSpaces>40396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Perrine Deja</dc:creator>
  <cp:keywords/>
  <dc:description/>
  <cp:lastModifiedBy>Albane PROPHETTE-PALLASCO</cp:lastModifiedBy>
  <cp:revision>11</cp:revision>
  <cp:lastPrinted>2014-05-14T10:59:00Z</cp:lastPrinted>
  <dcterms:created xsi:type="dcterms:W3CDTF">2025-04-30T20:31:00Z</dcterms:created>
  <dcterms:modified xsi:type="dcterms:W3CDTF">2025-04-30T20:45:00Z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0x010100F3F3498CE0ABCF44AFA9CE6E5EEF9E2B</vt:lpwstr>
  </property>
  <property fmtid="{D5CDD505-2E9C-101B-9397-08002B2CF9AE}" pid="3" name="MediaServiceImageTags">
    <vt:lpwstr/>
  </property>
</Properties>
</file>