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B2A7C6" w14:textId="77777777" w:rsidR="00236FE1" w:rsidRPr="00D609F3" w:rsidRDefault="00236FE1" w:rsidP="00D609F3">
      <w:pPr>
        <w:spacing w:after="160"/>
        <w:jc w:val="both"/>
        <w:rPr>
          <w:rFonts w:asciiTheme="majorHAnsi" w:eastAsiaTheme="minorEastAsia" w:hAnsiTheme="majorHAnsi" w:cstheme="majorHAnsi"/>
          <w:smallCaps w:val="0"/>
          <w:spacing w:val="0"/>
          <w:w w:val="100"/>
          <w:lang w:eastAsia="en-US"/>
        </w:rPr>
      </w:pPr>
      <w:r w:rsidRPr="00D609F3">
        <w:rPr>
          <w:rFonts w:asciiTheme="majorHAnsi" w:eastAsiaTheme="minorEastAsia" w:hAnsiTheme="majorHAnsi" w:cstheme="majorHAnsi"/>
          <w:b/>
          <w:bCs/>
          <w:color w:val="FF0000"/>
          <w:spacing w:val="0"/>
          <w:w w:val="100"/>
          <w:sz w:val="48"/>
          <w:szCs w:val="48"/>
          <w:lang w:eastAsia="en-US"/>
        </w:rPr>
        <w:t> </w:t>
      </w:r>
    </w:p>
    <w:p w14:paraId="02DB0D7B" w14:textId="0B7D6180" w:rsidR="00236FE1" w:rsidRPr="00D609F3" w:rsidRDefault="00236FE1" w:rsidP="00D609F3">
      <w:pPr>
        <w:spacing w:after="160"/>
        <w:jc w:val="center"/>
        <w:rPr>
          <w:rFonts w:asciiTheme="majorHAnsi" w:eastAsiaTheme="minorEastAsia" w:hAnsiTheme="majorHAnsi" w:cstheme="majorHAnsi"/>
          <w:smallCaps w:val="0"/>
          <w:spacing w:val="0"/>
          <w:w w:val="100"/>
          <w:lang w:eastAsia="en-US"/>
        </w:rPr>
      </w:pPr>
      <w:r w:rsidRPr="00D609F3">
        <w:rPr>
          <w:rFonts w:asciiTheme="majorHAnsi" w:eastAsiaTheme="minorEastAsia" w:hAnsiTheme="majorHAnsi" w:cstheme="majorHAnsi"/>
          <w:smallCaps w:val="0"/>
          <w:noProof/>
          <w:color w:val="000000"/>
          <w:spacing w:val="0"/>
          <w:w w:val="100"/>
          <w:sz w:val="22"/>
          <w:szCs w:val="22"/>
          <w:bdr w:val="none" w:sz="0" w:space="0" w:color="auto" w:frame="1"/>
          <w:lang w:eastAsia="en-US"/>
        </w:rPr>
        <w:drawing>
          <wp:inline distT="0" distB="0" distL="0" distR="0" wp14:anchorId="23DA3C28" wp14:editId="06428CD9">
            <wp:extent cx="3886200" cy="889000"/>
            <wp:effectExtent l="0" t="0" r="0" b="0"/>
            <wp:docPr id="1" name="Picture 1" descr="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close-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6200" cy="889000"/>
                    </a:xfrm>
                    <a:prstGeom prst="rect">
                      <a:avLst/>
                    </a:prstGeom>
                    <a:noFill/>
                    <a:ln>
                      <a:noFill/>
                    </a:ln>
                  </pic:spPr>
                </pic:pic>
              </a:graphicData>
            </a:graphic>
          </wp:inline>
        </w:drawing>
      </w:r>
    </w:p>
    <w:p w14:paraId="28A0E427" w14:textId="77777777" w:rsidR="00236FE1" w:rsidRPr="00D609F3" w:rsidRDefault="00236FE1" w:rsidP="00D609F3">
      <w:pPr>
        <w:spacing w:after="240"/>
        <w:jc w:val="both"/>
        <w:rPr>
          <w:rFonts w:asciiTheme="majorHAnsi" w:hAnsiTheme="majorHAnsi" w:cstheme="majorHAnsi"/>
          <w:smallCaps w:val="0"/>
          <w:spacing w:val="0"/>
          <w:w w:val="100"/>
          <w:lang w:eastAsia="en-US"/>
        </w:rPr>
      </w:pPr>
      <w:r w:rsidRPr="00D609F3">
        <w:rPr>
          <w:rFonts w:asciiTheme="majorHAnsi" w:hAnsiTheme="majorHAnsi" w:cstheme="majorHAnsi"/>
          <w:smallCaps w:val="0"/>
          <w:spacing w:val="0"/>
          <w:w w:val="100"/>
          <w:lang w:eastAsia="en-US"/>
        </w:rPr>
        <w:br/>
      </w:r>
    </w:p>
    <w:p w14:paraId="3F5D760D"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36"/>
          <w:szCs w:val="36"/>
          <w:lang w:eastAsia="en-US"/>
        </w:rPr>
      </w:pPr>
      <w:r w:rsidRPr="00D609F3">
        <w:rPr>
          <w:rFonts w:asciiTheme="majorHAnsi" w:eastAsiaTheme="minorEastAsia" w:hAnsiTheme="majorHAnsi" w:cstheme="majorHAnsi"/>
          <w:smallCaps w:val="0"/>
          <w:color w:val="000000"/>
          <w:spacing w:val="0"/>
          <w:w w:val="100"/>
          <w:sz w:val="36"/>
          <w:szCs w:val="36"/>
          <w:lang w:eastAsia="en-US"/>
        </w:rPr>
        <w:t>Submission to the</w:t>
      </w:r>
    </w:p>
    <w:p w14:paraId="7F869EF2" w14:textId="77777777" w:rsidR="00236FE1" w:rsidRPr="00D609F3" w:rsidRDefault="00236FE1" w:rsidP="00D609F3">
      <w:pPr>
        <w:spacing w:after="160"/>
        <w:jc w:val="center"/>
        <w:rPr>
          <w:rFonts w:asciiTheme="majorHAnsi" w:eastAsiaTheme="minorEastAsia" w:hAnsiTheme="majorHAnsi" w:cstheme="majorHAnsi"/>
          <w:smallCaps w:val="0"/>
          <w:spacing w:val="0"/>
          <w:w w:val="100"/>
          <w:lang w:eastAsia="en-US"/>
        </w:rPr>
      </w:pPr>
      <w:r w:rsidRPr="00D609F3">
        <w:rPr>
          <w:rFonts w:asciiTheme="majorHAnsi" w:eastAsiaTheme="minorEastAsia" w:hAnsiTheme="majorHAnsi" w:cstheme="majorHAnsi"/>
          <w:smallCaps w:val="0"/>
          <w:color w:val="000000"/>
          <w:spacing w:val="0"/>
          <w:w w:val="100"/>
          <w:sz w:val="36"/>
          <w:szCs w:val="36"/>
          <w:lang w:eastAsia="en-US"/>
        </w:rPr>
        <w:t>United Nations Human Rights Council’s Advisory Committee concerning its upcoming study on</w:t>
      </w:r>
    </w:p>
    <w:p w14:paraId="6A8C9C07" w14:textId="77777777" w:rsidR="00236FE1" w:rsidRPr="00D609F3" w:rsidRDefault="00236FE1" w:rsidP="00D609F3">
      <w:pPr>
        <w:spacing w:after="160"/>
        <w:jc w:val="center"/>
        <w:rPr>
          <w:rFonts w:asciiTheme="majorHAnsi" w:eastAsiaTheme="minorEastAsia" w:hAnsiTheme="majorHAnsi" w:cstheme="majorHAnsi"/>
          <w:smallCaps w:val="0"/>
          <w:spacing w:val="0"/>
          <w:w w:val="100"/>
          <w:lang w:eastAsia="en-US"/>
        </w:rPr>
      </w:pPr>
      <w:r w:rsidRPr="00D609F3">
        <w:rPr>
          <w:rFonts w:asciiTheme="majorHAnsi" w:eastAsiaTheme="minorEastAsia" w:hAnsiTheme="majorHAnsi" w:cstheme="majorHAnsi"/>
          <w:smallCaps w:val="0"/>
          <w:color w:val="000000"/>
          <w:spacing w:val="0"/>
          <w:w w:val="100"/>
          <w:sz w:val="36"/>
          <w:szCs w:val="36"/>
          <w:lang w:eastAsia="en-US"/>
        </w:rPr>
        <w:t>TECHNOLOGY-FACILITATED GENDER-BASED VIOLENCE AGAINST WOMEN AND GIRLS</w:t>
      </w:r>
      <w:r w:rsidRPr="00D609F3">
        <w:rPr>
          <w:rFonts w:asciiTheme="majorHAnsi" w:hAnsiTheme="majorHAnsi" w:cstheme="majorHAnsi"/>
          <w:smallCaps w:val="0"/>
          <w:spacing w:val="0"/>
          <w:w w:val="100"/>
          <w:lang w:eastAsia="en-US"/>
        </w:rPr>
        <w:br/>
      </w:r>
      <w:r w:rsidRPr="00D609F3">
        <w:rPr>
          <w:rFonts w:asciiTheme="majorHAnsi" w:hAnsiTheme="majorHAnsi" w:cstheme="majorHAnsi"/>
          <w:smallCaps w:val="0"/>
          <w:spacing w:val="0"/>
          <w:w w:val="100"/>
          <w:lang w:eastAsia="en-US"/>
        </w:rPr>
        <w:br/>
      </w:r>
    </w:p>
    <w:p w14:paraId="2F4AAAF6" w14:textId="46C97469" w:rsidR="00236FE1" w:rsidRPr="00D609F3" w:rsidRDefault="00236FE1" w:rsidP="00D609F3">
      <w:pPr>
        <w:spacing w:after="160"/>
        <w:jc w:val="center"/>
        <w:rPr>
          <w:rFonts w:asciiTheme="majorHAnsi" w:eastAsiaTheme="minorEastAsia" w:hAnsiTheme="majorHAnsi" w:cstheme="majorHAnsi"/>
          <w:smallCaps w:val="0"/>
          <w:spacing w:val="0"/>
          <w:w w:val="100"/>
          <w:lang w:eastAsia="en-US"/>
        </w:rPr>
      </w:pPr>
    </w:p>
    <w:p w14:paraId="5E8D60DA" w14:textId="3983AC7F"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70C981F4"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7D8B6A05"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686F2FBC"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0C872B1F"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388E0659"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3B96661D" w14:textId="77777777" w:rsidR="00236FE1" w:rsidRPr="00D609F3" w:rsidRDefault="00236FE1" w:rsidP="00D609F3">
      <w:pPr>
        <w:spacing w:after="160"/>
        <w:jc w:val="center"/>
        <w:rPr>
          <w:rFonts w:asciiTheme="majorHAnsi" w:eastAsiaTheme="minorEastAsia" w:hAnsiTheme="majorHAnsi" w:cstheme="majorHAnsi"/>
          <w:smallCaps w:val="0"/>
          <w:color w:val="000000"/>
          <w:spacing w:val="0"/>
          <w:w w:val="100"/>
          <w:sz w:val="28"/>
          <w:szCs w:val="28"/>
          <w:lang w:eastAsia="en-US"/>
        </w:rPr>
      </w:pPr>
    </w:p>
    <w:p w14:paraId="13D841F3" w14:textId="77777777" w:rsidR="00236FE1" w:rsidRPr="00D609F3" w:rsidRDefault="00236FE1" w:rsidP="00D609F3">
      <w:pPr>
        <w:spacing w:after="160"/>
        <w:jc w:val="center"/>
        <w:rPr>
          <w:rFonts w:asciiTheme="majorHAnsi" w:eastAsiaTheme="minorEastAsia" w:hAnsiTheme="majorHAnsi" w:cstheme="majorHAnsi"/>
          <w:smallCaps w:val="0"/>
          <w:spacing w:val="0"/>
          <w:w w:val="100"/>
          <w:lang w:eastAsia="en-US"/>
        </w:rPr>
      </w:pPr>
    </w:p>
    <w:p w14:paraId="6A66D1D4" w14:textId="77777777" w:rsidR="00236FE1" w:rsidRPr="00D609F3" w:rsidRDefault="00236FE1" w:rsidP="00D609F3">
      <w:pPr>
        <w:jc w:val="center"/>
        <w:rPr>
          <w:rFonts w:asciiTheme="majorHAnsi" w:hAnsiTheme="majorHAnsi" w:cstheme="majorHAnsi"/>
          <w:smallCaps w:val="0"/>
          <w:spacing w:val="0"/>
          <w:w w:val="100"/>
          <w:lang w:eastAsia="en-US"/>
        </w:rPr>
      </w:pPr>
    </w:p>
    <w:p w14:paraId="058CA7F5" w14:textId="77777777" w:rsidR="00236FE1" w:rsidRPr="00D609F3" w:rsidRDefault="00236FE1" w:rsidP="00D609F3">
      <w:pPr>
        <w:spacing w:after="160"/>
        <w:jc w:val="center"/>
        <w:rPr>
          <w:rFonts w:asciiTheme="majorHAnsi" w:eastAsiaTheme="minorEastAsia" w:hAnsiTheme="majorHAnsi" w:cstheme="majorHAnsi"/>
          <w:smallCaps w:val="0"/>
          <w:spacing w:val="0"/>
          <w:w w:val="100"/>
          <w:lang w:eastAsia="en-US"/>
        </w:rPr>
      </w:pPr>
      <w:r w:rsidRPr="00D609F3">
        <w:rPr>
          <w:rFonts w:asciiTheme="majorHAnsi" w:eastAsiaTheme="minorEastAsia" w:hAnsiTheme="majorHAnsi" w:cstheme="majorHAnsi"/>
          <w:smallCaps w:val="0"/>
          <w:color w:val="000000"/>
          <w:spacing w:val="0"/>
          <w:w w:val="100"/>
          <w:sz w:val="28"/>
          <w:szCs w:val="28"/>
          <w:lang w:eastAsia="en-US"/>
        </w:rPr>
        <w:t>February 2025</w:t>
      </w:r>
    </w:p>
    <w:p w14:paraId="001411BD" w14:textId="77777777" w:rsidR="00236FE1" w:rsidRPr="00D609F3" w:rsidRDefault="00236FE1" w:rsidP="00D609F3">
      <w:pPr>
        <w:spacing w:after="240"/>
        <w:jc w:val="both"/>
        <w:rPr>
          <w:rFonts w:asciiTheme="majorHAnsi" w:hAnsiTheme="majorHAnsi" w:cstheme="majorHAnsi"/>
          <w:smallCaps w:val="0"/>
          <w:spacing w:val="0"/>
          <w:w w:val="100"/>
          <w:lang w:eastAsia="en-US"/>
        </w:rPr>
      </w:pPr>
      <w:r w:rsidRPr="00D609F3">
        <w:rPr>
          <w:rFonts w:asciiTheme="majorHAnsi" w:hAnsiTheme="majorHAnsi" w:cstheme="majorHAnsi"/>
          <w:smallCaps w:val="0"/>
          <w:spacing w:val="0"/>
          <w:w w:val="100"/>
          <w:lang w:eastAsia="en-US"/>
        </w:rPr>
        <w:br/>
      </w:r>
    </w:p>
    <w:p w14:paraId="1CF927D3" w14:textId="77777777" w:rsidR="00236FE1" w:rsidRPr="00D609F3" w:rsidRDefault="00236FE1" w:rsidP="00D609F3">
      <w:pPr>
        <w:spacing w:after="240"/>
        <w:jc w:val="both"/>
        <w:rPr>
          <w:rFonts w:asciiTheme="majorHAnsi" w:hAnsiTheme="majorHAnsi" w:cstheme="majorHAnsi"/>
          <w:smallCaps w:val="0"/>
          <w:spacing w:val="0"/>
          <w:w w:val="100"/>
          <w:lang w:eastAsia="en-US"/>
        </w:rPr>
      </w:pPr>
    </w:p>
    <w:p w14:paraId="1D798AEB" w14:textId="77777777" w:rsidR="00236FE1" w:rsidRPr="00D609F3" w:rsidRDefault="00236FE1" w:rsidP="00D609F3">
      <w:pPr>
        <w:spacing w:after="240"/>
        <w:jc w:val="both"/>
        <w:rPr>
          <w:rFonts w:asciiTheme="majorHAnsi" w:hAnsiTheme="majorHAnsi" w:cstheme="majorHAnsi"/>
          <w:smallCaps w:val="0"/>
          <w:spacing w:val="0"/>
          <w:w w:val="100"/>
          <w:lang w:eastAsia="en-US"/>
        </w:rPr>
      </w:pPr>
    </w:p>
    <w:p w14:paraId="5AD32280" w14:textId="77777777" w:rsidR="00236FE1" w:rsidRPr="00D609F3" w:rsidRDefault="00236FE1" w:rsidP="00D609F3">
      <w:pPr>
        <w:spacing w:before="240" w:after="240"/>
        <w:jc w:val="both"/>
        <w:rPr>
          <w:rFonts w:asciiTheme="majorHAnsi" w:hAnsiTheme="majorHAnsi" w:cstheme="majorHAnsi"/>
          <w:smallCaps w:val="0"/>
          <w:spacing w:val="0"/>
          <w:w w:val="100"/>
          <w:lang w:eastAsia="en-US"/>
        </w:rPr>
      </w:pPr>
    </w:p>
    <w:p w14:paraId="70DF6D20" w14:textId="77777777" w:rsidR="00236FE1" w:rsidRPr="00D609F3" w:rsidRDefault="00236FE1" w:rsidP="00D609F3">
      <w:pPr>
        <w:spacing w:before="240" w:after="240"/>
        <w:jc w:val="both"/>
        <w:rPr>
          <w:rFonts w:asciiTheme="majorHAnsi" w:eastAsiaTheme="minorEastAsia" w:hAnsiTheme="majorHAnsi" w:cstheme="majorHAnsi"/>
          <w:smallCaps w:val="0"/>
          <w:spacing w:val="0"/>
          <w:w w:val="100"/>
          <w:lang w:eastAsia="en-US"/>
        </w:rPr>
      </w:pPr>
      <w:r w:rsidRPr="00D609F3">
        <w:rPr>
          <w:rFonts w:asciiTheme="majorHAnsi" w:eastAsiaTheme="minorEastAsia" w:hAnsiTheme="majorHAnsi" w:cstheme="majorHAnsi"/>
          <w:b/>
          <w:bCs/>
          <w:smallCaps w:val="0"/>
          <w:color w:val="000000"/>
          <w:spacing w:val="0"/>
          <w:w w:val="100"/>
          <w:sz w:val="24"/>
          <w:szCs w:val="24"/>
          <w:u w:val="single"/>
          <w:lang w:eastAsia="en-US"/>
        </w:rPr>
        <w:t>About the Submitting Organization</w:t>
      </w:r>
    </w:p>
    <w:p w14:paraId="466A62A8"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r w:rsidRPr="00D609F3">
        <w:rPr>
          <w:rFonts w:asciiTheme="majorHAnsi" w:hAnsiTheme="majorHAnsi" w:cstheme="majorHAnsi"/>
          <w:b/>
          <w:bCs/>
          <w:smallCaps w:val="0"/>
          <w:color w:val="000000"/>
          <w:spacing w:val="0"/>
          <w:w w:val="100"/>
          <w:sz w:val="24"/>
          <w:szCs w:val="24"/>
          <w:lang w:eastAsia="en-US"/>
        </w:rPr>
        <w:t>DIGNITY</w:t>
      </w:r>
      <w:r w:rsidRPr="00D609F3">
        <w:rPr>
          <w:rFonts w:asciiTheme="majorHAnsi" w:hAnsiTheme="majorHAnsi" w:cstheme="majorHAnsi"/>
          <w:smallCaps w:val="0"/>
          <w:color w:val="000000"/>
          <w:spacing w:val="0"/>
          <w:w w:val="100"/>
          <w:sz w:val="24"/>
          <w:szCs w:val="24"/>
          <w:lang w:eastAsia="en-US"/>
        </w:rPr>
        <w:t xml:space="preserve"> is an international human rights and development organization. We prevent torture and violence, rehabilitate traumatized victims, and support local partner organisations in documenting serious human rights violations so that perpetrators are held accountable. Founded in 1982, DIGNITY is one of the world’s first anti-torture NGOs and specialized treatment centres for torture survivors. DIGNITY is headquartered in Copenhagen and has active partnerships with more than 30 local and international NGOs and research institutions in more than 20 countries around the world.</w:t>
      </w:r>
    </w:p>
    <w:p w14:paraId="7A578E96"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C05FC3E"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5CAA91CA"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6A7E63A"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4237EB81"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765282AF"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566C7713"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A20E55A"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7B0B722D"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128294E"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7CC539AC"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35427F5C"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531CC5CF"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1DD8ACA"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7B223322"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6A1091B1"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8B21456"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2C2E357"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99827A6"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2D35B0C6"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7FCB5F81"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381BC2AD"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C082ACF"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05F1760"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5B107EFD"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22E483D5"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33A25507"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75A4AE6E"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49C49757"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5EEB54E"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1AE3CDE"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1461C7B9"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0637CB18" w14:textId="77777777" w:rsidR="00236FE1" w:rsidRPr="00D609F3" w:rsidRDefault="00236FE1" w:rsidP="00D609F3">
      <w:pPr>
        <w:jc w:val="both"/>
        <w:rPr>
          <w:rFonts w:asciiTheme="majorHAnsi" w:hAnsiTheme="majorHAnsi" w:cstheme="majorHAnsi"/>
          <w:smallCaps w:val="0"/>
          <w:color w:val="000000"/>
          <w:spacing w:val="0"/>
          <w:w w:val="100"/>
          <w:sz w:val="24"/>
          <w:szCs w:val="24"/>
          <w:lang w:eastAsia="en-US"/>
        </w:rPr>
      </w:pPr>
    </w:p>
    <w:p w14:paraId="470DCC9E" w14:textId="77777777" w:rsidR="00260F1F" w:rsidRPr="00D609F3" w:rsidRDefault="00260F1F" w:rsidP="00FD1997">
      <w:pPr>
        <w:pStyle w:val="NormalWeb"/>
        <w:numPr>
          <w:ilvl w:val="0"/>
          <w:numId w:val="3"/>
        </w:numPr>
        <w:spacing w:before="200" w:beforeAutospacing="0" w:after="200" w:afterAutospacing="0"/>
        <w:jc w:val="both"/>
        <w:rPr>
          <w:rFonts w:asciiTheme="majorHAnsi" w:hAnsiTheme="majorHAnsi" w:cstheme="majorHAnsi"/>
          <w:sz w:val="24"/>
          <w:szCs w:val="24"/>
          <w:u w:val="single"/>
        </w:rPr>
      </w:pPr>
      <w:r w:rsidRPr="00D609F3">
        <w:rPr>
          <w:rFonts w:asciiTheme="majorHAnsi" w:hAnsiTheme="majorHAnsi" w:cstheme="majorHAnsi"/>
          <w:sz w:val="24"/>
          <w:szCs w:val="24"/>
          <w:u w:val="single"/>
        </w:rPr>
        <w:t>Introduction</w:t>
      </w:r>
    </w:p>
    <w:p w14:paraId="776FA243" w14:textId="77777777" w:rsidR="00260F1F" w:rsidRPr="00D609F3" w:rsidRDefault="00236FE1"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DIGNITY</w:t>
      </w:r>
      <w:r w:rsidR="00260F1F" w:rsidRPr="00D609F3">
        <w:rPr>
          <w:rFonts w:asciiTheme="majorHAnsi" w:hAnsiTheme="majorHAnsi" w:cstheme="majorHAnsi"/>
          <w:sz w:val="24"/>
          <w:szCs w:val="24"/>
        </w:rPr>
        <w:t xml:space="preserve"> welcomes the opportunity to contribute to the Advisory Committee’s study on technology-facilitated gender-based violence (TFGBV) and its human rights implications. As an organization dedicated to the prevention </w:t>
      </w:r>
      <w:r w:rsidR="006C4E53" w:rsidRPr="00D609F3">
        <w:rPr>
          <w:rFonts w:asciiTheme="majorHAnsi" w:hAnsiTheme="majorHAnsi" w:cstheme="majorHAnsi"/>
          <w:sz w:val="24"/>
          <w:szCs w:val="24"/>
        </w:rPr>
        <w:t>of, and accountability for</w:t>
      </w:r>
      <w:r w:rsidR="002C540B" w:rsidRPr="00D609F3">
        <w:rPr>
          <w:rFonts w:asciiTheme="majorHAnsi" w:hAnsiTheme="majorHAnsi" w:cstheme="majorHAnsi"/>
          <w:sz w:val="24"/>
          <w:szCs w:val="24"/>
        </w:rPr>
        <w:t>,</w:t>
      </w:r>
      <w:r w:rsidR="006C4E53" w:rsidRPr="00D609F3">
        <w:rPr>
          <w:rFonts w:asciiTheme="majorHAnsi" w:hAnsiTheme="majorHAnsi" w:cstheme="majorHAnsi"/>
          <w:sz w:val="24"/>
          <w:szCs w:val="24"/>
        </w:rPr>
        <w:t xml:space="preserve"> </w:t>
      </w:r>
      <w:r w:rsidR="00260F1F" w:rsidRPr="00D609F3">
        <w:rPr>
          <w:rFonts w:asciiTheme="majorHAnsi" w:hAnsiTheme="majorHAnsi" w:cstheme="majorHAnsi"/>
          <w:sz w:val="24"/>
          <w:szCs w:val="24"/>
        </w:rPr>
        <w:t>torture</w:t>
      </w:r>
      <w:r w:rsidR="006C4E53" w:rsidRPr="00D609F3">
        <w:rPr>
          <w:rFonts w:asciiTheme="majorHAnsi" w:hAnsiTheme="majorHAnsi" w:cstheme="majorHAnsi"/>
          <w:sz w:val="24"/>
          <w:szCs w:val="24"/>
        </w:rPr>
        <w:t xml:space="preserve"> and </w:t>
      </w:r>
      <w:r w:rsidR="00260F1F" w:rsidRPr="00D609F3">
        <w:rPr>
          <w:rFonts w:asciiTheme="majorHAnsi" w:hAnsiTheme="majorHAnsi" w:cstheme="majorHAnsi"/>
          <w:sz w:val="24"/>
          <w:szCs w:val="24"/>
        </w:rPr>
        <w:t>cruel, inhuman, or degrading t</w:t>
      </w:r>
      <w:r w:rsidR="00AC6B0C" w:rsidRPr="00D609F3">
        <w:rPr>
          <w:rFonts w:asciiTheme="majorHAnsi" w:hAnsiTheme="majorHAnsi" w:cstheme="majorHAnsi"/>
          <w:sz w:val="24"/>
          <w:szCs w:val="24"/>
        </w:rPr>
        <w:t>reatment or punishment</w:t>
      </w:r>
      <w:r w:rsidR="002C540B" w:rsidRPr="00D609F3">
        <w:rPr>
          <w:rFonts w:asciiTheme="majorHAnsi" w:hAnsiTheme="majorHAnsi" w:cstheme="majorHAnsi"/>
          <w:sz w:val="24"/>
          <w:szCs w:val="24"/>
        </w:rPr>
        <w:t>, DIGNITY</w:t>
      </w:r>
      <w:r w:rsidR="00260F1F" w:rsidRPr="00D609F3">
        <w:rPr>
          <w:rFonts w:asciiTheme="majorHAnsi" w:hAnsiTheme="majorHAnsi" w:cstheme="majorHAnsi"/>
          <w:sz w:val="24"/>
          <w:szCs w:val="24"/>
        </w:rPr>
        <w:t xml:space="preserve"> submit</w:t>
      </w:r>
      <w:r w:rsidR="002C540B" w:rsidRPr="00D609F3">
        <w:rPr>
          <w:rFonts w:asciiTheme="majorHAnsi" w:hAnsiTheme="majorHAnsi" w:cstheme="majorHAnsi"/>
          <w:sz w:val="24"/>
          <w:szCs w:val="24"/>
        </w:rPr>
        <w:t xml:space="preserve">s this contribution to </w:t>
      </w:r>
      <w:r w:rsidR="00260F1F" w:rsidRPr="00D609F3">
        <w:rPr>
          <w:rFonts w:asciiTheme="majorHAnsi" w:hAnsiTheme="majorHAnsi" w:cstheme="majorHAnsi"/>
          <w:sz w:val="24"/>
          <w:szCs w:val="24"/>
        </w:rPr>
        <w:t xml:space="preserve">highlight the overlooked intersections between TFGBV and the international legal framework prohibiting torture and </w:t>
      </w:r>
      <w:r w:rsidR="006C4E53" w:rsidRPr="00D609F3">
        <w:rPr>
          <w:rFonts w:asciiTheme="majorHAnsi" w:hAnsiTheme="majorHAnsi" w:cstheme="majorHAnsi"/>
          <w:sz w:val="24"/>
          <w:szCs w:val="24"/>
        </w:rPr>
        <w:t xml:space="preserve">other </w:t>
      </w:r>
      <w:r w:rsidR="00260F1F" w:rsidRPr="00D609F3">
        <w:rPr>
          <w:rFonts w:asciiTheme="majorHAnsi" w:hAnsiTheme="majorHAnsi" w:cstheme="majorHAnsi"/>
          <w:sz w:val="24"/>
          <w:szCs w:val="24"/>
        </w:rPr>
        <w:t>ill-treatment.</w:t>
      </w:r>
      <w:r w:rsidR="006C4E53" w:rsidRPr="00D609F3">
        <w:rPr>
          <w:rFonts w:asciiTheme="majorHAnsi" w:hAnsiTheme="majorHAnsi" w:cstheme="majorHAnsi"/>
          <w:sz w:val="24"/>
          <w:szCs w:val="24"/>
        </w:rPr>
        <w:t xml:space="preserve"> The following responds to question I.1 of the Advisory Committee’s questionnaire regarding which human rights are negatively impacted by technology-facilitated gender-based violence against women and girls. </w:t>
      </w:r>
    </w:p>
    <w:p w14:paraId="10B0CE84" w14:textId="77777777" w:rsidR="00260F1F" w:rsidRPr="00D609F3" w:rsidRDefault="00260F1F"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 xml:space="preserve">While TFGBV is most commonly examined through the lenses of gender discrimination, violence against women, and digital rights, it is critical to </w:t>
      </w:r>
      <w:r w:rsidR="006C4E53" w:rsidRPr="00D609F3">
        <w:rPr>
          <w:rFonts w:asciiTheme="majorHAnsi" w:hAnsiTheme="majorHAnsi" w:cstheme="majorHAnsi"/>
          <w:sz w:val="24"/>
          <w:szCs w:val="24"/>
        </w:rPr>
        <w:t xml:space="preserve">additionally </w:t>
      </w:r>
      <w:r w:rsidRPr="00D609F3">
        <w:rPr>
          <w:rFonts w:asciiTheme="majorHAnsi" w:hAnsiTheme="majorHAnsi" w:cstheme="majorHAnsi"/>
          <w:sz w:val="24"/>
          <w:szCs w:val="24"/>
        </w:rPr>
        <w:t xml:space="preserve">recognize that certain forms of TFGBV share significant characteristics with acts of violence that have been found to constitute torture or ill-treatment under international law. A failure to apply the torture framework risks overlooking the cumulative and severe harm that TFGBV inflicts on victims, particularly those in </w:t>
      </w:r>
      <w:r w:rsidR="002C540B" w:rsidRPr="00D609F3">
        <w:rPr>
          <w:rFonts w:asciiTheme="majorHAnsi" w:hAnsiTheme="majorHAnsi" w:cstheme="majorHAnsi"/>
          <w:sz w:val="24"/>
          <w:szCs w:val="24"/>
        </w:rPr>
        <w:t>marginalized or vulnerable communities.</w:t>
      </w:r>
    </w:p>
    <w:p w14:paraId="69EF6043" w14:textId="77777777" w:rsidR="00260F1F" w:rsidRPr="00D609F3" w:rsidRDefault="00260F1F" w:rsidP="00FD1997">
      <w:pPr>
        <w:pStyle w:val="NormalWeb"/>
        <w:numPr>
          <w:ilvl w:val="0"/>
          <w:numId w:val="3"/>
        </w:numPr>
        <w:spacing w:before="200" w:beforeAutospacing="0" w:after="200" w:afterAutospacing="0"/>
        <w:jc w:val="both"/>
        <w:rPr>
          <w:rFonts w:asciiTheme="majorHAnsi" w:hAnsiTheme="majorHAnsi" w:cstheme="majorHAnsi"/>
          <w:sz w:val="24"/>
          <w:szCs w:val="24"/>
          <w:u w:val="single"/>
        </w:rPr>
      </w:pPr>
      <w:r w:rsidRPr="00D609F3">
        <w:rPr>
          <w:rFonts w:asciiTheme="majorHAnsi" w:hAnsiTheme="majorHAnsi" w:cstheme="majorHAnsi"/>
          <w:sz w:val="24"/>
          <w:szCs w:val="24"/>
          <w:u w:val="single"/>
        </w:rPr>
        <w:t>The Overlooked Intersection</w:t>
      </w:r>
      <w:r w:rsidR="00236FE1" w:rsidRPr="00D609F3">
        <w:rPr>
          <w:rFonts w:asciiTheme="majorHAnsi" w:hAnsiTheme="majorHAnsi" w:cstheme="majorHAnsi"/>
          <w:sz w:val="24"/>
          <w:szCs w:val="24"/>
          <w:u w:val="single"/>
        </w:rPr>
        <w:t>s</w:t>
      </w:r>
      <w:r w:rsidRPr="00D609F3">
        <w:rPr>
          <w:rFonts w:asciiTheme="majorHAnsi" w:hAnsiTheme="majorHAnsi" w:cstheme="majorHAnsi"/>
          <w:sz w:val="24"/>
          <w:szCs w:val="24"/>
          <w:u w:val="single"/>
        </w:rPr>
        <w:t xml:space="preserve"> Between TFGBV and Torture/Ill-Treatment</w:t>
      </w:r>
    </w:p>
    <w:p w14:paraId="1F4CE107" w14:textId="77777777" w:rsidR="006C4E53" w:rsidRPr="00D609F3" w:rsidRDefault="006C4E53"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color w:val="000000"/>
          <w:sz w:val="24"/>
          <w:szCs w:val="24"/>
        </w:rPr>
        <w:t>International law’s prohibition of torture and cruel, inhuman or degrading treatment is one of the few absolute human rights. Both torture and cruel, inhuman or degrading treatment are prohibited, without any exception, in the UN Convention against Torture,</w:t>
      </w:r>
      <w:r w:rsidR="00413981" w:rsidRPr="00D609F3">
        <w:rPr>
          <w:rStyle w:val="EndnoteReference"/>
          <w:rFonts w:asciiTheme="majorHAnsi" w:hAnsiTheme="majorHAnsi" w:cstheme="majorHAnsi"/>
          <w:color w:val="000000"/>
          <w:sz w:val="24"/>
          <w:szCs w:val="24"/>
        </w:rPr>
        <w:endnoteReference w:id="1"/>
      </w:r>
      <w:r w:rsidRPr="00D609F3">
        <w:rPr>
          <w:rFonts w:asciiTheme="majorHAnsi" w:hAnsiTheme="majorHAnsi" w:cstheme="majorHAnsi"/>
          <w:color w:val="000000"/>
          <w:sz w:val="24"/>
          <w:szCs w:val="24"/>
        </w:rPr>
        <w:t xml:space="preserve"> the International Covenant on Civil and Political Rights,</w:t>
      </w:r>
      <w:r w:rsidR="00413981" w:rsidRPr="00D609F3">
        <w:rPr>
          <w:rStyle w:val="EndnoteReference"/>
          <w:rFonts w:asciiTheme="majorHAnsi" w:hAnsiTheme="majorHAnsi" w:cstheme="majorHAnsi"/>
          <w:color w:val="000000"/>
          <w:sz w:val="24"/>
          <w:szCs w:val="24"/>
        </w:rPr>
        <w:endnoteReference w:id="2"/>
      </w:r>
      <w:r w:rsidRPr="00D609F3">
        <w:rPr>
          <w:rFonts w:asciiTheme="majorHAnsi" w:hAnsiTheme="majorHAnsi" w:cstheme="majorHAnsi"/>
          <w:color w:val="000000"/>
          <w:sz w:val="24"/>
          <w:szCs w:val="24"/>
        </w:rPr>
        <w:t xml:space="preserve"> the 1948 Geneva Conventions,</w:t>
      </w:r>
      <w:r w:rsidR="00413981" w:rsidRPr="00D609F3">
        <w:rPr>
          <w:rStyle w:val="EndnoteReference"/>
          <w:rFonts w:asciiTheme="majorHAnsi" w:hAnsiTheme="majorHAnsi" w:cstheme="majorHAnsi"/>
          <w:color w:val="000000"/>
          <w:sz w:val="24"/>
          <w:szCs w:val="24"/>
        </w:rPr>
        <w:endnoteReference w:id="3"/>
      </w:r>
      <w:r w:rsidRPr="00D609F3">
        <w:rPr>
          <w:rFonts w:asciiTheme="majorHAnsi" w:hAnsiTheme="majorHAnsi" w:cstheme="majorHAnsi"/>
          <w:color w:val="000000"/>
          <w:sz w:val="24"/>
          <w:szCs w:val="24"/>
        </w:rPr>
        <w:t xml:space="preserve"> numerous other international and regional human rights treaties,</w:t>
      </w:r>
      <w:r w:rsidR="00537F61" w:rsidRPr="00D609F3">
        <w:rPr>
          <w:rStyle w:val="EndnoteReference"/>
          <w:rFonts w:asciiTheme="majorHAnsi" w:hAnsiTheme="majorHAnsi" w:cstheme="majorHAnsi"/>
          <w:color w:val="000000"/>
          <w:sz w:val="24"/>
          <w:szCs w:val="24"/>
        </w:rPr>
        <w:endnoteReference w:id="4"/>
      </w:r>
      <w:r w:rsidRPr="00D609F3">
        <w:rPr>
          <w:rFonts w:asciiTheme="majorHAnsi" w:hAnsiTheme="majorHAnsi" w:cstheme="majorHAnsi"/>
          <w:color w:val="000000"/>
          <w:sz w:val="24"/>
          <w:szCs w:val="24"/>
        </w:rPr>
        <w:t xml:space="preserve"> and national constitutions and legislative frameworks.</w:t>
      </w:r>
      <w:r w:rsidR="00413981" w:rsidRPr="00D609F3">
        <w:rPr>
          <w:rStyle w:val="EndnoteReference"/>
          <w:rFonts w:asciiTheme="majorHAnsi" w:hAnsiTheme="majorHAnsi" w:cstheme="majorHAnsi"/>
          <w:color w:val="000000"/>
          <w:sz w:val="24"/>
          <w:szCs w:val="24"/>
        </w:rPr>
        <w:endnoteReference w:id="5"/>
      </w:r>
      <w:r w:rsidR="00537F61" w:rsidRPr="00D609F3">
        <w:rPr>
          <w:rFonts w:asciiTheme="majorHAnsi" w:hAnsiTheme="majorHAnsi" w:cstheme="majorHAnsi"/>
          <w:color w:val="000000"/>
          <w:sz w:val="24"/>
          <w:szCs w:val="24"/>
        </w:rPr>
        <w:t xml:space="preserve"> This absolute prohibition is also regard</w:t>
      </w:r>
      <w:r w:rsidR="002C540B" w:rsidRPr="00D609F3">
        <w:rPr>
          <w:rFonts w:asciiTheme="majorHAnsi" w:hAnsiTheme="majorHAnsi" w:cstheme="majorHAnsi"/>
          <w:color w:val="000000"/>
          <w:sz w:val="24"/>
          <w:szCs w:val="24"/>
        </w:rPr>
        <w:t>ed</w:t>
      </w:r>
      <w:r w:rsidR="00537F61" w:rsidRPr="00D609F3">
        <w:rPr>
          <w:rFonts w:asciiTheme="majorHAnsi" w:hAnsiTheme="majorHAnsi" w:cstheme="majorHAnsi"/>
          <w:color w:val="000000"/>
          <w:sz w:val="24"/>
          <w:szCs w:val="24"/>
        </w:rPr>
        <w:t xml:space="preserve"> as customary international law and a non-derogable peremptory norm.</w:t>
      </w:r>
      <w:r w:rsidR="00537F61" w:rsidRPr="00D609F3">
        <w:rPr>
          <w:rStyle w:val="EndnoteReference"/>
          <w:rFonts w:asciiTheme="majorHAnsi" w:hAnsiTheme="majorHAnsi" w:cstheme="majorHAnsi"/>
          <w:color w:val="000000"/>
          <w:sz w:val="24"/>
          <w:szCs w:val="24"/>
        </w:rPr>
        <w:endnoteReference w:id="6"/>
      </w:r>
      <w:r w:rsidRPr="00D609F3">
        <w:rPr>
          <w:rFonts w:asciiTheme="majorHAnsi" w:hAnsiTheme="majorHAnsi" w:cstheme="majorHAnsi"/>
          <w:color w:val="000000"/>
          <w:sz w:val="24"/>
          <w:szCs w:val="24"/>
        </w:rPr>
        <w:t xml:space="preserve"> </w:t>
      </w:r>
    </w:p>
    <w:p w14:paraId="63619897" w14:textId="77777777" w:rsidR="00260F1F" w:rsidRPr="00D609F3" w:rsidRDefault="006E0529"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 xml:space="preserve">As such, the legal framework guaranteeing freedom from torture offers an incredibly durable framework from which to approach the harms emanating from technology facilitated violence. Moreover, </w:t>
      </w:r>
      <w:r w:rsidR="00260F1F" w:rsidRPr="00D609F3">
        <w:rPr>
          <w:rFonts w:asciiTheme="majorHAnsi" w:hAnsiTheme="majorHAnsi" w:cstheme="majorHAnsi"/>
          <w:sz w:val="24"/>
          <w:szCs w:val="24"/>
        </w:rPr>
        <w:t>TFGBV exhibits se</w:t>
      </w:r>
      <w:r w:rsidRPr="00D609F3">
        <w:rPr>
          <w:rFonts w:asciiTheme="majorHAnsi" w:hAnsiTheme="majorHAnsi" w:cstheme="majorHAnsi"/>
          <w:sz w:val="24"/>
          <w:szCs w:val="24"/>
        </w:rPr>
        <w:t>veral characteristics that closely mirror</w:t>
      </w:r>
      <w:r w:rsidR="00260F1F" w:rsidRPr="00D609F3">
        <w:rPr>
          <w:rFonts w:asciiTheme="majorHAnsi" w:hAnsiTheme="majorHAnsi" w:cstheme="majorHAnsi"/>
          <w:sz w:val="24"/>
          <w:szCs w:val="24"/>
        </w:rPr>
        <w:t xml:space="preserve"> forms of</w:t>
      </w:r>
      <w:r w:rsidRPr="00D609F3">
        <w:rPr>
          <w:rFonts w:asciiTheme="majorHAnsi" w:hAnsiTheme="majorHAnsi" w:cstheme="majorHAnsi"/>
          <w:sz w:val="24"/>
          <w:szCs w:val="24"/>
        </w:rPr>
        <w:t xml:space="preserve"> abuse that are habitually </w:t>
      </w:r>
      <w:r w:rsidR="00260F1F" w:rsidRPr="00D609F3">
        <w:rPr>
          <w:rFonts w:asciiTheme="majorHAnsi" w:hAnsiTheme="majorHAnsi" w:cstheme="majorHAnsi"/>
          <w:sz w:val="24"/>
          <w:szCs w:val="24"/>
        </w:rPr>
        <w:t xml:space="preserve">recognized as torture or </w:t>
      </w:r>
      <w:r w:rsidRPr="00D609F3">
        <w:rPr>
          <w:rFonts w:asciiTheme="majorHAnsi" w:hAnsiTheme="majorHAnsi" w:cstheme="majorHAnsi"/>
          <w:sz w:val="24"/>
          <w:szCs w:val="24"/>
        </w:rPr>
        <w:t xml:space="preserve">other </w:t>
      </w:r>
      <w:r w:rsidR="00260F1F" w:rsidRPr="00D609F3">
        <w:rPr>
          <w:rFonts w:asciiTheme="majorHAnsi" w:hAnsiTheme="majorHAnsi" w:cstheme="majorHAnsi"/>
          <w:sz w:val="24"/>
          <w:szCs w:val="24"/>
        </w:rPr>
        <w:t>ill-treatment, including:</w:t>
      </w:r>
    </w:p>
    <w:p w14:paraId="3227CAE6" w14:textId="77777777" w:rsidR="00260F1F" w:rsidRPr="00D609F3" w:rsidRDefault="00260F1F" w:rsidP="00FD1997">
      <w:pPr>
        <w:pStyle w:val="NormalWeb"/>
        <w:numPr>
          <w:ilvl w:val="0"/>
          <w:numId w:val="2"/>
        </w:numPr>
        <w:spacing w:before="200" w:beforeAutospacing="0" w:after="200" w:afterAutospacing="0"/>
        <w:jc w:val="both"/>
        <w:rPr>
          <w:rFonts w:asciiTheme="majorHAnsi" w:hAnsiTheme="majorHAnsi" w:cstheme="majorHAnsi"/>
          <w:i/>
          <w:sz w:val="24"/>
          <w:szCs w:val="24"/>
          <w:u w:val="single"/>
        </w:rPr>
      </w:pPr>
      <w:r w:rsidRPr="00D609F3">
        <w:rPr>
          <w:rFonts w:asciiTheme="majorHAnsi" w:hAnsiTheme="majorHAnsi" w:cstheme="majorHAnsi"/>
          <w:i/>
          <w:sz w:val="24"/>
          <w:szCs w:val="24"/>
          <w:u w:val="single"/>
        </w:rPr>
        <w:t>Cumulative Harm and the Legal Concept of Severe Suffering</w:t>
      </w:r>
    </w:p>
    <w:p w14:paraId="3B9F9E90" w14:textId="77777777" w:rsidR="00F24F2E" w:rsidRPr="00D609F3" w:rsidRDefault="00BA4421"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International jurisprudence acknowledges that acts which may not meet the threshold of torture in isolation can rise to that level when experienced cumulati</w:t>
      </w:r>
      <w:r w:rsidR="00F24F2E" w:rsidRPr="00D609F3">
        <w:rPr>
          <w:rFonts w:asciiTheme="majorHAnsi" w:hAnsiTheme="majorHAnsi" w:cstheme="majorHAnsi"/>
          <w:sz w:val="24"/>
          <w:szCs w:val="24"/>
        </w:rPr>
        <w:t>vely over time. This</w:t>
      </w:r>
      <w:r w:rsidRPr="00D609F3">
        <w:rPr>
          <w:rFonts w:asciiTheme="majorHAnsi" w:hAnsiTheme="majorHAnsi" w:cstheme="majorHAnsi"/>
          <w:sz w:val="24"/>
          <w:szCs w:val="24"/>
        </w:rPr>
        <w:t xml:space="preserve"> concept of cumulative harm has been crucial in cases concerning</w:t>
      </w:r>
      <w:r w:rsidR="00CD579F" w:rsidRPr="00D609F3">
        <w:rPr>
          <w:rFonts w:asciiTheme="majorHAnsi" w:hAnsiTheme="majorHAnsi" w:cstheme="majorHAnsi"/>
          <w:sz w:val="24"/>
          <w:szCs w:val="24"/>
        </w:rPr>
        <w:t xml:space="preserve"> prisoner</w:t>
      </w:r>
      <w:r w:rsidRPr="00D609F3">
        <w:rPr>
          <w:rFonts w:asciiTheme="majorHAnsi" w:hAnsiTheme="majorHAnsi" w:cstheme="majorHAnsi"/>
          <w:sz w:val="24"/>
          <w:szCs w:val="24"/>
        </w:rPr>
        <w:t xml:space="preserve"> </w:t>
      </w:r>
      <w:r w:rsidR="00CD579F" w:rsidRPr="00D609F3">
        <w:rPr>
          <w:rFonts w:asciiTheme="majorHAnsi" w:hAnsiTheme="majorHAnsi" w:cstheme="majorHAnsi"/>
          <w:sz w:val="24"/>
          <w:szCs w:val="24"/>
        </w:rPr>
        <w:t>isolation/</w:t>
      </w:r>
      <w:r w:rsidRPr="00D609F3">
        <w:rPr>
          <w:rFonts w:asciiTheme="majorHAnsi" w:hAnsiTheme="majorHAnsi" w:cstheme="majorHAnsi"/>
          <w:sz w:val="24"/>
          <w:szCs w:val="24"/>
        </w:rPr>
        <w:t>solitary confinement,</w:t>
      </w:r>
      <w:r w:rsidR="00CD579F" w:rsidRPr="00D609F3">
        <w:rPr>
          <w:rStyle w:val="EndnoteReference"/>
          <w:rFonts w:asciiTheme="majorHAnsi" w:hAnsiTheme="majorHAnsi" w:cstheme="majorHAnsi"/>
          <w:sz w:val="24"/>
          <w:szCs w:val="24"/>
        </w:rPr>
        <w:endnoteReference w:id="7"/>
      </w:r>
      <w:r w:rsidRPr="00D609F3">
        <w:rPr>
          <w:rFonts w:asciiTheme="majorHAnsi" w:hAnsiTheme="majorHAnsi" w:cstheme="majorHAnsi"/>
          <w:sz w:val="24"/>
          <w:szCs w:val="24"/>
        </w:rPr>
        <w:t xml:space="preserve"> sleep deprivation,</w:t>
      </w:r>
      <w:r w:rsidR="004E41EA" w:rsidRPr="00D609F3">
        <w:rPr>
          <w:rStyle w:val="EndnoteReference"/>
          <w:rFonts w:asciiTheme="majorHAnsi" w:hAnsiTheme="majorHAnsi" w:cstheme="majorHAnsi"/>
          <w:sz w:val="24"/>
          <w:szCs w:val="24"/>
        </w:rPr>
        <w:endnoteReference w:id="8"/>
      </w:r>
      <w:r w:rsidRPr="00D609F3">
        <w:rPr>
          <w:rFonts w:asciiTheme="majorHAnsi" w:hAnsiTheme="majorHAnsi" w:cstheme="majorHAnsi"/>
          <w:sz w:val="24"/>
          <w:szCs w:val="24"/>
        </w:rPr>
        <w:t xml:space="preserve"> and other forms of sensory deprivation,</w:t>
      </w:r>
      <w:r w:rsidR="00E2125D" w:rsidRPr="00D609F3">
        <w:rPr>
          <w:rStyle w:val="EndnoteReference"/>
          <w:rFonts w:asciiTheme="majorHAnsi" w:hAnsiTheme="majorHAnsi" w:cstheme="majorHAnsi"/>
          <w:sz w:val="24"/>
          <w:szCs w:val="24"/>
        </w:rPr>
        <w:endnoteReference w:id="9"/>
      </w:r>
      <w:r w:rsidRPr="00D609F3">
        <w:rPr>
          <w:rFonts w:asciiTheme="majorHAnsi" w:hAnsiTheme="majorHAnsi" w:cstheme="majorHAnsi"/>
          <w:sz w:val="24"/>
          <w:szCs w:val="24"/>
        </w:rPr>
        <w:t xml:space="preserve"> which are recognized as methods of torture or ill-treatment due to their severe psychological and physiological effects. This framework provides a compelling lens through which to assess the long-term impact of TFGBV.</w:t>
      </w:r>
    </w:p>
    <w:p w14:paraId="7592DF50" w14:textId="77777777" w:rsidR="00A93D53" w:rsidRPr="00D609F3" w:rsidRDefault="00F24F2E"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For example, s</w:t>
      </w:r>
      <w:r w:rsidR="00BA4421" w:rsidRPr="00D609F3">
        <w:rPr>
          <w:rFonts w:asciiTheme="majorHAnsi" w:hAnsiTheme="majorHAnsi" w:cstheme="majorHAnsi"/>
          <w:sz w:val="24"/>
          <w:szCs w:val="24"/>
        </w:rPr>
        <w:t>leep deprivation has long been identified as a technique of psychological torture due to its ability to impair cognitive function, heighten emotional distress, and induce severe anxiety.</w:t>
      </w:r>
      <w:r w:rsidR="00A93D53" w:rsidRPr="00D609F3">
        <w:rPr>
          <w:rStyle w:val="EndnoteReference"/>
          <w:rFonts w:asciiTheme="majorHAnsi" w:hAnsiTheme="majorHAnsi" w:cstheme="majorHAnsi"/>
          <w:sz w:val="24"/>
          <w:szCs w:val="24"/>
        </w:rPr>
        <w:endnoteReference w:id="10"/>
      </w:r>
      <w:r w:rsidR="00BA4421" w:rsidRPr="00D609F3">
        <w:rPr>
          <w:rFonts w:asciiTheme="majorHAnsi" w:hAnsiTheme="majorHAnsi" w:cstheme="majorHAnsi"/>
          <w:sz w:val="24"/>
          <w:szCs w:val="24"/>
        </w:rPr>
        <w:t xml:space="preserve"> Studies indicate that prolonged sleep deprivation leads to heightened emotional reactivity, reduced inhibition, and increased susceptibility to fear and psycholo</w:t>
      </w:r>
      <w:r w:rsidR="00A93D53" w:rsidRPr="00D609F3">
        <w:rPr>
          <w:rFonts w:asciiTheme="majorHAnsi" w:hAnsiTheme="majorHAnsi" w:cstheme="majorHAnsi"/>
          <w:sz w:val="24"/>
          <w:szCs w:val="24"/>
        </w:rPr>
        <w:t>gical coercion.</w:t>
      </w:r>
      <w:r w:rsidR="00A93D53" w:rsidRPr="00D609F3">
        <w:rPr>
          <w:rStyle w:val="EndnoteReference"/>
          <w:rFonts w:asciiTheme="majorHAnsi" w:hAnsiTheme="majorHAnsi" w:cstheme="majorHAnsi"/>
          <w:sz w:val="24"/>
          <w:szCs w:val="24"/>
        </w:rPr>
        <w:endnoteReference w:id="11"/>
      </w:r>
      <w:r w:rsidR="00A93D53" w:rsidRPr="00D609F3">
        <w:rPr>
          <w:rFonts w:asciiTheme="majorHAnsi" w:hAnsiTheme="majorHAnsi" w:cstheme="majorHAnsi"/>
          <w:sz w:val="24"/>
          <w:szCs w:val="24"/>
        </w:rPr>
        <w:t xml:space="preserve"> </w:t>
      </w:r>
    </w:p>
    <w:p w14:paraId="1E8DFA93" w14:textId="77777777" w:rsidR="00BA4421" w:rsidRPr="00D609F3" w:rsidRDefault="00BA4421"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Victims of TFGBV often experience similar patterns of harm due to the relentless nature of online attacks—continuous exposure to threats, harassment, and digital surveillance can lead to severe stress, anxiety, and cognitive overload, which impairs a person’s ability to function and exercise agency in their online and offline lives. The intentional and prolonged nature of such campaigns mirrors the structural elements of sleep deprivation used in coercive settings, where suffering is deliberately inflicted through sustained, ine</w:t>
      </w:r>
      <w:r w:rsidR="00A93D53" w:rsidRPr="00D609F3">
        <w:rPr>
          <w:rFonts w:asciiTheme="majorHAnsi" w:hAnsiTheme="majorHAnsi" w:cstheme="majorHAnsi"/>
          <w:sz w:val="24"/>
          <w:szCs w:val="24"/>
        </w:rPr>
        <w:t>scapable psychological pressure.</w:t>
      </w:r>
    </w:p>
    <w:p w14:paraId="47D28C47" w14:textId="56410F11" w:rsidR="00BA4421" w:rsidRPr="00D609F3" w:rsidRDefault="00A93D53"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Similarly, r</w:t>
      </w:r>
      <w:r w:rsidR="00BA4421" w:rsidRPr="00D609F3">
        <w:rPr>
          <w:rFonts w:asciiTheme="majorHAnsi" w:hAnsiTheme="majorHAnsi" w:cstheme="majorHAnsi"/>
          <w:sz w:val="24"/>
          <w:szCs w:val="24"/>
        </w:rPr>
        <w:t>esearch has shown that environments characterized by unpredictability and lack of control exert the greatest impact on anxiety and fear.</w:t>
      </w:r>
      <w:r w:rsidRPr="00D609F3">
        <w:rPr>
          <w:rStyle w:val="EndnoteReference"/>
          <w:rFonts w:asciiTheme="majorHAnsi" w:hAnsiTheme="majorHAnsi" w:cstheme="majorHAnsi"/>
          <w:sz w:val="24"/>
          <w:szCs w:val="24"/>
        </w:rPr>
        <w:endnoteReference w:id="12"/>
      </w:r>
      <w:r w:rsidR="00BA4421" w:rsidRPr="00D609F3">
        <w:rPr>
          <w:rFonts w:asciiTheme="majorHAnsi" w:hAnsiTheme="majorHAnsi" w:cstheme="majorHAnsi"/>
          <w:sz w:val="24"/>
          <w:szCs w:val="24"/>
        </w:rPr>
        <w:t xml:space="preserve"> </w:t>
      </w:r>
      <w:r w:rsidR="008D4167">
        <w:rPr>
          <w:rFonts w:asciiTheme="majorHAnsi" w:hAnsiTheme="majorHAnsi" w:cstheme="majorHAnsi"/>
          <w:sz w:val="24"/>
          <w:szCs w:val="24"/>
        </w:rPr>
        <w:t>Indeed, so-called</w:t>
      </w:r>
      <w:r w:rsidR="008D4167" w:rsidRPr="00D609F3">
        <w:rPr>
          <w:rFonts w:asciiTheme="majorHAnsi" w:hAnsiTheme="majorHAnsi" w:cstheme="majorHAnsi"/>
          <w:sz w:val="24"/>
          <w:szCs w:val="24"/>
        </w:rPr>
        <w:t xml:space="preserve"> </w:t>
      </w:r>
      <w:r w:rsidR="008D4167">
        <w:rPr>
          <w:rFonts w:asciiTheme="majorHAnsi" w:hAnsiTheme="majorHAnsi" w:cstheme="majorHAnsi"/>
          <w:sz w:val="24"/>
          <w:szCs w:val="24"/>
        </w:rPr>
        <w:t xml:space="preserve">“torturing environments” employ </w:t>
      </w:r>
      <w:r w:rsidR="0011619E">
        <w:rPr>
          <w:rFonts w:asciiTheme="majorHAnsi" w:hAnsiTheme="majorHAnsi" w:cstheme="majorHAnsi"/>
          <w:sz w:val="24"/>
          <w:szCs w:val="24"/>
        </w:rPr>
        <w:t>“</w:t>
      </w:r>
      <w:r w:rsidR="008D4167">
        <w:rPr>
          <w:rFonts w:asciiTheme="majorHAnsi" w:hAnsiTheme="majorHAnsi" w:cstheme="majorHAnsi"/>
          <w:sz w:val="24"/>
          <w:szCs w:val="24"/>
        </w:rPr>
        <w:t>conditions or</w:t>
      </w:r>
      <w:r w:rsidR="008D4167" w:rsidRPr="00583509">
        <w:rPr>
          <w:rFonts w:asciiTheme="majorHAnsi" w:hAnsiTheme="majorHAnsi" w:cstheme="majorHAnsi"/>
          <w:sz w:val="24"/>
          <w:szCs w:val="24"/>
        </w:rPr>
        <w:t xml:space="preserve"> practices that o</w:t>
      </w:r>
      <w:r w:rsidR="008D4167">
        <w:rPr>
          <w:rFonts w:asciiTheme="majorHAnsi" w:hAnsiTheme="majorHAnsi" w:cstheme="majorHAnsi"/>
          <w:sz w:val="24"/>
          <w:szCs w:val="24"/>
        </w:rPr>
        <w:t xml:space="preserve">bliterate the control </w:t>
      </w:r>
      <w:r w:rsidR="008D4167" w:rsidRPr="00583509">
        <w:rPr>
          <w:rFonts w:asciiTheme="majorHAnsi" w:hAnsiTheme="majorHAnsi" w:cstheme="majorHAnsi"/>
          <w:sz w:val="24"/>
          <w:szCs w:val="24"/>
        </w:rPr>
        <w:t>and will of a detain</w:t>
      </w:r>
      <w:r w:rsidR="008D4167">
        <w:rPr>
          <w:rFonts w:asciiTheme="majorHAnsi" w:hAnsiTheme="majorHAnsi" w:cstheme="majorHAnsi"/>
          <w:sz w:val="24"/>
          <w:szCs w:val="24"/>
        </w:rPr>
        <w:t>ee and that compromise the self.</w:t>
      </w:r>
      <w:r w:rsidR="0011619E">
        <w:rPr>
          <w:rFonts w:asciiTheme="majorHAnsi" w:hAnsiTheme="majorHAnsi" w:cstheme="majorHAnsi"/>
          <w:sz w:val="24"/>
          <w:szCs w:val="24"/>
        </w:rPr>
        <w:t>”</w:t>
      </w:r>
      <w:r w:rsidR="008D4167" w:rsidRPr="00D609F3">
        <w:rPr>
          <w:rStyle w:val="EndnoteReference"/>
          <w:rFonts w:asciiTheme="majorHAnsi" w:hAnsiTheme="majorHAnsi" w:cstheme="majorHAnsi"/>
          <w:sz w:val="24"/>
          <w:szCs w:val="24"/>
        </w:rPr>
        <w:endnoteReference w:id="13"/>
      </w:r>
      <w:r w:rsidR="008D4167">
        <w:rPr>
          <w:rFonts w:asciiTheme="majorHAnsi" w:hAnsiTheme="majorHAnsi" w:cstheme="majorHAnsi"/>
          <w:sz w:val="24"/>
          <w:szCs w:val="24"/>
        </w:rPr>
        <w:t xml:space="preserve"> </w:t>
      </w:r>
      <w:r w:rsidR="0011619E">
        <w:rPr>
          <w:rFonts w:asciiTheme="majorHAnsi" w:hAnsiTheme="majorHAnsi" w:cstheme="majorHAnsi"/>
          <w:sz w:val="24"/>
          <w:szCs w:val="24"/>
        </w:rPr>
        <w:t>In many contexts these conditions are created through the cumulative effect of “</w:t>
      </w:r>
      <w:r w:rsidR="0011619E" w:rsidRPr="0011619E">
        <w:rPr>
          <w:rFonts w:asciiTheme="majorHAnsi" w:hAnsiTheme="majorHAnsi" w:cstheme="majorHAnsi"/>
          <w:sz w:val="24"/>
          <w:szCs w:val="24"/>
        </w:rPr>
        <w:t>conditions of detention</w:t>
      </w:r>
      <w:r w:rsidR="0011619E">
        <w:rPr>
          <w:rFonts w:asciiTheme="majorHAnsi" w:hAnsiTheme="majorHAnsi" w:cstheme="majorHAnsi"/>
          <w:sz w:val="24"/>
          <w:szCs w:val="24"/>
        </w:rPr>
        <w:t xml:space="preserve"> </w:t>
      </w:r>
      <w:r w:rsidR="0011619E" w:rsidRPr="0011619E">
        <w:rPr>
          <w:rFonts w:asciiTheme="majorHAnsi" w:hAnsiTheme="majorHAnsi" w:cstheme="majorHAnsi"/>
          <w:sz w:val="24"/>
          <w:szCs w:val="24"/>
        </w:rPr>
        <w:t>(even if they are not harsh conditions),</w:t>
      </w:r>
      <w:r w:rsidR="0011619E">
        <w:rPr>
          <w:rFonts w:asciiTheme="majorHAnsi" w:hAnsiTheme="majorHAnsi" w:cstheme="majorHAnsi"/>
          <w:sz w:val="24"/>
          <w:szCs w:val="24"/>
        </w:rPr>
        <w:t xml:space="preserve"> </w:t>
      </w:r>
      <w:r w:rsidR="0011619E" w:rsidRPr="0011619E">
        <w:rPr>
          <w:rFonts w:asciiTheme="majorHAnsi" w:hAnsiTheme="majorHAnsi" w:cstheme="majorHAnsi"/>
          <w:sz w:val="24"/>
          <w:szCs w:val="24"/>
        </w:rPr>
        <w:t>isolation (including being alone with one’s</w:t>
      </w:r>
      <w:r w:rsidR="0011619E">
        <w:rPr>
          <w:rFonts w:asciiTheme="majorHAnsi" w:hAnsiTheme="majorHAnsi" w:cstheme="majorHAnsi"/>
          <w:sz w:val="24"/>
          <w:szCs w:val="24"/>
        </w:rPr>
        <w:t xml:space="preserve"> </w:t>
      </w:r>
      <w:r w:rsidR="0011619E" w:rsidRPr="0011619E">
        <w:rPr>
          <w:rFonts w:asciiTheme="majorHAnsi" w:hAnsiTheme="majorHAnsi" w:cstheme="majorHAnsi"/>
          <w:sz w:val="24"/>
          <w:szCs w:val="24"/>
        </w:rPr>
        <w:t>thoughts), lack of control and uncertainty</w:t>
      </w:r>
      <w:r w:rsidR="0011619E">
        <w:rPr>
          <w:rFonts w:asciiTheme="majorHAnsi" w:hAnsiTheme="majorHAnsi" w:cstheme="majorHAnsi"/>
          <w:sz w:val="24"/>
          <w:szCs w:val="24"/>
        </w:rPr>
        <w:t xml:space="preserve"> </w:t>
      </w:r>
      <w:r w:rsidR="0011619E" w:rsidRPr="0011619E">
        <w:rPr>
          <w:rFonts w:asciiTheme="majorHAnsi" w:hAnsiTheme="majorHAnsi" w:cstheme="majorHAnsi"/>
          <w:sz w:val="24"/>
          <w:szCs w:val="24"/>
        </w:rPr>
        <w:t>about what will happen next, how long the</w:t>
      </w:r>
      <w:r w:rsidR="0011619E">
        <w:rPr>
          <w:rFonts w:asciiTheme="majorHAnsi" w:hAnsiTheme="majorHAnsi" w:cstheme="majorHAnsi"/>
          <w:sz w:val="24"/>
          <w:szCs w:val="24"/>
        </w:rPr>
        <w:t xml:space="preserve"> </w:t>
      </w:r>
      <w:r w:rsidR="0011619E" w:rsidRPr="0011619E">
        <w:rPr>
          <w:rFonts w:asciiTheme="majorHAnsi" w:hAnsiTheme="majorHAnsi" w:cstheme="majorHAnsi"/>
          <w:sz w:val="24"/>
          <w:szCs w:val="24"/>
        </w:rPr>
        <w:t>situation will last and the potential consequences</w:t>
      </w:r>
      <w:r w:rsidR="0011619E">
        <w:rPr>
          <w:rFonts w:asciiTheme="majorHAnsi" w:hAnsiTheme="majorHAnsi" w:cstheme="majorHAnsi"/>
          <w:sz w:val="24"/>
          <w:szCs w:val="24"/>
        </w:rPr>
        <w:t>.”</w:t>
      </w:r>
      <w:r w:rsidR="0011619E">
        <w:rPr>
          <w:rStyle w:val="EndnoteReference"/>
          <w:rFonts w:asciiTheme="majorHAnsi" w:hAnsiTheme="majorHAnsi" w:cstheme="majorHAnsi"/>
          <w:sz w:val="24"/>
          <w:szCs w:val="24"/>
        </w:rPr>
        <w:endnoteReference w:id="14"/>
      </w:r>
      <w:r w:rsidR="0011619E">
        <w:rPr>
          <w:rFonts w:asciiTheme="majorHAnsi" w:hAnsiTheme="majorHAnsi" w:cstheme="majorHAnsi"/>
          <w:sz w:val="24"/>
          <w:szCs w:val="24"/>
        </w:rPr>
        <w:t xml:space="preserve"> </w:t>
      </w:r>
      <w:r w:rsidR="00BA4421" w:rsidRPr="00D609F3">
        <w:rPr>
          <w:rFonts w:asciiTheme="majorHAnsi" w:hAnsiTheme="majorHAnsi" w:cstheme="majorHAnsi"/>
          <w:sz w:val="24"/>
          <w:szCs w:val="24"/>
        </w:rPr>
        <w:t>Victims of TFGBV, particularly women journalists, human rights defenders, and political figures, frequently find themselves in a similarly unpredictable and uncontrollable environment.</w:t>
      </w:r>
      <w:r w:rsidR="00C87016" w:rsidRPr="00D609F3">
        <w:rPr>
          <w:rStyle w:val="EndnoteReference"/>
          <w:rFonts w:asciiTheme="majorHAnsi" w:hAnsiTheme="majorHAnsi" w:cstheme="majorHAnsi"/>
          <w:sz w:val="24"/>
          <w:szCs w:val="24"/>
        </w:rPr>
        <w:endnoteReference w:id="15"/>
      </w:r>
      <w:r w:rsidR="00BA4421" w:rsidRPr="00D609F3">
        <w:rPr>
          <w:rFonts w:asciiTheme="majorHAnsi" w:hAnsiTheme="majorHAnsi" w:cstheme="majorHAnsi"/>
          <w:sz w:val="24"/>
          <w:szCs w:val="24"/>
        </w:rPr>
        <w:t xml:space="preserve"> Online abuse is not only persistent but also amplified through social media algorithms, making it difficult for victims to anticipate when the next wave of harassment will come. </w:t>
      </w:r>
      <w:r w:rsidR="008D4167">
        <w:rPr>
          <w:rFonts w:asciiTheme="majorHAnsi" w:hAnsiTheme="majorHAnsi" w:cstheme="majorHAnsi"/>
          <w:sz w:val="24"/>
          <w:szCs w:val="24"/>
        </w:rPr>
        <w:t>S</w:t>
      </w:r>
      <w:r w:rsidR="00BA4421" w:rsidRPr="00D609F3">
        <w:rPr>
          <w:rFonts w:asciiTheme="majorHAnsi" w:hAnsiTheme="majorHAnsi" w:cstheme="majorHAnsi"/>
          <w:sz w:val="24"/>
          <w:szCs w:val="24"/>
        </w:rPr>
        <w:t>ustained online abuse leads to</w:t>
      </w:r>
      <w:r w:rsidR="008D4167">
        <w:rPr>
          <w:rFonts w:asciiTheme="majorHAnsi" w:hAnsiTheme="majorHAnsi" w:cstheme="majorHAnsi"/>
          <w:sz w:val="24"/>
          <w:szCs w:val="24"/>
        </w:rPr>
        <w:t xml:space="preserve"> emotional, psychological, some even physical exhaustion and confusion that targets the victim’s sense of security and identity</w:t>
      </w:r>
      <w:r w:rsidR="00BA4421" w:rsidRPr="00D609F3">
        <w:rPr>
          <w:rFonts w:asciiTheme="majorHAnsi" w:hAnsiTheme="majorHAnsi" w:cstheme="majorHAnsi"/>
          <w:sz w:val="24"/>
          <w:szCs w:val="24"/>
        </w:rPr>
        <w:t>. The inability to control one’s exposure to TFGBV—whether through threats, deep</w:t>
      </w:r>
      <w:r w:rsidR="00C87016" w:rsidRPr="00D609F3">
        <w:rPr>
          <w:rFonts w:asciiTheme="majorHAnsi" w:hAnsiTheme="majorHAnsi" w:cstheme="majorHAnsi"/>
          <w:sz w:val="24"/>
          <w:szCs w:val="24"/>
        </w:rPr>
        <w:t>-</w:t>
      </w:r>
      <w:r w:rsidR="00BA4421" w:rsidRPr="00D609F3">
        <w:rPr>
          <w:rFonts w:asciiTheme="majorHAnsi" w:hAnsiTheme="majorHAnsi" w:cstheme="majorHAnsi"/>
          <w:sz w:val="24"/>
          <w:szCs w:val="24"/>
        </w:rPr>
        <w:t>fake pornography, doxxing, or misogynistic hate speech—creates an environment of fear and instability that has a comparable cumu</w:t>
      </w:r>
      <w:r w:rsidR="00C87016" w:rsidRPr="00D609F3">
        <w:rPr>
          <w:rFonts w:asciiTheme="majorHAnsi" w:hAnsiTheme="majorHAnsi" w:cstheme="majorHAnsi"/>
          <w:sz w:val="24"/>
          <w:szCs w:val="24"/>
        </w:rPr>
        <w:t>lative effect on mental health.</w:t>
      </w:r>
    </w:p>
    <w:p w14:paraId="1CFD1496" w14:textId="7459217F" w:rsidR="00FD1997" w:rsidRDefault="00BA4421"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A single instance of online harassment may not meet the thresho</w:t>
      </w:r>
      <w:r w:rsidR="00C87016" w:rsidRPr="00D609F3">
        <w:rPr>
          <w:rFonts w:asciiTheme="majorHAnsi" w:hAnsiTheme="majorHAnsi" w:cstheme="majorHAnsi"/>
          <w:sz w:val="24"/>
          <w:szCs w:val="24"/>
        </w:rPr>
        <w:t>ld of severe suffering under international law</w:t>
      </w:r>
      <w:r w:rsidRPr="00D609F3">
        <w:rPr>
          <w:rFonts w:asciiTheme="majorHAnsi" w:hAnsiTheme="majorHAnsi" w:cstheme="majorHAnsi"/>
          <w:sz w:val="24"/>
          <w:szCs w:val="24"/>
        </w:rPr>
        <w:t xml:space="preserve">, but when these acts are prolonged, targeted, and designed to cause psychological distress, they must be assessed within the framework of cumulative harm. Just as </w:t>
      </w:r>
      <w:r w:rsidR="00C87016" w:rsidRPr="00D609F3">
        <w:rPr>
          <w:rFonts w:asciiTheme="majorHAnsi" w:hAnsiTheme="majorHAnsi" w:cstheme="majorHAnsi"/>
          <w:sz w:val="24"/>
          <w:szCs w:val="24"/>
        </w:rPr>
        <w:t xml:space="preserve">a few hours of interrupted sleep or lack of sunlight </w:t>
      </w:r>
      <w:r w:rsidRPr="00D609F3">
        <w:rPr>
          <w:rFonts w:asciiTheme="majorHAnsi" w:hAnsiTheme="majorHAnsi" w:cstheme="majorHAnsi"/>
          <w:sz w:val="24"/>
          <w:szCs w:val="24"/>
        </w:rPr>
        <w:t>may not c</w:t>
      </w:r>
      <w:r w:rsidR="00C87016" w:rsidRPr="00D609F3">
        <w:rPr>
          <w:rFonts w:asciiTheme="majorHAnsi" w:hAnsiTheme="majorHAnsi" w:cstheme="majorHAnsi"/>
          <w:sz w:val="24"/>
          <w:szCs w:val="24"/>
        </w:rPr>
        <w:t>onstitute torture but several days</w:t>
      </w:r>
      <w:r w:rsidRPr="00D609F3">
        <w:rPr>
          <w:rFonts w:asciiTheme="majorHAnsi" w:hAnsiTheme="majorHAnsi" w:cstheme="majorHAnsi"/>
          <w:sz w:val="24"/>
          <w:szCs w:val="24"/>
        </w:rPr>
        <w:t xml:space="preserve"> d</w:t>
      </w:r>
      <w:r w:rsidR="00C87016" w:rsidRPr="00D609F3">
        <w:rPr>
          <w:rFonts w:asciiTheme="majorHAnsi" w:hAnsiTheme="majorHAnsi" w:cstheme="majorHAnsi"/>
          <w:sz w:val="24"/>
          <w:szCs w:val="24"/>
        </w:rPr>
        <w:t>oes, a single sexual harassing comment may not rise to the level of torture</w:t>
      </w:r>
      <w:r w:rsidRPr="00D609F3">
        <w:rPr>
          <w:rFonts w:asciiTheme="majorHAnsi" w:hAnsiTheme="majorHAnsi" w:cstheme="majorHAnsi"/>
          <w:sz w:val="24"/>
          <w:szCs w:val="24"/>
        </w:rPr>
        <w:t>, but months or years of sustained online abuse, public shaming,</w:t>
      </w:r>
      <w:r w:rsidR="00C87016" w:rsidRPr="00D609F3">
        <w:rPr>
          <w:rFonts w:asciiTheme="majorHAnsi" w:hAnsiTheme="majorHAnsi" w:cstheme="majorHAnsi"/>
          <w:sz w:val="24"/>
          <w:szCs w:val="24"/>
        </w:rPr>
        <w:t xml:space="preserve"> and digital surveillance may. In sum, r</w:t>
      </w:r>
      <w:r w:rsidRPr="00D609F3">
        <w:rPr>
          <w:rFonts w:asciiTheme="majorHAnsi" w:hAnsiTheme="majorHAnsi" w:cstheme="majorHAnsi"/>
          <w:sz w:val="24"/>
          <w:szCs w:val="24"/>
        </w:rPr>
        <w:t>ecognizing TFGBV through the lens of cumulative harm allows for a more accurate legal and human rights-b</w:t>
      </w:r>
      <w:r w:rsidR="00C87016" w:rsidRPr="00D609F3">
        <w:rPr>
          <w:rFonts w:asciiTheme="majorHAnsi" w:hAnsiTheme="majorHAnsi" w:cstheme="majorHAnsi"/>
          <w:sz w:val="24"/>
          <w:szCs w:val="24"/>
        </w:rPr>
        <w:t>ased assessment of its severity and its overlaps with the right to be free from torture and other ill-treatment.</w:t>
      </w:r>
    </w:p>
    <w:p w14:paraId="66456B49" w14:textId="77777777" w:rsidR="00046220" w:rsidRDefault="00046220" w:rsidP="00FD1997">
      <w:pPr>
        <w:pStyle w:val="NormalWeb"/>
        <w:spacing w:before="200" w:beforeAutospacing="0" w:after="200" w:afterAutospacing="0"/>
        <w:jc w:val="both"/>
        <w:rPr>
          <w:rFonts w:asciiTheme="majorHAnsi" w:hAnsiTheme="majorHAnsi" w:cstheme="majorHAnsi"/>
          <w:sz w:val="24"/>
          <w:szCs w:val="24"/>
        </w:rPr>
      </w:pPr>
    </w:p>
    <w:p w14:paraId="5FDE5631" w14:textId="77777777" w:rsidR="00046220" w:rsidRPr="00D609F3" w:rsidRDefault="00046220" w:rsidP="00FD1997">
      <w:pPr>
        <w:pStyle w:val="NormalWeb"/>
        <w:spacing w:before="200" w:beforeAutospacing="0" w:after="200" w:afterAutospacing="0"/>
        <w:jc w:val="both"/>
        <w:rPr>
          <w:rFonts w:asciiTheme="majorHAnsi" w:hAnsiTheme="majorHAnsi" w:cstheme="majorHAnsi"/>
          <w:sz w:val="24"/>
          <w:szCs w:val="24"/>
        </w:rPr>
      </w:pPr>
    </w:p>
    <w:p w14:paraId="3AD2F769" w14:textId="26A9BD2F" w:rsidR="002C540B" w:rsidRPr="00D609F3" w:rsidRDefault="002C540B" w:rsidP="00FD1997">
      <w:pPr>
        <w:pStyle w:val="NormalWeb"/>
        <w:numPr>
          <w:ilvl w:val="0"/>
          <w:numId w:val="2"/>
        </w:numPr>
        <w:spacing w:before="200" w:beforeAutospacing="0" w:after="200" w:afterAutospacing="0"/>
        <w:jc w:val="both"/>
        <w:rPr>
          <w:rFonts w:asciiTheme="majorHAnsi" w:hAnsiTheme="majorHAnsi" w:cstheme="majorHAnsi"/>
          <w:i/>
          <w:sz w:val="24"/>
          <w:szCs w:val="24"/>
          <w:u w:val="single"/>
        </w:rPr>
      </w:pPr>
      <w:r w:rsidRPr="00D609F3">
        <w:rPr>
          <w:rFonts w:asciiTheme="majorHAnsi" w:hAnsiTheme="majorHAnsi" w:cstheme="majorHAnsi"/>
          <w:i/>
          <w:sz w:val="24"/>
          <w:szCs w:val="24"/>
          <w:u w:val="single"/>
        </w:rPr>
        <w:t>Lack</w:t>
      </w:r>
      <w:r w:rsidR="00A82A1C" w:rsidRPr="00D609F3">
        <w:rPr>
          <w:rFonts w:asciiTheme="majorHAnsi" w:hAnsiTheme="majorHAnsi" w:cstheme="majorHAnsi"/>
          <w:i/>
          <w:sz w:val="24"/>
          <w:szCs w:val="24"/>
          <w:u w:val="single"/>
        </w:rPr>
        <w:t xml:space="preserve"> of Meaningful Human Engagement</w:t>
      </w:r>
    </w:p>
    <w:p w14:paraId="4A6A4272" w14:textId="2D6B1737" w:rsidR="00C87016" w:rsidRPr="00D609F3" w:rsidRDefault="002C540B"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 xml:space="preserve">The concept of “meaningful human contact” has been explored in cases of </w:t>
      </w:r>
      <w:r w:rsidR="00A571B9" w:rsidRPr="00D609F3">
        <w:rPr>
          <w:rFonts w:asciiTheme="majorHAnsi" w:hAnsiTheme="majorHAnsi" w:cstheme="majorHAnsi"/>
          <w:sz w:val="24"/>
          <w:szCs w:val="24"/>
        </w:rPr>
        <w:t xml:space="preserve">social isolation and/or </w:t>
      </w:r>
      <w:r w:rsidRPr="00D609F3">
        <w:rPr>
          <w:rFonts w:asciiTheme="majorHAnsi" w:hAnsiTheme="majorHAnsi" w:cstheme="majorHAnsi"/>
          <w:sz w:val="24"/>
          <w:szCs w:val="24"/>
        </w:rPr>
        <w:t>solitary confinement, where individuals deprived of empathetic social interaction suffer serious psychological deterioration</w:t>
      </w:r>
      <w:r w:rsidR="00A571B9" w:rsidRPr="00D609F3">
        <w:rPr>
          <w:rFonts w:asciiTheme="majorHAnsi" w:hAnsiTheme="majorHAnsi" w:cstheme="majorHAnsi"/>
          <w:sz w:val="24"/>
          <w:szCs w:val="24"/>
        </w:rPr>
        <w:t xml:space="preserve"> amounting to torture or ill-treatment</w:t>
      </w:r>
      <w:r w:rsidRPr="00D609F3">
        <w:rPr>
          <w:rFonts w:asciiTheme="majorHAnsi" w:hAnsiTheme="majorHAnsi" w:cstheme="majorHAnsi"/>
          <w:sz w:val="24"/>
          <w:szCs w:val="24"/>
        </w:rPr>
        <w:t>.</w:t>
      </w:r>
      <w:r w:rsidR="00A571B9" w:rsidRPr="00D609F3">
        <w:rPr>
          <w:rStyle w:val="EndnoteReference"/>
          <w:rFonts w:asciiTheme="majorHAnsi" w:hAnsiTheme="majorHAnsi" w:cstheme="majorHAnsi"/>
          <w:sz w:val="24"/>
          <w:szCs w:val="24"/>
        </w:rPr>
        <w:t xml:space="preserve"> </w:t>
      </w:r>
      <w:r w:rsidR="00A571B9" w:rsidRPr="00D609F3">
        <w:rPr>
          <w:rStyle w:val="EndnoteReference"/>
          <w:rFonts w:asciiTheme="majorHAnsi" w:hAnsiTheme="majorHAnsi" w:cstheme="majorHAnsi"/>
          <w:sz w:val="24"/>
          <w:szCs w:val="24"/>
        </w:rPr>
        <w:endnoteReference w:id="16"/>
      </w:r>
      <w:r w:rsidR="008E647D">
        <w:rPr>
          <w:rFonts w:asciiTheme="majorHAnsi" w:hAnsiTheme="majorHAnsi" w:cstheme="majorHAnsi"/>
          <w:sz w:val="24"/>
          <w:szCs w:val="24"/>
        </w:rPr>
        <w:t xml:space="preserve"> </w:t>
      </w:r>
    </w:p>
    <w:p w14:paraId="147B2397" w14:textId="1022D759" w:rsidR="001A0A66" w:rsidRPr="00FD1997" w:rsidRDefault="008E647D" w:rsidP="00046220">
      <w:pPr>
        <w:spacing w:before="200" w:after="200"/>
        <w:jc w:val="both"/>
        <w:rPr>
          <w:rFonts w:asciiTheme="majorHAnsi" w:hAnsiTheme="majorHAnsi"/>
          <w:smallCaps w:val="0"/>
          <w:spacing w:val="0"/>
          <w:w w:val="100"/>
          <w:lang w:eastAsia="en-US"/>
        </w:rPr>
      </w:pPr>
      <w:r w:rsidRPr="008E647D">
        <w:rPr>
          <w:rFonts w:asciiTheme="majorHAnsi" w:hAnsiTheme="majorHAnsi" w:cs="Arial"/>
          <w:smallCaps w:val="0"/>
          <w:color w:val="222222"/>
          <w:spacing w:val="0"/>
          <w:w w:val="100"/>
          <w:sz w:val="24"/>
          <w:szCs w:val="24"/>
          <w:shd w:val="clear" w:color="auto" w:fill="FFFFFF"/>
          <w:lang w:eastAsia="en-US"/>
        </w:rPr>
        <w:t>While noting that there are important differences in degree between the isolation inherent in detention versus online settings, there is also a kernel of commonality between them.</w:t>
      </w:r>
      <w:r w:rsidR="00CB7B00">
        <w:rPr>
          <w:rStyle w:val="EndnoteReference"/>
          <w:rFonts w:asciiTheme="majorHAnsi" w:hAnsiTheme="majorHAnsi" w:cs="Arial"/>
          <w:smallCaps w:val="0"/>
          <w:color w:val="222222"/>
          <w:spacing w:val="0"/>
          <w:w w:val="100"/>
          <w:sz w:val="24"/>
          <w:szCs w:val="24"/>
          <w:shd w:val="clear" w:color="auto" w:fill="FFFFFF"/>
          <w:lang w:eastAsia="en-US"/>
        </w:rPr>
        <w:endnoteReference w:id="17"/>
      </w:r>
      <w:r w:rsidRPr="008E647D">
        <w:rPr>
          <w:rFonts w:asciiTheme="majorHAnsi" w:hAnsiTheme="majorHAnsi" w:cs="Arial"/>
          <w:smallCaps w:val="0"/>
          <w:color w:val="222222"/>
          <w:spacing w:val="0"/>
          <w:w w:val="100"/>
          <w:sz w:val="24"/>
          <w:szCs w:val="24"/>
          <w:shd w:val="clear" w:color="auto" w:fill="FFFFFF"/>
          <w:lang w:eastAsia="en-US"/>
        </w:rPr>
        <w:t xml:space="preserve"> </w:t>
      </w:r>
      <w:r w:rsidR="006674D6">
        <w:rPr>
          <w:rFonts w:asciiTheme="majorHAnsi" w:hAnsiTheme="majorHAnsi" w:cs="Arial"/>
          <w:smallCaps w:val="0"/>
          <w:color w:val="222222"/>
          <w:spacing w:val="0"/>
          <w:w w:val="100"/>
          <w:sz w:val="24"/>
          <w:szCs w:val="24"/>
          <w:shd w:val="clear" w:color="auto" w:fill="FFFFFF"/>
          <w:lang w:eastAsia="en-US"/>
        </w:rPr>
        <w:t xml:space="preserve"> Just as prison authorities have determined that isolation is an effective, if unlawful, tool for control and compliance, online abusers instinctively understand the power in literally digitally isolating and invoking feelings of isolation in victims. </w:t>
      </w:r>
      <w:r w:rsidRPr="008E647D">
        <w:rPr>
          <w:rFonts w:asciiTheme="majorHAnsi" w:hAnsiTheme="majorHAnsi" w:cs="Arial"/>
          <w:smallCaps w:val="0"/>
          <w:color w:val="222222"/>
          <w:spacing w:val="0"/>
          <w:w w:val="100"/>
          <w:sz w:val="24"/>
          <w:szCs w:val="24"/>
          <w:shd w:val="clear" w:color="auto" w:fill="FFFFFF"/>
          <w:lang w:eastAsia="en-US"/>
        </w:rPr>
        <w:t>In both contexts, isolation—whether enforced through physical confinement or through sustained digital abuse—diminishes the victim’s agency, restricts their participation in social interactions, and leads to emotional or psychological distress. The relentless nature of TFGBV can create an environment where victims feel trapped, as attempts to engage online often result in further harassment, while withdrawal c</w:t>
      </w:r>
      <w:r w:rsidR="006674D6">
        <w:rPr>
          <w:rFonts w:asciiTheme="majorHAnsi" w:hAnsiTheme="majorHAnsi" w:cs="Arial"/>
          <w:smallCaps w:val="0"/>
          <w:color w:val="222222"/>
          <w:spacing w:val="0"/>
          <w:w w:val="100"/>
          <w:sz w:val="24"/>
          <w:szCs w:val="24"/>
          <w:shd w:val="clear" w:color="auto" w:fill="FFFFFF"/>
          <w:lang w:eastAsia="en-US"/>
        </w:rPr>
        <w:t xml:space="preserve">omes at the cost of </w:t>
      </w:r>
      <w:r w:rsidRPr="008E647D">
        <w:rPr>
          <w:rFonts w:asciiTheme="majorHAnsi" w:hAnsiTheme="majorHAnsi" w:cs="Arial"/>
          <w:smallCaps w:val="0"/>
          <w:color w:val="222222"/>
          <w:spacing w:val="0"/>
          <w:w w:val="100"/>
          <w:sz w:val="24"/>
          <w:szCs w:val="24"/>
          <w:shd w:val="clear" w:color="auto" w:fill="FFFFFF"/>
          <w:lang w:eastAsia="en-US"/>
        </w:rPr>
        <w:t>personal expression</w:t>
      </w:r>
      <w:r w:rsidR="006674D6">
        <w:rPr>
          <w:rFonts w:asciiTheme="majorHAnsi" w:hAnsiTheme="majorHAnsi" w:cs="Arial"/>
          <w:smallCaps w:val="0"/>
          <w:color w:val="222222"/>
          <w:spacing w:val="0"/>
          <w:w w:val="100"/>
          <w:sz w:val="24"/>
          <w:szCs w:val="24"/>
          <w:shd w:val="clear" w:color="auto" w:fill="FFFFFF"/>
          <w:lang w:eastAsia="en-US"/>
        </w:rPr>
        <w:t xml:space="preserve"> and social interactions</w:t>
      </w:r>
      <w:r w:rsidRPr="008E647D">
        <w:rPr>
          <w:rFonts w:asciiTheme="majorHAnsi" w:hAnsiTheme="majorHAnsi" w:cs="Arial"/>
          <w:smallCaps w:val="0"/>
          <w:color w:val="222222"/>
          <w:spacing w:val="0"/>
          <w:w w:val="100"/>
          <w:sz w:val="24"/>
          <w:szCs w:val="24"/>
          <w:shd w:val="clear" w:color="auto" w:fill="FFFFFF"/>
          <w:lang w:eastAsia="en-US"/>
        </w:rPr>
        <w:t xml:space="preserve">. This cycle of harm </w:t>
      </w:r>
      <w:r w:rsidR="006674D6">
        <w:rPr>
          <w:rFonts w:asciiTheme="majorHAnsi" w:hAnsiTheme="majorHAnsi" w:cs="Arial"/>
          <w:smallCaps w:val="0"/>
          <w:color w:val="222222"/>
          <w:spacing w:val="0"/>
          <w:w w:val="100"/>
          <w:sz w:val="24"/>
          <w:szCs w:val="24"/>
          <w:shd w:val="clear" w:color="auto" w:fill="FFFFFF"/>
          <w:lang w:eastAsia="en-US"/>
        </w:rPr>
        <w:t xml:space="preserve">shares </w:t>
      </w:r>
      <w:r w:rsidRPr="008E647D">
        <w:rPr>
          <w:rFonts w:asciiTheme="majorHAnsi" w:hAnsiTheme="majorHAnsi" w:cs="Arial"/>
          <w:smallCaps w:val="0"/>
          <w:color w:val="222222"/>
          <w:spacing w:val="0"/>
          <w:w w:val="100"/>
          <w:sz w:val="24"/>
          <w:szCs w:val="24"/>
          <w:shd w:val="clear" w:color="auto" w:fill="FFFFFF"/>
          <w:lang w:eastAsia="en-US"/>
        </w:rPr>
        <w:t>the erosion of autonomy seen in physical confinement, where the loss of control over one’s environment deepens feelings of powerlessness. By framing TFGBV as a form of coerced isolation, it becomes evident that its impact extends beyond the immediate abuse, creating long-term social and psychological harm akin to more recognizable forms of ill-treatment.</w:t>
      </w:r>
    </w:p>
    <w:p w14:paraId="531102F0" w14:textId="4EAA9C09" w:rsidR="001A0A66" w:rsidRPr="001A0A66" w:rsidRDefault="001A0A66" w:rsidP="00046220">
      <w:pPr>
        <w:spacing w:before="200" w:after="200"/>
        <w:jc w:val="both"/>
        <w:rPr>
          <w:rFonts w:asciiTheme="majorHAnsi" w:hAnsiTheme="majorHAnsi" w:cstheme="majorHAnsi"/>
          <w:smallCaps w:val="0"/>
          <w:spacing w:val="0"/>
          <w:w w:val="100"/>
          <w:lang w:eastAsia="en-US"/>
        </w:rPr>
      </w:pPr>
      <w:r w:rsidRPr="00D609F3">
        <w:rPr>
          <w:rFonts w:asciiTheme="majorHAnsi" w:hAnsiTheme="majorHAnsi" w:cstheme="majorHAnsi"/>
          <w:smallCaps w:val="0"/>
          <w:sz w:val="24"/>
          <w:szCs w:val="24"/>
        </w:rPr>
        <w:t>The combination of psychological distress, reputational harm, and fear of continued abuse effectively isolates the victim, reinforcing the severity of their suffering.</w:t>
      </w:r>
      <w:r w:rsidRPr="00D609F3">
        <w:rPr>
          <w:rFonts w:asciiTheme="majorHAnsi" w:hAnsiTheme="majorHAnsi" w:cstheme="majorHAnsi"/>
          <w:smallCaps w:val="0"/>
          <w:color w:val="222222"/>
          <w:sz w:val="24"/>
          <w:szCs w:val="24"/>
          <w:shd w:val="clear" w:color="auto" w:fill="FFFFFF"/>
        </w:rPr>
        <w:t xml:space="preserve"> </w:t>
      </w:r>
      <w:r w:rsidRPr="00D609F3">
        <w:rPr>
          <w:rFonts w:asciiTheme="majorHAnsi" w:hAnsiTheme="majorHAnsi" w:cstheme="majorHAnsi"/>
          <w:smallCaps w:val="0"/>
          <w:color w:val="222222"/>
          <w:spacing w:val="0"/>
          <w:w w:val="100"/>
          <w:sz w:val="24"/>
          <w:szCs w:val="24"/>
          <w:shd w:val="clear" w:color="auto" w:fill="FFFFFF"/>
          <w:lang w:eastAsia="en-US"/>
        </w:rPr>
        <w:t>Victims of prolonged online harassment often experience a shrinking of their social and professional networks, as they disengage from public discourse to protect themselves from further harm. Such forced withdrawal not only silences victims but also reinforces their sense of helplessness.</w:t>
      </w:r>
    </w:p>
    <w:p w14:paraId="07BFEFF3" w14:textId="77777777" w:rsidR="00260F1F" w:rsidRPr="00D609F3" w:rsidRDefault="00DB0537" w:rsidP="00046220">
      <w:pPr>
        <w:pStyle w:val="NormalWeb"/>
        <w:numPr>
          <w:ilvl w:val="0"/>
          <w:numId w:val="2"/>
        </w:numPr>
        <w:spacing w:before="200" w:beforeAutospacing="0" w:after="200" w:afterAutospacing="0"/>
        <w:jc w:val="both"/>
        <w:rPr>
          <w:rFonts w:asciiTheme="majorHAnsi" w:hAnsiTheme="majorHAnsi" w:cstheme="majorHAnsi"/>
          <w:i/>
          <w:sz w:val="24"/>
          <w:szCs w:val="24"/>
          <w:u w:val="single"/>
        </w:rPr>
      </w:pPr>
      <w:r w:rsidRPr="00D609F3">
        <w:rPr>
          <w:rFonts w:asciiTheme="majorHAnsi" w:hAnsiTheme="majorHAnsi" w:cstheme="majorHAnsi"/>
          <w:i/>
          <w:sz w:val="24"/>
          <w:szCs w:val="24"/>
          <w:u w:val="single"/>
        </w:rPr>
        <w:t>Threats as Torture and Threats Online</w:t>
      </w:r>
    </w:p>
    <w:p w14:paraId="220C5102" w14:textId="5CFAA7F1" w:rsidR="00EC5722" w:rsidRDefault="00EC5722" w:rsidP="00046220">
      <w:pPr>
        <w:pStyle w:val="NormalWeb"/>
        <w:shd w:val="clear" w:color="auto" w:fill="FFFFFF"/>
        <w:spacing w:before="200" w:beforeAutospacing="0" w:after="200" w:afterAutospacing="0"/>
        <w:jc w:val="both"/>
        <w:rPr>
          <w:rFonts w:asciiTheme="majorHAnsi" w:hAnsiTheme="majorHAnsi" w:cstheme="majorHAnsi"/>
          <w:color w:val="222222"/>
          <w:sz w:val="24"/>
          <w:szCs w:val="24"/>
        </w:rPr>
      </w:pPr>
      <w:r w:rsidRPr="00D609F3">
        <w:rPr>
          <w:rFonts w:asciiTheme="majorHAnsi" w:hAnsiTheme="majorHAnsi" w:cstheme="majorHAnsi"/>
          <w:color w:val="222222"/>
          <w:sz w:val="24"/>
          <w:szCs w:val="24"/>
        </w:rPr>
        <w:t>International law recognizes that certain threats</w:t>
      </w:r>
      <w:r w:rsidR="00106951" w:rsidRPr="00D609F3">
        <w:rPr>
          <w:rFonts w:asciiTheme="majorHAnsi" w:hAnsiTheme="majorHAnsi" w:cstheme="majorHAnsi"/>
          <w:color w:val="222222"/>
          <w:sz w:val="24"/>
          <w:szCs w:val="24"/>
        </w:rPr>
        <w:t xml:space="preserve"> and their resulting trauma, psychiatric disorders and even physical symptoms like pain,</w:t>
      </w:r>
      <w:r w:rsidRPr="00D609F3">
        <w:rPr>
          <w:rFonts w:asciiTheme="majorHAnsi" w:hAnsiTheme="majorHAnsi" w:cstheme="majorHAnsi"/>
          <w:color w:val="222222"/>
          <w:sz w:val="24"/>
          <w:szCs w:val="24"/>
        </w:rPr>
        <w:t xml:space="preserve"> can amount to torture or ill-treatment.</w:t>
      </w:r>
      <w:r w:rsidRPr="00D609F3">
        <w:rPr>
          <w:rStyle w:val="EndnoteReference"/>
          <w:rFonts w:asciiTheme="majorHAnsi" w:hAnsiTheme="majorHAnsi" w:cstheme="majorHAnsi"/>
          <w:sz w:val="24"/>
          <w:szCs w:val="24"/>
        </w:rPr>
        <w:endnoteReference w:id="18"/>
      </w:r>
      <w:r w:rsidRPr="00D609F3">
        <w:rPr>
          <w:rFonts w:asciiTheme="majorHAnsi" w:hAnsiTheme="majorHAnsi" w:cstheme="majorHAnsi"/>
          <w:color w:val="222222"/>
          <w:sz w:val="24"/>
          <w:szCs w:val="24"/>
        </w:rPr>
        <w:t xml:space="preserve"> The jurisprudence focuses on whether threats are real, credible, and immediate, though definitions </w:t>
      </w:r>
      <w:r w:rsidR="00106951" w:rsidRPr="00D609F3">
        <w:rPr>
          <w:rFonts w:asciiTheme="majorHAnsi" w:hAnsiTheme="majorHAnsi" w:cstheme="majorHAnsi"/>
          <w:color w:val="222222"/>
          <w:sz w:val="24"/>
          <w:szCs w:val="24"/>
        </w:rPr>
        <w:t xml:space="preserve">of these terms </w:t>
      </w:r>
      <w:r w:rsidRPr="00D609F3">
        <w:rPr>
          <w:rFonts w:asciiTheme="majorHAnsi" w:hAnsiTheme="majorHAnsi" w:cstheme="majorHAnsi"/>
          <w:color w:val="222222"/>
          <w:sz w:val="24"/>
          <w:szCs w:val="24"/>
        </w:rPr>
        <w:t>remain ambiguous.</w:t>
      </w:r>
      <w:r w:rsidR="00106951" w:rsidRPr="00D609F3">
        <w:rPr>
          <w:rStyle w:val="EndnoteReference"/>
          <w:rFonts w:asciiTheme="majorHAnsi" w:hAnsiTheme="majorHAnsi" w:cstheme="majorHAnsi"/>
          <w:sz w:val="24"/>
          <w:szCs w:val="24"/>
        </w:rPr>
        <w:endnoteReference w:id="19"/>
      </w:r>
      <w:r w:rsidR="00106951" w:rsidRPr="00D609F3">
        <w:rPr>
          <w:rFonts w:asciiTheme="majorHAnsi" w:hAnsiTheme="majorHAnsi" w:cstheme="majorHAnsi"/>
          <w:color w:val="222222"/>
          <w:sz w:val="24"/>
          <w:szCs w:val="24"/>
        </w:rPr>
        <w:t xml:space="preserve"> Notably, </w:t>
      </w:r>
      <w:r w:rsidR="00CB7B00">
        <w:rPr>
          <w:rFonts w:asciiTheme="majorHAnsi" w:hAnsiTheme="majorHAnsi" w:cstheme="majorHAnsi"/>
          <w:color w:val="222222"/>
          <w:sz w:val="24"/>
          <w:szCs w:val="24"/>
        </w:rPr>
        <w:t>the 21</w:t>
      </w:r>
      <w:r w:rsidR="00CB7B00" w:rsidRPr="00CB7B00">
        <w:rPr>
          <w:rFonts w:asciiTheme="majorHAnsi" w:hAnsiTheme="majorHAnsi" w:cstheme="majorHAnsi"/>
          <w:color w:val="222222"/>
          <w:sz w:val="24"/>
          <w:szCs w:val="24"/>
          <w:vertAlign w:val="superscript"/>
        </w:rPr>
        <w:t>st</w:t>
      </w:r>
      <w:r w:rsidR="00CB7B00">
        <w:rPr>
          <w:rFonts w:asciiTheme="majorHAnsi" w:hAnsiTheme="majorHAnsi" w:cstheme="majorHAnsi"/>
          <w:color w:val="222222"/>
          <w:sz w:val="24"/>
          <w:szCs w:val="24"/>
        </w:rPr>
        <w:t xml:space="preserve"> century’s explosion of digital information and surveillance technologies has created new and highly effective avenues to issue and act on threats.</w:t>
      </w:r>
      <w:r w:rsidR="00CB7B00" w:rsidRPr="00CB7B00">
        <w:rPr>
          <w:rStyle w:val="EndnoteReference"/>
          <w:rFonts w:asciiTheme="majorHAnsi" w:hAnsiTheme="majorHAnsi" w:cs="Arial"/>
          <w:smallCaps/>
          <w:color w:val="222222"/>
          <w:sz w:val="24"/>
          <w:szCs w:val="24"/>
          <w:shd w:val="clear" w:color="auto" w:fill="FFFFFF"/>
        </w:rPr>
        <w:t xml:space="preserve"> </w:t>
      </w:r>
      <w:r w:rsidR="00CB7B00">
        <w:rPr>
          <w:rStyle w:val="EndnoteReference"/>
          <w:rFonts w:asciiTheme="majorHAnsi" w:hAnsiTheme="majorHAnsi" w:cs="Arial"/>
          <w:smallCaps/>
          <w:color w:val="222222"/>
          <w:sz w:val="24"/>
          <w:szCs w:val="24"/>
          <w:shd w:val="clear" w:color="auto" w:fill="FFFFFF"/>
        </w:rPr>
        <w:endnoteReference w:id="20"/>
      </w:r>
      <w:r w:rsidR="00CB7B00">
        <w:rPr>
          <w:rFonts w:asciiTheme="majorHAnsi" w:hAnsiTheme="majorHAnsi" w:cstheme="majorHAnsi"/>
          <w:color w:val="222222"/>
          <w:sz w:val="24"/>
          <w:szCs w:val="24"/>
        </w:rPr>
        <w:t xml:space="preserve"> On these new platforms and with these new tools, v</w:t>
      </w:r>
      <w:r w:rsidR="00106951" w:rsidRPr="00D609F3">
        <w:rPr>
          <w:rFonts w:asciiTheme="majorHAnsi" w:hAnsiTheme="majorHAnsi" w:cstheme="majorHAnsi"/>
          <w:color w:val="222222"/>
          <w:sz w:val="24"/>
          <w:szCs w:val="24"/>
        </w:rPr>
        <w:t xml:space="preserve">ictims </w:t>
      </w:r>
      <w:r w:rsidRPr="00D609F3">
        <w:rPr>
          <w:rFonts w:asciiTheme="majorHAnsi" w:hAnsiTheme="majorHAnsi" w:cstheme="majorHAnsi"/>
          <w:color w:val="222222"/>
          <w:sz w:val="24"/>
          <w:szCs w:val="24"/>
        </w:rPr>
        <w:t>of TFGBV frequently receive threats of sexual violence, death, and professional ruin, often from anonymous sources, making immediacy unclear but credibility significant—particularly in societies where gen</w:t>
      </w:r>
      <w:r w:rsidR="00106951" w:rsidRPr="00D609F3">
        <w:rPr>
          <w:rFonts w:asciiTheme="majorHAnsi" w:hAnsiTheme="majorHAnsi" w:cstheme="majorHAnsi"/>
          <w:color w:val="222222"/>
          <w:sz w:val="24"/>
          <w:szCs w:val="24"/>
        </w:rPr>
        <w:t>der-based violence is prevalent.</w:t>
      </w:r>
    </w:p>
    <w:p w14:paraId="06DEEC19" w14:textId="77777777" w:rsidR="00046220" w:rsidRPr="00D609F3" w:rsidRDefault="00046220" w:rsidP="00046220">
      <w:pPr>
        <w:pStyle w:val="NormalWeb"/>
        <w:shd w:val="clear" w:color="auto" w:fill="FFFFFF"/>
        <w:spacing w:before="200" w:beforeAutospacing="0" w:after="200" w:afterAutospacing="0"/>
        <w:jc w:val="both"/>
        <w:rPr>
          <w:rFonts w:asciiTheme="majorHAnsi" w:hAnsiTheme="majorHAnsi" w:cstheme="majorHAnsi"/>
          <w:color w:val="222222"/>
          <w:sz w:val="24"/>
          <w:szCs w:val="24"/>
        </w:rPr>
      </w:pPr>
    </w:p>
    <w:p w14:paraId="22A48EC4" w14:textId="206EF912" w:rsidR="00EC5722" w:rsidRPr="00D609F3" w:rsidRDefault="00EC5722"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r w:rsidRPr="00D609F3">
        <w:rPr>
          <w:rFonts w:asciiTheme="majorHAnsi" w:hAnsiTheme="majorHAnsi" w:cstheme="majorHAnsi"/>
          <w:color w:val="222222"/>
          <w:sz w:val="24"/>
          <w:szCs w:val="24"/>
        </w:rPr>
        <w:t>Courts have also recognized that threats are more coercive in environments of power imbalance—such as detention or interrogation.</w:t>
      </w:r>
      <w:r w:rsidR="00106951" w:rsidRPr="00D609F3">
        <w:rPr>
          <w:rStyle w:val="EndnoteReference"/>
          <w:rFonts w:asciiTheme="majorHAnsi" w:hAnsiTheme="majorHAnsi" w:cstheme="majorHAnsi"/>
          <w:color w:val="222222"/>
          <w:sz w:val="24"/>
          <w:szCs w:val="24"/>
        </w:rPr>
        <w:endnoteReference w:id="21"/>
      </w:r>
      <w:r w:rsidRPr="00D609F3">
        <w:rPr>
          <w:rFonts w:asciiTheme="majorHAnsi" w:hAnsiTheme="majorHAnsi" w:cstheme="majorHAnsi"/>
          <w:color w:val="222222"/>
          <w:sz w:val="24"/>
          <w:szCs w:val="24"/>
        </w:rPr>
        <w:t xml:space="preserve"> Similarly, TFGBV occurs in a coercive digital space where victims endure relentless monitoring, humiliation, and fear of escalation to offline violence. Additionally, threats against third parties, such as family</w:t>
      </w:r>
      <w:r w:rsidR="00272D77" w:rsidRPr="00D609F3">
        <w:rPr>
          <w:rFonts w:asciiTheme="majorHAnsi" w:hAnsiTheme="majorHAnsi" w:cstheme="majorHAnsi"/>
          <w:color w:val="222222"/>
          <w:sz w:val="24"/>
          <w:szCs w:val="24"/>
        </w:rPr>
        <w:t xml:space="preserve"> members, have been evaluated through a torture lens, which is notable because m</w:t>
      </w:r>
      <w:r w:rsidRPr="00D609F3">
        <w:rPr>
          <w:rFonts w:asciiTheme="majorHAnsi" w:hAnsiTheme="majorHAnsi" w:cstheme="majorHAnsi"/>
          <w:color w:val="222222"/>
          <w:sz w:val="24"/>
          <w:szCs w:val="24"/>
        </w:rPr>
        <w:t xml:space="preserve">any victims of TFGBV experience threats </w:t>
      </w:r>
      <w:r w:rsidR="00272D77" w:rsidRPr="00D609F3">
        <w:rPr>
          <w:rFonts w:asciiTheme="majorHAnsi" w:hAnsiTheme="majorHAnsi" w:cstheme="majorHAnsi"/>
          <w:color w:val="222222"/>
          <w:sz w:val="24"/>
          <w:szCs w:val="24"/>
        </w:rPr>
        <w:t xml:space="preserve">targeting </w:t>
      </w:r>
      <w:r w:rsidRPr="00D609F3">
        <w:rPr>
          <w:rFonts w:asciiTheme="majorHAnsi" w:hAnsiTheme="majorHAnsi" w:cstheme="majorHAnsi"/>
          <w:color w:val="222222"/>
          <w:sz w:val="24"/>
          <w:szCs w:val="24"/>
        </w:rPr>
        <w:t>their children, partners, or colleagues.</w:t>
      </w:r>
      <w:r w:rsidR="00996142" w:rsidRPr="00D609F3">
        <w:rPr>
          <w:rStyle w:val="EndnoteReference"/>
          <w:rFonts w:asciiTheme="majorHAnsi" w:hAnsiTheme="majorHAnsi" w:cstheme="majorHAnsi"/>
          <w:color w:val="222222"/>
          <w:sz w:val="24"/>
          <w:szCs w:val="24"/>
        </w:rPr>
        <w:endnoteReference w:id="22"/>
      </w:r>
    </w:p>
    <w:p w14:paraId="5F529AD8" w14:textId="290F9CE4" w:rsidR="00260F1F" w:rsidRPr="00D609F3" w:rsidRDefault="00EC5722"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r w:rsidRPr="00D609F3">
        <w:rPr>
          <w:rFonts w:asciiTheme="majorHAnsi" w:hAnsiTheme="majorHAnsi" w:cstheme="majorHAnsi"/>
          <w:color w:val="222222"/>
          <w:sz w:val="24"/>
          <w:szCs w:val="24"/>
        </w:rPr>
        <w:t>Sustained online threats can produce severe anxiety, social withdrawal, and hyper</w:t>
      </w:r>
      <w:r w:rsidR="00573126" w:rsidRPr="00D609F3">
        <w:rPr>
          <w:rFonts w:asciiTheme="majorHAnsi" w:hAnsiTheme="majorHAnsi" w:cstheme="majorHAnsi"/>
          <w:color w:val="222222"/>
          <w:sz w:val="24"/>
          <w:szCs w:val="24"/>
        </w:rPr>
        <w:t>-</w:t>
      </w:r>
      <w:r w:rsidRPr="00D609F3">
        <w:rPr>
          <w:rFonts w:asciiTheme="majorHAnsi" w:hAnsiTheme="majorHAnsi" w:cstheme="majorHAnsi"/>
          <w:color w:val="222222"/>
          <w:sz w:val="24"/>
          <w:szCs w:val="24"/>
        </w:rPr>
        <w:t>vigilance—effects comparable to recognized forms of psychological torture. While n</w:t>
      </w:r>
      <w:r w:rsidR="00996142" w:rsidRPr="00D609F3">
        <w:rPr>
          <w:rFonts w:asciiTheme="majorHAnsi" w:hAnsiTheme="majorHAnsi" w:cstheme="majorHAnsi"/>
          <w:color w:val="222222"/>
          <w:sz w:val="24"/>
          <w:szCs w:val="24"/>
        </w:rPr>
        <w:t>ot all TFGBV constitutes torture or ill-treatment</w:t>
      </w:r>
      <w:r w:rsidRPr="00D609F3">
        <w:rPr>
          <w:rFonts w:asciiTheme="majorHAnsi" w:hAnsiTheme="majorHAnsi" w:cstheme="majorHAnsi"/>
          <w:color w:val="222222"/>
          <w:sz w:val="24"/>
          <w:szCs w:val="24"/>
        </w:rPr>
        <w:t xml:space="preserve">, the existing jurisprudence on threats provides a valuable framework for assessing when digital threats cross the threshold of severe suffering. </w:t>
      </w:r>
    </w:p>
    <w:p w14:paraId="7F0B4A73" w14:textId="77777777" w:rsidR="00260F1F" w:rsidRPr="00D609F3" w:rsidRDefault="00260F1F" w:rsidP="00FD1997">
      <w:pPr>
        <w:pStyle w:val="NormalWeb"/>
        <w:numPr>
          <w:ilvl w:val="0"/>
          <w:numId w:val="2"/>
        </w:numPr>
        <w:spacing w:before="200" w:beforeAutospacing="0" w:after="200" w:afterAutospacing="0"/>
        <w:jc w:val="both"/>
        <w:rPr>
          <w:rFonts w:asciiTheme="majorHAnsi" w:hAnsiTheme="majorHAnsi" w:cstheme="majorHAnsi"/>
          <w:i/>
          <w:sz w:val="24"/>
          <w:szCs w:val="24"/>
          <w:u w:val="single"/>
        </w:rPr>
      </w:pPr>
      <w:r w:rsidRPr="00D609F3">
        <w:rPr>
          <w:rFonts w:asciiTheme="majorHAnsi" w:hAnsiTheme="majorHAnsi" w:cstheme="majorHAnsi"/>
          <w:i/>
          <w:sz w:val="24"/>
          <w:szCs w:val="24"/>
          <w:u w:val="single"/>
        </w:rPr>
        <w:t>Disproportionate Targeting of Marginalized Groups</w:t>
      </w:r>
    </w:p>
    <w:p w14:paraId="016F6DA1" w14:textId="50A383D1" w:rsidR="00996142" w:rsidRPr="00D609F3" w:rsidRDefault="00A82A1C"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r w:rsidRPr="00D609F3">
        <w:rPr>
          <w:rFonts w:asciiTheme="majorHAnsi" w:hAnsiTheme="majorHAnsi" w:cstheme="majorHAnsi"/>
          <w:color w:val="222222"/>
          <w:sz w:val="24"/>
          <w:szCs w:val="24"/>
        </w:rPr>
        <w:t>The torture prevention movement has long recognized that when egregious violence is often</w:t>
      </w:r>
      <w:r w:rsidR="00996142" w:rsidRPr="00D609F3">
        <w:rPr>
          <w:rFonts w:asciiTheme="majorHAnsi" w:hAnsiTheme="majorHAnsi" w:cstheme="majorHAnsi"/>
          <w:color w:val="222222"/>
          <w:sz w:val="24"/>
          <w:szCs w:val="24"/>
        </w:rPr>
        <w:t xml:space="preserve"> used to silence, control, or suppress certain groups—such as political activists, journalists, and human rights def</w:t>
      </w:r>
      <w:r w:rsidRPr="00D609F3">
        <w:rPr>
          <w:rFonts w:asciiTheme="majorHAnsi" w:hAnsiTheme="majorHAnsi" w:cstheme="majorHAnsi"/>
          <w:color w:val="222222"/>
          <w:sz w:val="24"/>
          <w:szCs w:val="24"/>
        </w:rPr>
        <w:t>enders.</w:t>
      </w:r>
      <w:r w:rsidRPr="00D609F3">
        <w:rPr>
          <w:rStyle w:val="EndnoteReference"/>
          <w:rFonts w:asciiTheme="majorHAnsi" w:hAnsiTheme="majorHAnsi" w:cstheme="majorHAnsi"/>
          <w:color w:val="222222"/>
          <w:sz w:val="24"/>
          <w:szCs w:val="24"/>
        </w:rPr>
        <w:endnoteReference w:id="23"/>
      </w:r>
      <w:r w:rsidRPr="00D609F3">
        <w:rPr>
          <w:rFonts w:asciiTheme="majorHAnsi" w:hAnsiTheme="majorHAnsi" w:cstheme="majorHAnsi"/>
          <w:color w:val="222222"/>
          <w:sz w:val="24"/>
          <w:szCs w:val="24"/>
        </w:rPr>
        <w:t xml:space="preserve"> </w:t>
      </w:r>
      <w:r w:rsidR="00CB7B00">
        <w:rPr>
          <w:rFonts w:asciiTheme="majorHAnsi" w:hAnsiTheme="majorHAnsi" w:cstheme="majorHAnsi"/>
          <w:color w:val="222222"/>
          <w:sz w:val="24"/>
          <w:szCs w:val="24"/>
        </w:rPr>
        <w:t xml:space="preserve">Similarly, torture scholars have </w:t>
      </w:r>
      <w:r w:rsidR="004220C5">
        <w:rPr>
          <w:rFonts w:asciiTheme="majorHAnsi" w:hAnsiTheme="majorHAnsi" w:cstheme="majorHAnsi"/>
          <w:color w:val="222222"/>
          <w:sz w:val="24"/>
          <w:szCs w:val="24"/>
        </w:rPr>
        <w:t>observed that “powerlessness” is central to the occurrence of torture.</w:t>
      </w:r>
      <w:r w:rsidR="004220C5">
        <w:rPr>
          <w:rStyle w:val="EndnoteReference"/>
          <w:rFonts w:asciiTheme="majorHAnsi" w:hAnsiTheme="majorHAnsi" w:cstheme="majorHAnsi"/>
          <w:color w:val="222222"/>
          <w:sz w:val="24"/>
          <w:szCs w:val="24"/>
        </w:rPr>
        <w:endnoteReference w:id="24"/>
      </w:r>
      <w:r w:rsidR="00CB7B00">
        <w:rPr>
          <w:rFonts w:asciiTheme="majorHAnsi" w:hAnsiTheme="majorHAnsi" w:cstheme="majorHAnsi"/>
          <w:color w:val="222222"/>
          <w:sz w:val="24"/>
          <w:szCs w:val="24"/>
        </w:rPr>
        <w:t xml:space="preserve"> </w:t>
      </w:r>
      <w:r w:rsidR="00996142" w:rsidRPr="00D609F3">
        <w:rPr>
          <w:rFonts w:asciiTheme="majorHAnsi" w:hAnsiTheme="majorHAnsi" w:cstheme="majorHAnsi"/>
          <w:color w:val="222222"/>
          <w:sz w:val="24"/>
          <w:szCs w:val="24"/>
        </w:rPr>
        <w:t>TFGBV follows a similar pattern, disproportionately targeting women, LGBTQ+ individuals, and other marginalized communities who challenge dominant power structures. Online abuse, deepfake pornography, cyber-surveillance, and coordinated digital harassment are frequently used to silence these voices, forcing victims into self-censorship, social withdrawal, and even exile from digital and physical spaces.</w:t>
      </w:r>
    </w:p>
    <w:p w14:paraId="23A98AA0" w14:textId="2F6F55B3" w:rsidR="00996142" w:rsidRPr="00D609F3" w:rsidRDefault="00996142"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r w:rsidRPr="00D609F3">
        <w:rPr>
          <w:rFonts w:asciiTheme="majorHAnsi" w:hAnsiTheme="majorHAnsi" w:cstheme="majorHAnsi"/>
          <w:color w:val="222222"/>
          <w:sz w:val="24"/>
          <w:szCs w:val="24"/>
        </w:rPr>
        <w:t>This aligns with the concept of “torturable populations,” which refers to groups rendered particularly vulnerable to harm due to structural inequalities, hierarchie</w:t>
      </w:r>
      <w:r w:rsidR="00A82A1C" w:rsidRPr="00D609F3">
        <w:rPr>
          <w:rFonts w:asciiTheme="majorHAnsi" w:hAnsiTheme="majorHAnsi" w:cstheme="majorHAnsi"/>
          <w:color w:val="222222"/>
          <w:sz w:val="24"/>
          <w:szCs w:val="24"/>
        </w:rPr>
        <w:t>s of worth, and societal biases.</w:t>
      </w:r>
      <w:r w:rsidR="00A82A1C" w:rsidRPr="00D609F3">
        <w:rPr>
          <w:rStyle w:val="EndnoteReference"/>
          <w:rFonts w:asciiTheme="majorHAnsi" w:hAnsiTheme="majorHAnsi" w:cstheme="majorHAnsi"/>
          <w:color w:val="222222"/>
          <w:sz w:val="24"/>
          <w:szCs w:val="24"/>
        </w:rPr>
        <w:endnoteReference w:id="25"/>
      </w:r>
      <w:r w:rsidR="00A82A1C" w:rsidRPr="00D609F3">
        <w:rPr>
          <w:rFonts w:asciiTheme="majorHAnsi" w:hAnsiTheme="majorHAnsi" w:cstheme="majorHAnsi"/>
          <w:color w:val="222222"/>
          <w:sz w:val="24"/>
          <w:szCs w:val="24"/>
        </w:rPr>
        <w:t xml:space="preserve"> </w:t>
      </w:r>
      <w:r w:rsidRPr="00D609F3">
        <w:rPr>
          <w:rFonts w:asciiTheme="majorHAnsi" w:hAnsiTheme="majorHAnsi" w:cstheme="majorHAnsi"/>
          <w:color w:val="222222"/>
          <w:sz w:val="24"/>
          <w:szCs w:val="24"/>
        </w:rPr>
        <w:t>Certain groups—such as women in political and public life, transgender individuals, and human rights defenders—are more easily subjected to sustained psychological harm because they are already positioned as “legitimate” targets within systems of gendered and social oppression. As research on torture suggests, suffering is often inflicted not simply for individual actions but because of the victim’s identity and their perce</w:t>
      </w:r>
      <w:r w:rsidR="00A82A1C" w:rsidRPr="00D609F3">
        <w:rPr>
          <w:rFonts w:asciiTheme="majorHAnsi" w:hAnsiTheme="majorHAnsi" w:cstheme="majorHAnsi"/>
          <w:color w:val="222222"/>
          <w:sz w:val="24"/>
          <w:szCs w:val="24"/>
        </w:rPr>
        <w:t>ived disruption of social order.</w:t>
      </w:r>
      <w:r w:rsidR="00A82A1C" w:rsidRPr="00D609F3">
        <w:rPr>
          <w:rStyle w:val="EndnoteReference"/>
          <w:rFonts w:asciiTheme="majorHAnsi" w:hAnsiTheme="majorHAnsi" w:cstheme="majorHAnsi"/>
          <w:color w:val="222222"/>
          <w:sz w:val="24"/>
          <w:szCs w:val="24"/>
        </w:rPr>
        <w:endnoteReference w:id="26"/>
      </w:r>
    </w:p>
    <w:p w14:paraId="340B8407" w14:textId="38D4C999" w:rsidR="00FD1997" w:rsidRDefault="00996142"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r w:rsidRPr="00D609F3">
        <w:rPr>
          <w:rFonts w:asciiTheme="majorHAnsi" w:hAnsiTheme="majorHAnsi" w:cstheme="majorHAnsi"/>
          <w:color w:val="222222"/>
          <w:sz w:val="24"/>
          <w:szCs w:val="24"/>
        </w:rPr>
        <w:t>Furthermore, the “torturing society” framework highlights how deeply embedded power structures normalize and sustain forms of violence, often making it appear as an inevitable conse</w:t>
      </w:r>
      <w:r w:rsidR="00A82A1C" w:rsidRPr="00D609F3">
        <w:rPr>
          <w:rFonts w:asciiTheme="majorHAnsi" w:hAnsiTheme="majorHAnsi" w:cstheme="majorHAnsi"/>
          <w:color w:val="222222"/>
          <w:sz w:val="24"/>
          <w:szCs w:val="24"/>
        </w:rPr>
        <w:t>quence rather than an injustice.</w:t>
      </w:r>
      <w:r w:rsidR="00A82A1C" w:rsidRPr="00D609F3">
        <w:rPr>
          <w:rStyle w:val="EndnoteReference"/>
          <w:rFonts w:asciiTheme="majorHAnsi" w:hAnsiTheme="majorHAnsi" w:cstheme="majorHAnsi"/>
          <w:color w:val="222222"/>
          <w:sz w:val="24"/>
          <w:szCs w:val="24"/>
        </w:rPr>
        <w:endnoteReference w:id="27"/>
      </w:r>
      <w:r w:rsidR="00A82A1C" w:rsidRPr="00D609F3">
        <w:rPr>
          <w:rFonts w:asciiTheme="majorHAnsi" w:hAnsiTheme="majorHAnsi" w:cstheme="majorHAnsi"/>
          <w:color w:val="222222"/>
          <w:sz w:val="24"/>
          <w:szCs w:val="24"/>
        </w:rPr>
        <w:t xml:space="preserve"> </w:t>
      </w:r>
      <w:r w:rsidRPr="00D609F3">
        <w:rPr>
          <w:rFonts w:asciiTheme="majorHAnsi" w:hAnsiTheme="majorHAnsi" w:cstheme="majorHAnsi"/>
          <w:color w:val="222222"/>
          <w:sz w:val="24"/>
          <w:szCs w:val="24"/>
        </w:rPr>
        <w:t xml:space="preserve">TFGBV operates within this paradigm, as digital platforms become spaces where misogynistic, racist, and homophobic violence are not only tolerated but systematically reinforced through algorithmic amplification and inadequate accountability measures. </w:t>
      </w:r>
    </w:p>
    <w:p w14:paraId="6DA9FCDC" w14:textId="77777777" w:rsidR="00046220" w:rsidRDefault="00046220"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p>
    <w:p w14:paraId="6B1D511C" w14:textId="77777777" w:rsidR="00046220" w:rsidRDefault="00046220"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p>
    <w:p w14:paraId="2B55DA86" w14:textId="77777777" w:rsidR="00046220" w:rsidRPr="00D609F3" w:rsidRDefault="00046220" w:rsidP="00FD1997">
      <w:pPr>
        <w:pStyle w:val="NormalWeb"/>
        <w:shd w:val="clear" w:color="auto" w:fill="FFFFFF"/>
        <w:spacing w:before="200" w:beforeAutospacing="0" w:after="200" w:afterAutospacing="0"/>
        <w:jc w:val="both"/>
        <w:rPr>
          <w:rFonts w:asciiTheme="majorHAnsi" w:hAnsiTheme="majorHAnsi" w:cstheme="majorHAnsi"/>
          <w:color w:val="222222"/>
          <w:sz w:val="24"/>
          <w:szCs w:val="24"/>
        </w:rPr>
      </w:pPr>
    </w:p>
    <w:p w14:paraId="3BC58B12" w14:textId="77777777" w:rsidR="00260F1F" w:rsidRPr="00D609F3" w:rsidRDefault="00260F1F" w:rsidP="00FD1997">
      <w:pPr>
        <w:pStyle w:val="NormalWeb"/>
        <w:numPr>
          <w:ilvl w:val="0"/>
          <w:numId w:val="3"/>
        </w:numPr>
        <w:spacing w:before="200" w:beforeAutospacing="0" w:after="200" w:afterAutospacing="0"/>
        <w:jc w:val="both"/>
        <w:rPr>
          <w:rFonts w:asciiTheme="majorHAnsi" w:hAnsiTheme="majorHAnsi" w:cstheme="majorHAnsi"/>
          <w:sz w:val="24"/>
          <w:szCs w:val="24"/>
          <w:u w:val="single"/>
        </w:rPr>
      </w:pPr>
      <w:r w:rsidRPr="00D609F3">
        <w:rPr>
          <w:rFonts w:asciiTheme="majorHAnsi" w:hAnsiTheme="majorHAnsi" w:cstheme="majorHAnsi"/>
          <w:sz w:val="24"/>
          <w:szCs w:val="24"/>
          <w:u w:val="single"/>
        </w:rPr>
        <w:t>The Need for a Torture Framework in Addressing TFGBV</w:t>
      </w:r>
    </w:p>
    <w:p w14:paraId="24750E14" w14:textId="11EE0E67" w:rsidR="00260F1F" w:rsidRPr="00D609F3" w:rsidRDefault="00260F1F"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Applying the torture framework to TFGBV does not mean asserting that all forms of online violence constitute torture. Rather, it means recognizing that the legal tools used to assess cumulative harm, psychological coercion, and severe suffering are highly relevant in this context. The torture framework provides a well-established means of understanding how persistent and targeted TFGBV can reach the</w:t>
      </w:r>
      <w:r w:rsidR="00EC5722" w:rsidRPr="00D609F3">
        <w:rPr>
          <w:rFonts w:asciiTheme="majorHAnsi" w:hAnsiTheme="majorHAnsi" w:cstheme="majorHAnsi"/>
          <w:sz w:val="24"/>
          <w:szCs w:val="24"/>
        </w:rPr>
        <w:t xml:space="preserve"> threshold of and other ill-treatment.</w:t>
      </w:r>
    </w:p>
    <w:p w14:paraId="39A9D541" w14:textId="79DF8081" w:rsidR="00260F1F" w:rsidRPr="00D609F3" w:rsidRDefault="00FD1997" w:rsidP="00FD1997">
      <w:pPr>
        <w:pStyle w:val="NormalWeb"/>
        <w:spacing w:before="200" w:beforeAutospacing="0" w:after="200" w:afterAutospacing="0"/>
        <w:jc w:val="both"/>
        <w:rPr>
          <w:rFonts w:asciiTheme="majorHAnsi" w:hAnsiTheme="majorHAnsi" w:cstheme="majorHAnsi"/>
          <w:sz w:val="24"/>
          <w:szCs w:val="24"/>
        </w:rPr>
      </w:pPr>
      <w:r>
        <w:rPr>
          <w:rFonts w:asciiTheme="majorHAnsi" w:hAnsiTheme="majorHAnsi" w:cstheme="majorHAnsi"/>
          <w:sz w:val="24"/>
          <w:szCs w:val="24"/>
        </w:rPr>
        <w:t>DIGNITY</w:t>
      </w:r>
      <w:r w:rsidR="007C2127" w:rsidRPr="00D609F3">
        <w:rPr>
          <w:rFonts w:asciiTheme="majorHAnsi" w:hAnsiTheme="majorHAnsi" w:cstheme="majorHAnsi"/>
          <w:sz w:val="24"/>
          <w:szCs w:val="24"/>
        </w:rPr>
        <w:t xml:space="preserve"> highlight</w:t>
      </w:r>
      <w:r>
        <w:rPr>
          <w:rFonts w:asciiTheme="majorHAnsi" w:hAnsiTheme="majorHAnsi" w:cstheme="majorHAnsi"/>
          <w:sz w:val="24"/>
          <w:szCs w:val="24"/>
        </w:rPr>
        <w:t>s</w:t>
      </w:r>
      <w:r w:rsidR="007C2127" w:rsidRPr="00D609F3">
        <w:rPr>
          <w:rFonts w:asciiTheme="majorHAnsi" w:hAnsiTheme="majorHAnsi" w:cstheme="majorHAnsi"/>
          <w:sz w:val="24"/>
          <w:szCs w:val="24"/>
        </w:rPr>
        <w:t xml:space="preserve"> the need for the Advisory Committee’s study </w:t>
      </w:r>
      <w:r w:rsidR="00260F1F" w:rsidRPr="00D609F3">
        <w:rPr>
          <w:rFonts w:asciiTheme="majorHAnsi" w:hAnsiTheme="majorHAnsi" w:cstheme="majorHAnsi"/>
          <w:sz w:val="24"/>
          <w:szCs w:val="24"/>
        </w:rPr>
        <w:t>to:</w:t>
      </w:r>
    </w:p>
    <w:p w14:paraId="4366FD19" w14:textId="77777777" w:rsidR="007C2127" w:rsidRPr="00D609F3" w:rsidRDefault="00260F1F" w:rsidP="00FD1997">
      <w:pPr>
        <w:pStyle w:val="NormalWeb"/>
        <w:numPr>
          <w:ilvl w:val="0"/>
          <w:numId w:val="4"/>
        </w:numPr>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 xml:space="preserve">Recognize the potential for certain forms of TFGBV to </w:t>
      </w:r>
      <w:r w:rsidR="007C2127" w:rsidRPr="00D609F3">
        <w:rPr>
          <w:rFonts w:asciiTheme="majorHAnsi" w:hAnsiTheme="majorHAnsi" w:cstheme="majorHAnsi"/>
          <w:sz w:val="24"/>
          <w:szCs w:val="24"/>
        </w:rPr>
        <w:t xml:space="preserve">result in severe psychological suffering that may </w:t>
      </w:r>
      <w:r w:rsidRPr="00D609F3">
        <w:rPr>
          <w:rFonts w:asciiTheme="majorHAnsi" w:hAnsiTheme="majorHAnsi" w:cstheme="majorHAnsi"/>
          <w:sz w:val="24"/>
          <w:szCs w:val="24"/>
        </w:rPr>
        <w:t>constitute T/CIDTP, particularly when the</w:t>
      </w:r>
      <w:r w:rsidR="006C4E53" w:rsidRPr="00D609F3">
        <w:rPr>
          <w:rFonts w:asciiTheme="majorHAnsi" w:hAnsiTheme="majorHAnsi" w:cstheme="majorHAnsi"/>
          <w:sz w:val="24"/>
          <w:szCs w:val="24"/>
        </w:rPr>
        <w:t xml:space="preserve"> abuse is systematic and </w:t>
      </w:r>
      <w:r w:rsidR="007C2127" w:rsidRPr="00D609F3">
        <w:rPr>
          <w:rFonts w:asciiTheme="majorHAnsi" w:hAnsiTheme="majorHAnsi" w:cstheme="majorHAnsi"/>
          <w:sz w:val="24"/>
          <w:szCs w:val="24"/>
        </w:rPr>
        <w:t>sustained.</w:t>
      </w:r>
    </w:p>
    <w:p w14:paraId="610883CB" w14:textId="77777777" w:rsidR="007C2127" w:rsidRPr="00D609F3" w:rsidRDefault="00260F1F" w:rsidP="00FD1997">
      <w:pPr>
        <w:pStyle w:val="NormalWeb"/>
        <w:numPr>
          <w:ilvl w:val="0"/>
          <w:numId w:val="4"/>
        </w:numPr>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Include an analysis of the torture framework in the forthcoming report to ensure a comprehensive approach to the human rights impact of TFGBV.</w:t>
      </w:r>
    </w:p>
    <w:p w14:paraId="1EB4E92D" w14:textId="77777777" w:rsidR="00260F1F" w:rsidRPr="00D609F3" w:rsidRDefault="006C4E53" w:rsidP="00FD1997">
      <w:pPr>
        <w:pStyle w:val="NormalWeb"/>
        <w:numPr>
          <w:ilvl w:val="0"/>
          <w:numId w:val="4"/>
        </w:numPr>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Call for e</w:t>
      </w:r>
      <w:r w:rsidR="00260F1F" w:rsidRPr="00D609F3">
        <w:rPr>
          <w:rFonts w:asciiTheme="majorHAnsi" w:hAnsiTheme="majorHAnsi" w:cstheme="majorHAnsi"/>
          <w:sz w:val="24"/>
          <w:szCs w:val="24"/>
        </w:rPr>
        <w:t>ngage</w:t>
      </w:r>
      <w:r w:rsidRPr="00D609F3">
        <w:rPr>
          <w:rFonts w:asciiTheme="majorHAnsi" w:hAnsiTheme="majorHAnsi" w:cstheme="majorHAnsi"/>
          <w:sz w:val="24"/>
          <w:szCs w:val="24"/>
        </w:rPr>
        <w:t>ment by</w:t>
      </w:r>
      <w:r w:rsidR="00260F1F" w:rsidRPr="00D609F3">
        <w:rPr>
          <w:rFonts w:asciiTheme="majorHAnsi" w:hAnsiTheme="majorHAnsi" w:cstheme="majorHAnsi"/>
          <w:sz w:val="24"/>
          <w:szCs w:val="24"/>
        </w:rPr>
        <w:t xml:space="preserve"> the UN Committee Against Torture and the UN Special Rapporteur on Torture to explore the evolving nature of digital threats and their implications for the prohibition of torture.</w:t>
      </w:r>
    </w:p>
    <w:p w14:paraId="1D622271" w14:textId="77777777" w:rsidR="00260F1F" w:rsidRPr="00D609F3" w:rsidRDefault="00260F1F" w:rsidP="00FD1997">
      <w:pPr>
        <w:pStyle w:val="NormalWeb"/>
        <w:numPr>
          <w:ilvl w:val="0"/>
          <w:numId w:val="3"/>
        </w:numPr>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Conclusion</w:t>
      </w:r>
    </w:p>
    <w:p w14:paraId="58CFFA47" w14:textId="740DCE50" w:rsidR="00260F1F" w:rsidRPr="00D609F3" w:rsidRDefault="00260F1F" w:rsidP="00FD1997">
      <w:pPr>
        <w:pStyle w:val="NormalWeb"/>
        <w:spacing w:before="200" w:beforeAutospacing="0" w:after="200" w:afterAutospacing="0"/>
        <w:jc w:val="both"/>
        <w:rPr>
          <w:rFonts w:asciiTheme="majorHAnsi" w:hAnsiTheme="majorHAnsi" w:cstheme="majorHAnsi"/>
          <w:sz w:val="24"/>
          <w:szCs w:val="24"/>
        </w:rPr>
      </w:pPr>
      <w:r w:rsidRPr="00D609F3">
        <w:rPr>
          <w:rFonts w:asciiTheme="majorHAnsi" w:hAnsiTheme="majorHAnsi" w:cstheme="majorHAnsi"/>
          <w:sz w:val="24"/>
          <w:szCs w:val="24"/>
        </w:rPr>
        <w:t xml:space="preserve">The international prohibition of torture </w:t>
      </w:r>
      <w:r w:rsidR="00EC5722" w:rsidRPr="00D609F3">
        <w:rPr>
          <w:rFonts w:asciiTheme="majorHAnsi" w:hAnsiTheme="majorHAnsi" w:cstheme="majorHAnsi"/>
          <w:sz w:val="24"/>
          <w:szCs w:val="24"/>
        </w:rPr>
        <w:t>and ill-treatment is a strongly anchored and richly fertile</w:t>
      </w:r>
      <w:r w:rsidRPr="00D609F3">
        <w:rPr>
          <w:rFonts w:asciiTheme="majorHAnsi" w:hAnsiTheme="majorHAnsi" w:cstheme="majorHAnsi"/>
          <w:sz w:val="24"/>
          <w:szCs w:val="24"/>
        </w:rPr>
        <w:t xml:space="preserve"> field of</w:t>
      </w:r>
      <w:r w:rsidR="00EC5722" w:rsidRPr="00D609F3">
        <w:rPr>
          <w:rFonts w:asciiTheme="majorHAnsi" w:hAnsiTheme="majorHAnsi" w:cstheme="majorHAnsi"/>
          <w:sz w:val="24"/>
          <w:szCs w:val="24"/>
        </w:rPr>
        <w:t xml:space="preserve"> human rights law that must be applied</w:t>
      </w:r>
      <w:r w:rsidRPr="00D609F3">
        <w:rPr>
          <w:rFonts w:asciiTheme="majorHAnsi" w:hAnsiTheme="majorHAnsi" w:cstheme="majorHAnsi"/>
          <w:sz w:val="24"/>
          <w:szCs w:val="24"/>
        </w:rPr>
        <w:t xml:space="preserve"> </w:t>
      </w:r>
      <w:r w:rsidR="00460DBF">
        <w:rPr>
          <w:rFonts w:asciiTheme="majorHAnsi" w:hAnsiTheme="majorHAnsi" w:cstheme="majorHAnsi"/>
          <w:sz w:val="24"/>
          <w:szCs w:val="24"/>
        </w:rPr>
        <w:t xml:space="preserve">to </w:t>
      </w:r>
      <w:r w:rsidRPr="00D609F3">
        <w:rPr>
          <w:rFonts w:asciiTheme="majorHAnsi" w:hAnsiTheme="majorHAnsi" w:cstheme="majorHAnsi"/>
          <w:sz w:val="24"/>
          <w:szCs w:val="24"/>
        </w:rPr>
        <w:t>modern forms of harm, including TFGBV. By integrating the torture framework into its analysis, the Advisory Committee can contribute to a more nuanced and legally grounded understanding of the severe impact of TFGBV.</w:t>
      </w:r>
    </w:p>
    <w:p w14:paraId="3E0A1527" w14:textId="77777777" w:rsidR="00260F1F" w:rsidRDefault="00260F1F" w:rsidP="00D609F3">
      <w:pPr>
        <w:jc w:val="both"/>
        <w:rPr>
          <w:rFonts w:asciiTheme="majorHAnsi" w:eastAsiaTheme="minorEastAsia" w:hAnsiTheme="majorHAnsi" w:cstheme="majorHAnsi"/>
          <w:smallCaps w:val="0"/>
          <w:spacing w:val="0"/>
          <w:w w:val="100"/>
          <w:lang w:eastAsia="en-US"/>
        </w:rPr>
      </w:pPr>
    </w:p>
    <w:p w14:paraId="7E0D07AD" w14:textId="064DACBA" w:rsidR="00FD1997" w:rsidRDefault="00FD1997" w:rsidP="00D609F3">
      <w:pPr>
        <w:jc w:val="both"/>
        <w:rPr>
          <w:rFonts w:asciiTheme="majorHAnsi" w:eastAsiaTheme="minorEastAsia" w:hAnsiTheme="majorHAnsi" w:cstheme="majorHAnsi"/>
          <w:smallCaps w:val="0"/>
          <w:spacing w:val="0"/>
          <w:w w:val="100"/>
          <w:lang w:eastAsia="en-US"/>
        </w:rPr>
      </w:pPr>
    </w:p>
    <w:p w14:paraId="6CE815CA"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1E98C565"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65D97374"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622F1915"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43E222B4"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555A38B1"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013DCE53"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3B20E878"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788324C6"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5A26BBC9"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1AFEF19A"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418763C8"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3634472F"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50B0BA50" w14:textId="77777777" w:rsidR="00460DBF" w:rsidRDefault="00460DBF" w:rsidP="00D609F3">
      <w:pPr>
        <w:jc w:val="both"/>
        <w:rPr>
          <w:rFonts w:asciiTheme="majorHAnsi" w:eastAsiaTheme="minorEastAsia" w:hAnsiTheme="majorHAnsi" w:cstheme="majorHAnsi"/>
          <w:smallCaps w:val="0"/>
          <w:spacing w:val="0"/>
          <w:w w:val="100"/>
          <w:lang w:eastAsia="en-US"/>
        </w:rPr>
      </w:pPr>
      <w:bookmarkStart w:id="0" w:name="_GoBack"/>
      <w:bookmarkEnd w:id="0"/>
    </w:p>
    <w:p w14:paraId="0E9BA726"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046824D1" w14:textId="77777777" w:rsidR="00FD1997" w:rsidRDefault="00FD1997" w:rsidP="00D609F3">
      <w:pPr>
        <w:jc w:val="both"/>
        <w:rPr>
          <w:rFonts w:asciiTheme="majorHAnsi" w:eastAsiaTheme="minorEastAsia" w:hAnsiTheme="majorHAnsi" w:cstheme="majorHAnsi"/>
          <w:smallCaps w:val="0"/>
          <w:spacing w:val="0"/>
          <w:w w:val="100"/>
          <w:lang w:eastAsia="en-US"/>
        </w:rPr>
      </w:pPr>
    </w:p>
    <w:p w14:paraId="2A590865" w14:textId="77777777" w:rsidR="00FD1997" w:rsidRDefault="00FD1997" w:rsidP="00D609F3">
      <w:pPr>
        <w:jc w:val="both"/>
        <w:rPr>
          <w:rFonts w:asciiTheme="majorHAnsi" w:hAnsiTheme="majorHAnsi" w:cstheme="majorHAnsi"/>
        </w:rPr>
      </w:pPr>
    </w:p>
    <w:p w14:paraId="34A3D373" w14:textId="0BF3A491" w:rsidR="00FD1997" w:rsidRPr="00D609F3" w:rsidRDefault="00FD1997" w:rsidP="00D609F3">
      <w:pPr>
        <w:jc w:val="both"/>
        <w:rPr>
          <w:rFonts w:asciiTheme="majorHAnsi" w:hAnsiTheme="majorHAnsi" w:cstheme="majorHAnsi"/>
        </w:rPr>
      </w:pPr>
      <w:r>
        <w:rPr>
          <w:rFonts w:asciiTheme="majorHAnsi" w:hAnsiTheme="majorHAnsi" w:cstheme="majorHAnsi"/>
        </w:rPr>
        <w:t>Endnotes</w:t>
      </w:r>
    </w:p>
    <w:sectPr w:rsidR="00FD1997" w:rsidRPr="00D609F3" w:rsidSect="004806D8">
      <w:footerReference w:type="default" r:id="rId9"/>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7D455" w14:textId="77777777" w:rsidR="00CB7B00" w:rsidRDefault="00CB7B00" w:rsidP="00537F61">
      <w:r>
        <w:separator/>
      </w:r>
    </w:p>
  </w:endnote>
  <w:endnote w:type="continuationSeparator" w:id="0">
    <w:p w14:paraId="4366E058" w14:textId="77777777" w:rsidR="00CB7B00" w:rsidRDefault="00CB7B00" w:rsidP="00537F61">
      <w:r>
        <w:continuationSeparator/>
      </w:r>
    </w:p>
  </w:endnote>
  <w:endnote w:id="1">
    <w:p w14:paraId="1C6BB6E0" w14:textId="77777777" w:rsidR="00CB7B00" w:rsidRPr="00046220" w:rsidRDefault="00CB7B00">
      <w:pPr>
        <w:pStyle w:val="EndnoteText"/>
        <w:rPr>
          <w:rFonts w:ascii="Calibri" w:hAnsi="Calibri"/>
          <w:smallCaps w:val="0"/>
          <w:sz w:val="20"/>
          <w:szCs w:val="20"/>
          <w:lang w:val="fr-FR"/>
        </w:rPr>
      </w:pPr>
      <w:r w:rsidRPr="00CB7B00">
        <w:rPr>
          <w:rStyle w:val="EndnoteReference"/>
          <w:rFonts w:ascii="Calibri" w:hAnsi="Calibri"/>
          <w:smallCaps w:val="0"/>
          <w:sz w:val="20"/>
          <w:szCs w:val="20"/>
        </w:rPr>
        <w:endnoteRef/>
      </w:r>
      <w:r w:rsidRPr="00046220">
        <w:rPr>
          <w:rFonts w:ascii="Calibri" w:hAnsi="Calibri"/>
          <w:smallCaps w:val="0"/>
          <w:sz w:val="20"/>
          <w:szCs w:val="20"/>
          <w:lang w:val="fr-FR"/>
        </w:rPr>
        <w:t xml:space="preserve"> Articles 1-5, 16.</w:t>
      </w:r>
    </w:p>
  </w:endnote>
  <w:endnote w:id="2">
    <w:p w14:paraId="6B537475" w14:textId="77777777" w:rsidR="00CB7B00" w:rsidRPr="00046220" w:rsidRDefault="00CB7B00">
      <w:pPr>
        <w:pStyle w:val="EndnoteText"/>
        <w:rPr>
          <w:rFonts w:ascii="Calibri" w:hAnsi="Calibri"/>
          <w:smallCaps w:val="0"/>
          <w:sz w:val="20"/>
          <w:szCs w:val="20"/>
          <w:lang w:val="fr-FR"/>
        </w:rPr>
      </w:pPr>
      <w:r w:rsidRPr="00CB7B00">
        <w:rPr>
          <w:rStyle w:val="EndnoteReference"/>
          <w:rFonts w:ascii="Calibri" w:hAnsi="Calibri"/>
          <w:smallCaps w:val="0"/>
          <w:sz w:val="20"/>
          <w:szCs w:val="20"/>
        </w:rPr>
        <w:endnoteRef/>
      </w:r>
      <w:r w:rsidRPr="00046220">
        <w:rPr>
          <w:rFonts w:ascii="Calibri" w:hAnsi="Calibri"/>
          <w:smallCaps w:val="0"/>
          <w:sz w:val="20"/>
          <w:szCs w:val="20"/>
          <w:lang w:val="fr-FR"/>
        </w:rPr>
        <w:t xml:space="preserve"> Article 7.</w:t>
      </w:r>
    </w:p>
  </w:endnote>
  <w:endnote w:id="3">
    <w:p w14:paraId="7BA79879" w14:textId="77777777" w:rsidR="00CB7B00" w:rsidRPr="00046220" w:rsidRDefault="00CB7B00">
      <w:pPr>
        <w:pStyle w:val="EndnoteText"/>
        <w:rPr>
          <w:rFonts w:ascii="Calibri" w:hAnsi="Calibri"/>
          <w:smallCaps w:val="0"/>
          <w:sz w:val="20"/>
          <w:szCs w:val="20"/>
          <w:lang w:val="fr-FR"/>
        </w:rPr>
      </w:pPr>
      <w:r w:rsidRPr="00CB7B00">
        <w:rPr>
          <w:rStyle w:val="EndnoteReference"/>
          <w:rFonts w:ascii="Calibri" w:hAnsi="Calibri"/>
          <w:smallCaps w:val="0"/>
          <w:sz w:val="20"/>
          <w:szCs w:val="20"/>
        </w:rPr>
        <w:endnoteRef/>
      </w:r>
      <w:r w:rsidRPr="00046220">
        <w:rPr>
          <w:rFonts w:ascii="Calibri" w:hAnsi="Calibri"/>
          <w:smallCaps w:val="0"/>
          <w:sz w:val="20"/>
          <w:szCs w:val="20"/>
          <w:lang w:val="fr-FR"/>
        </w:rPr>
        <w:t xml:space="preserve"> Common Article 3, Article 12. </w:t>
      </w:r>
    </w:p>
  </w:endnote>
  <w:endnote w:id="4">
    <w:p w14:paraId="6791506B" w14:textId="77777777" w:rsidR="00CB7B00" w:rsidRPr="00CB7B00" w:rsidRDefault="00CB7B00" w:rsidP="00537F61">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w:t>
      </w:r>
      <w:r w:rsidRPr="00CB7B00">
        <w:rPr>
          <w:rFonts w:ascii="Calibri" w:hAnsi="Calibri"/>
          <w:smallCaps w:val="0"/>
          <w:color w:val="000000"/>
          <w:spacing w:val="0"/>
          <w:w w:val="100"/>
          <w:lang w:eastAsia="en-US"/>
        </w:rPr>
        <w:t>Including the Convention on the Rights of the Child (art. 37), the Convention on the Rights of Persons with Disabilities (Art. 15), European Convention on Human Rights (Art. 3), Inter-American Convention on Human Rights (Art. 5), African Charter on Human and Peoples’ Rights (Art. 5).</w:t>
      </w:r>
    </w:p>
  </w:endnote>
  <w:endnote w:id="5">
    <w:p w14:paraId="4CC6F974" w14:textId="77777777" w:rsidR="00CB7B00" w:rsidRPr="00CB7B00" w:rsidRDefault="00CB7B00" w:rsidP="00413981">
      <w:pPr>
        <w:rPr>
          <w:rFonts w:ascii="Calibri" w:hAnsi="Calibri"/>
        </w:rPr>
      </w:pPr>
      <w:r w:rsidRPr="00CB7B00">
        <w:rPr>
          <w:rStyle w:val="EndnoteReference"/>
          <w:rFonts w:ascii="Calibri" w:hAnsi="Calibri"/>
        </w:rPr>
        <w:endnoteRef/>
      </w:r>
      <w:r w:rsidRPr="00CB7B00">
        <w:rPr>
          <w:rFonts w:ascii="Calibri" w:hAnsi="Calibri"/>
        </w:rPr>
        <w:t xml:space="preserve"> </w:t>
      </w:r>
      <w:r w:rsidRPr="00CB7B00">
        <w:rPr>
          <w:rFonts w:ascii="Calibri" w:hAnsi="Calibri"/>
          <w:smallCaps w:val="0"/>
          <w:color w:val="000000"/>
        </w:rPr>
        <w:t xml:space="preserve">See Amnesty International, Universal Jurisdiction - A preliminary survey of legislation around the world, 2011, </w:t>
      </w:r>
      <w:hyperlink r:id="rId1" w:history="1">
        <w:r w:rsidRPr="00CB7B00">
          <w:rPr>
            <w:rStyle w:val="Hyperlink"/>
            <w:rFonts w:ascii="Calibri" w:hAnsi="Calibri"/>
            <w:smallCaps w:val="0"/>
            <w:color w:val="1155CC"/>
          </w:rPr>
          <w:t>https://www.amnesty.org/en/wp-content/uploads/2021/06/ior530042011en.pdf</w:t>
        </w:r>
      </w:hyperlink>
      <w:r w:rsidRPr="00CB7B00">
        <w:rPr>
          <w:rFonts w:ascii="Calibri" w:hAnsi="Calibri"/>
          <w:smallCaps w:val="0"/>
          <w:color w:val="000000"/>
        </w:rPr>
        <w:t>.</w:t>
      </w:r>
      <w:r w:rsidRPr="00CB7B00">
        <w:rPr>
          <w:rFonts w:ascii="Calibri" w:hAnsi="Calibri"/>
          <w:color w:val="000000"/>
        </w:rPr>
        <w:t xml:space="preserve"> </w:t>
      </w:r>
    </w:p>
  </w:endnote>
  <w:endnote w:id="6">
    <w:p w14:paraId="085CB627" w14:textId="77777777" w:rsidR="00CB7B00" w:rsidRPr="00CB7B00" w:rsidRDefault="00CB7B00" w:rsidP="002C540B">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w:t>
      </w:r>
      <w:r w:rsidRPr="00CB7B00">
        <w:rPr>
          <w:rFonts w:ascii="Calibri" w:hAnsi="Calibri" w:cstheme="majorBidi"/>
          <w:smallCaps w:val="0"/>
        </w:rPr>
        <w:t xml:space="preserve">See </w:t>
      </w:r>
      <w:r w:rsidRPr="00CB7B00">
        <w:rPr>
          <w:rFonts w:ascii="Calibri" w:hAnsi="Calibri" w:cstheme="majorBidi"/>
          <w:i/>
          <w:smallCaps w:val="0"/>
        </w:rPr>
        <w:t xml:space="preserve">Prosecutor </w:t>
      </w:r>
      <w:r w:rsidRPr="00CB7B00">
        <w:rPr>
          <w:rFonts w:ascii="Calibri" w:hAnsi="Calibri" w:cstheme="majorBidi"/>
          <w:i/>
          <w:iCs/>
          <w:smallCaps w:val="0"/>
        </w:rPr>
        <w:t>v.</w:t>
      </w:r>
      <w:r w:rsidRPr="00CB7B00">
        <w:rPr>
          <w:rFonts w:ascii="Calibri" w:hAnsi="Calibri" w:cstheme="majorBidi"/>
          <w:i/>
          <w:smallCaps w:val="0"/>
        </w:rPr>
        <w:t xml:space="preserve"> Anto Furund</w:t>
      </w:r>
      <w:r w:rsidRPr="00CB7B00">
        <w:rPr>
          <w:rFonts w:ascii="Calibri" w:hAnsi="Calibri"/>
          <w:i/>
          <w:smallCaps w:val="0"/>
        </w:rPr>
        <w:t>ž</w:t>
      </w:r>
      <w:r w:rsidRPr="00CB7B00">
        <w:rPr>
          <w:rFonts w:ascii="Calibri" w:hAnsi="Calibri" w:cstheme="majorBidi"/>
          <w:i/>
          <w:smallCaps w:val="0"/>
        </w:rPr>
        <w:t xml:space="preserve">ija </w:t>
      </w:r>
      <w:r w:rsidRPr="00CB7B00">
        <w:rPr>
          <w:rFonts w:ascii="Calibri" w:hAnsi="Calibri" w:cstheme="majorBidi"/>
          <w:smallCaps w:val="0"/>
        </w:rPr>
        <w:t>(</w:t>
      </w:r>
      <w:r w:rsidRPr="00CB7B00">
        <w:rPr>
          <w:rFonts w:ascii="Calibri" w:hAnsi="Calibri" w:cstheme="majorBidi"/>
          <w:i/>
          <w:iCs/>
          <w:smallCaps w:val="0"/>
        </w:rPr>
        <w:t>Case No. IT-95-17/1-T, Judgment of 10 December 1998</w:t>
      </w:r>
      <w:r w:rsidRPr="00CB7B00">
        <w:rPr>
          <w:rFonts w:ascii="Calibri" w:hAnsi="Calibri" w:cstheme="majorBidi"/>
          <w:smallCaps w:val="0"/>
        </w:rPr>
        <w:t xml:space="preserve">, Trial Chamber, International </w:t>
      </w:r>
      <w:r w:rsidRPr="00CB7B00">
        <w:rPr>
          <w:rFonts w:ascii="Calibri" w:hAnsi="Calibri"/>
          <w:smallCaps w:val="0"/>
        </w:rPr>
        <w:t xml:space="preserve">Criminal </w:t>
      </w:r>
      <w:r w:rsidRPr="00CB7B00">
        <w:rPr>
          <w:rFonts w:ascii="Calibri" w:hAnsi="Calibri" w:cstheme="majorBidi"/>
          <w:smallCaps w:val="0"/>
        </w:rPr>
        <w:t xml:space="preserve">Tribunal for the Former Yugoslavia, </w:t>
      </w:r>
      <w:r w:rsidRPr="00CB7B00">
        <w:rPr>
          <w:rFonts w:ascii="Calibri" w:hAnsi="Calibri" w:cstheme="majorBidi"/>
          <w:i/>
          <w:iCs/>
          <w:smallCaps w:val="0"/>
        </w:rPr>
        <w:t>Judicial Reports 1998</w:t>
      </w:r>
      <w:r w:rsidRPr="00CB7B00">
        <w:rPr>
          <w:rFonts w:ascii="Calibri" w:hAnsi="Calibri" w:cstheme="majorBidi"/>
          <w:smallCaps w:val="0"/>
        </w:rPr>
        <w:t xml:space="preserve">, vol. 1, p. 466, at p. 569, paras. 153. </w:t>
      </w:r>
      <w:r w:rsidRPr="00CB7B00">
        <w:rPr>
          <w:rFonts w:ascii="Calibri" w:hAnsi="Calibri" w:cstheme="majorBidi"/>
          <w:i/>
          <w:smallCaps w:val="0"/>
        </w:rPr>
        <w:t>See also</w:t>
      </w:r>
      <w:r w:rsidRPr="00CB7B00">
        <w:rPr>
          <w:rFonts w:ascii="Calibri" w:hAnsi="Calibri" w:cstheme="majorBidi"/>
          <w:smallCaps w:val="0"/>
        </w:rPr>
        <w:t xml:space="preserve"> International Law Commission, </w:t>
      </w:r>
      <w:r w:rsidRPr="00CB7B00">
        <w:rPr>
          <w:rFonts w:ascii="Calibri" w:hAnsi="Calibri"/>
          <w:smallCaps w:val="0"/>
          <w:spacing w:val="0"/>
          <w:w w:val="100"/>
          <w:lang w:eastAsia="en-US"/>
        </w:rPr>
        <w:t xml:space="preserve">Draft conclusions on identification and legal consequences of peremptory norms of general international law (jus cogens) (2022), </w:t>
      </w:r>
      <w:hyperlink r:id="rId2" w:history="1">
        <w:r w:rsidRPr="00CB7B00">
          <w:rPr>
            <w:rStyle w:val="Hyperlink"/>
            <w:rFonts w:ascii="Calibri" w:hAnsi="Calibri"/>
            <w:smallCaps w:val="0"/>
            <w:spacing w:val="0"/>
            <w:w w:val="100"/>
            <w:lang w:eastAsia="en-US"/>
          </w:rPr>
          <w:t>https://legal.un.org/docs/?path=../ilc/texts/instruments/english/draft_articles/1_14_2022.pdf&amp;lang=EF</w:t>
        </w:r>
      </w:hyperlink>
      <w:r w:rsidRPr="00CB7B00">
        <w:rPr>
          <w:rFonts w:ascii="Calibri" w:hAnsi="Calibri"/>
          <w:smallCaps w:val="0"/>
          <w:spacing w:val="0"/>
          <w:w w:val="100"/>
          <w:lang w:eastAsia="en-US"/>
        </w:rPr>
        <w:t xml:space="preserve">. </w:t>
      </w:r>
    </w:p>
  </w:endnote>
  <w:endnote w:id="7">
    <w:p w14:paraId="67C4B5EE" w14:textId="77777777" w:rsidR="00CB7B00" w:rsidRPr="00CB7B00" w:rsidRDefault="00CB7B00" w:rsidP="004E41EA">
      <w:pPr>
        <w:widowControl w:val="0"/>
        <w:autoSpaceDE w:val="0"/>
        <w:autoSpaceDN w:val="0"/>
        <w:adjustRightInd w:val="0"/>
        <w:rPr>
          <w:rFonts w:ascii="Calibri" w:eastAsiaTheme="minorEastAsia" w:hAnsi="Calibri" w:cs="Times"/>
          <w:color w:val="000000"/>
          <w:spacing w:val="0"/>
          <w:sz w:val="24"/>
          <w:szCs w:val="24"/>
        </w:rPr>
      </w:pPr>
      <w:r w:rsidRPr="00CB7B00">
        <w:rPr>
          <w:rStyle w:val="EndnoteReference"/>
          <w:rFonts w:ascii="Calibri" w:hAnsi="Calibri"/>
          <w:smallCaps w:val="0"/>
        </w:rPr>
        <w:endnoteRef/>
      </w:r>
      <w:r w:rsidRPr="00CB7B00">
        <w:rPr>
          <w:rFonts w:ascii="Calibri" w:hAnsi="Calibri"/>
          <w:smallCaps w:val="0"/>
        </w:rPr>
        <w:t xml:space="preserve"> </w:t>
      </w:r>
      <w:r w:rsidRPr="00CB7B00">
        <w:rPr>
          <w:rFonts w:ascii="Calibri" w:hAnsi="Calibri" w:cs="Arial"/>
          <w:smallCaps w:val="0"/>
          <w:color w:val="000000"/>
          <w:spacing w:val="0"/>
          <w:w w:val="100"/>
          <w:shd w:val="clear" w:color="auto" w:fill="FFFFFF"/>
          <w:lang w:eastAsia="en-US"/>
        </w:rPr>
        <w:t> </w:t>
      </w:r>
      <w:r w:rsidRPr="00CB7B00">
        <w:rPr>
          <w:rFonts w:ascii="Calibri" w:eastAsiaTheme="minorEastAsia" w:hAnsi="Calibri" w:cs="Arial"/>
          <w:smallCaps w:val="0"/>
          <w:color w:val="000000"/>
          <w:spacing w:val="0"/>
        </w:rPr>
        <w:t>Case of Suárez Rosero v. Ecuador, IACtHR, Judgment, 12 November 1997, Series C No. 35 , para. 91; Case of the "Street Children" (Villagrán Morales et al.) v. Guatemala, IACtHR, Judgment of 19 November 1999, Series C No. 63, para. 163;</w:t>
      </w:r>
      <w:r w:rsidRPr="00CB7B00">
        <w:rPr>
          <w:rFonts w:ascii="Calibri" w:eastAsiaTheme="minorEastAsia" w:hAnsi="Calibri" w:cs="Arial"/>
          <w:b/>
          <w:bCs/>
          <w:color w:val="000000"/>
          <w:spacing w:val="0"/>
          <w:sz w:val="26"/>
          <w:szCs w:val="26"/>
        </w:rPr>
        <w:t xml:space="preserve"> </w:t>
      </w:r>
      <w:r w:rsidRPr="00CB7B00">
        <w:rPr>
          <w:rFonts w:ascii="Calibri" w:hAnsi="Calibri" w:cs="Arial"/>
          <w:bCs/>
          <w:smallCaps w:val="0"/>
          <w:color w:val="000000"/>
          <w:spacing w:val="0"/>
          <w:w w:val="100"/>
          <w:shd w:val="clear" w:color="auto" w:fill="FFFFFF"/>
          <w:lang w:eastAsia="en-US"/>
        </w:rPr>
        <w:t>Schmidt and Šmigol v. Estonia, ECtHR, No. 3501/20, Judgment, 28 November 2023, paras. 133, 140, 149-163 (</w:t>
      </w:r>
      <w:r w:rsidRPr="00CB7B00">
        <w:rPr>
          <w:rFonts w:ascii="Calibri" w:hAnsi="Calibri"/>
          <w:smallCaps w:val="0"/>
          <w:spacing w:val="0"/>
          <w:w w:val="100"/>
          <w:lang w:eastAsia="en-US"/>
        </w:rPr>
        <w:t>The Court therefore considered that the practice of long consecutive periods of solitary confinement was, in principle, incompatible with Article 3, save for the Government being able to present compelling reasons as to the existence of exceptional circumstances that would justify such a practice and to show that such disciplinary punishment was indeed used as a last resort.); N.T. v. Russia, ECtHR, No. 14727/11, Judgment, 2 June 2020, para. 45; Ivan Karpenko v. Ukraine, ECtHR, No. 45397/13, Judgment, 16 March 2022, paras. 58-65. See</w:t>
      </w:r>
      <w:r w:rsidRPr="00CB7B00">
        <w:rPr>
          <w:rFonts w:ascii="Calibri" w:hAnsi="Calibri"/>
          <w:i/>
          <w:smallCaps w:val="0"/>
          <w:spacing w:val="0"/>
          <w:w w:val="100"/>
          <w:lang w:eastAsia="en-US"/>
        </w:rPr>
        <w:t xml:space="preserve"> also </w:t>
      </w:r>
      <w:r w:rsidRPr="00CB7B00">
        <w:rPr>
          <w:rFonts w:ascii="Calibri" w:hAnsi="Calibri" w:cs="Arial"/>
          <w:bCs/>
          <w:smallCaps w:val="0"/>
          <w:color w:val="000000"/>
          <w:spacing w:val="0"/>
          <w:w w:val="100"/>
          <w:shd w:val="clear" w:color="auto" w:fill="FFFFFF"/>
          <w:lang w:eastAsia="en-US"/>
        </w:rPr>
        <w:t>Ramirez Sanchez v. France, ECtHR, No. 59450/00, Judgment, 4 July 2006, paras. 131-150.</w:t>
      </w:r>
    </w:p>
  </w:endnote>
  <w:endnote w:id="8">
    <w:p w14:paraId="00845B68" w14:textId="77777777" w:rsidR="00CB7B00" w:rsidRPr="00CB7B00" w:rsidRDefault="00CB7B00" w:rsidP="00E2125D">
      <w:pPr>
        <w:rPr>
          <w:rFonts w:ascii="Calibri" w:hAnsi="Calibri" w:cs="Arial"/>
          <w:smallCaps w:val="0"/>
          <w:color w:val="00000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Yakovenko v. Ukraine, ECtHR, No. 15825/06, Judgment, 25 January 2008, para. 85; Guliyev v. Russia, ECtHR, No. 24650/02, Judgment, 19 September 2008, paras. 61-65. </w:t>
      </w:r>
      <w:r w:rsidRPr="00CB7B00">
        <w:rPr>
          <w:rFonts w:ascii="Calibri" w:hAnsi="Calibri"/>
          <w:i/>
          <w:smallCaps w:val="0"/>
        </w:rPr>
        <w:t xml:space="preserve">See </w:t>
      </w:r>
      <w:r w:rsidRPr="00CB7B00">
        <w:rPr>
          <w:rFonts w:ascii="Calibri" w:hAnsi="Calibri" w:cs="Arial"/>
          <w:smallCaps w:val="0"/>
          <w:color w:val="000000"/>
          <w:spacing w:val="0"/>
          <w:w w:val="100"/>
          <w:lang w:eastAsia="en-US"/>
        </w:rPr>
        <w:t xml:space="preserve">Protocol on Medico-Legal Documentation of Sleep Deprivation, P. Pérez-Sales, E. Søndergaard, E. Shir, M. Brasholt, E. Cakal, Torture Journal, Vol. 29(2), 2019, </w:t>
      </w:r>
      <w:hyperlink r:id="rId3" w:history="1">
        <w:r w:rsidRPr="00CB7B00">
          <w:rPr>
            <w:rStyle w:val="Hyperlink"/>
            <w:rFonts w:ascii="Calibri" w:hAnsi="Calibri" w:cs="Arial"/>
            <w:smallCaps w:val="0"/>
            <w:spacing w:val="0"/>
            <w:w w:val="100"/>
            <w:lang w:eastAsia="en-US"/>
          </w:rPr>
          <w:t>https://tidsskrift.dk/torture-journal/article/view/116320/164900</w:t>
        </w:r>
      </w:hyperlink>
      <w:r w:rsidRPr="00CB7B00">
        <w:rPr>
          <w:rFonts w:ascii="Calibri" w:hAnsi="Calibri" w:cs="Arial"/>
          <w:smallCaps w:val="0"/>
          <w:color w:val="000000"/>
          <w:spacing w:val="0"/>
          <w:w w:val="100"/>
          <w:lang w:eastAsia="en-US"/>
        </w:rPr>
        <w:t xml:space="preserve">. </w:t>
      </w:r>
    </w:p>
  </w:endnote>
  <w:endnote w:id="9">
    <w:p w14:paraId="70B3667E" w14:textId="77777777" w:rsidR="00CB7B00" w:rsidRPr="00CB7B00" w:rsidRDefault="00CB7B00" w:rsidP="00E2125D">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“T</w:t>
      </w:r>
      <w:r w:rsidRPr="00CB7B00">
        <w:rPr>
          <w:rFonts w:ascii="Calibri" w:hAnsi="Calibri"/>
          <w:smallCaps w:val="0"/>
          <w:spacing w:val="0"/>
          <w:w w:val="100"/>
          <w:shd w:val="clear" w:color="auto" w:fill="FFFFFF"/>
          <w:lang w:eastAsia="en-US"/>
        </w:rPr>
        <w:t xml:space="preserve">he Darkness”: Deprivation of sunlight as a form of torture, J. Kilpatrick, S. Crosby, B. Chisholm, Torture Journal V.33(1) 2023, </w:t>
      </w:r>
      <w:hyperlink r:id="rId4" w:history="1">
        <w:r w:rsidRPr="00CB7B00">
          <w:rPr>
            <w:rStyle w:val="Hyperlink"/>
            <w:rFonts w:ascii="Calibri" w:hAnsi="Calibri"/>
            <w:smallCaps w:val="0"/>
            <w:spacing w:val="0"/>
            <w:w w:val="100"/>
            <w:shd w:val="clear" w:color="auto" w:fill="FFFFFF"/>
            <w:lang w:eastAsia="en-US"/>
          </w:rPr>
          <w:t>https://tidsskrift.dk/torture-journal/article/view/133860/181164</w:t>
        </w:r>
      </w:hyperlink>
      <w:r w:rsidRPr="00CB7B00">
        <w:rPr>
          <w:rFonts w:ascii="Calibri" w:hAnsi="Calibri"/>
          <w:smallCaps w:val="0"/>
          <w:spacing w:val="0"/>
          <w:w w:val="100"/>
          <w:shd w:val="clear" w:color="auto" w:fill="FFFFFF"/>
          <w:lang w:eastAsia="en-US"/>
        </w:rPr>
        <w:t xml:space="preserve">. </w:t>
      </w:r>
    </w:p>
  </w:endnote>
  <w:endnote w:id="10">
    <w:p w14:paraId="2D6FD514" w14:textId="77777777" w:rsidR="00CB7B00" w:rsidRPr="00CB7B00" w:rsidRDefault="00CB7B00" w:rsidP="00A93D53">
      <w:pPr>
        <w:rPr>
          <w:rFonts w:ascii="Calibri" w:hAnsi="Calibri" w:cs="Arial"/>
          <w:smallCaps w:val="0"/>
          <w:color w:val="00000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Yakovenko v. Ukraine, ECtHR, No. 15825/06, Judgment, 25 January 2008, para. 85; Guliyev v. Russia, ECtHR, No. 24650/02, Judgment, 19 September 2008, paras. 61-65. </w:t>
      </w:r>
      <w:r w:rsidRPr="00CB7B00">
        <w:rPr>
          <w:rFonts w:ascii="Calibri" w:hAnsi="Calibri"/>
          <w:i/>
          <w:smallCaps w:val="0"/>
        </w:rPr>
        <w:t xml:space="preserve">See </w:t>
      </w:r>
      <w:r w:rsidRPr="00CB7B00">
        <w:rPr>
          <w:rFonts w:ascii="Calibri" w:hAnsi="Calibri" w:cs="Arial"/>
          <w:smallCaps w:val="0"/>
          <w:color w:val="000000"/>
          <w:spacing w:val="0"/>
          <w:w w:val="100"/>
          <w:lang w:eastAsia="en-US"/>
        </w:rPr>
        <w:t xml:space="preserve">Protocol on Medico-Legal Documentation of Sleep Deprivation, P. Pérez-Sales, E. Søndergaard, E. Shir, M. Brasholt, E. Cakal, Torture Journal, Vol. 29(2), 2019, </w:t>
      </w:r>
      <w:hyperlink r:id="rId5" w:history="1">
        <w:r w:rsidRPr="00CB7B00">
          <w:rPr>
            <w:rStyle w:val="Hyperlink"/>
            <w:rFonts w:ascii="Calibri" w:hAnsi="Calibri" w:cs="Arial"/>
            <w:smallCaps w:val="0"/>
            <w:spacing w:val="0"/>
            <w:w w:val="100"/>
            <w:lang w:eastAsia="en-US"/>
          </w:rPr>
          <w:t>https://tidsskrift.dk/torture-journal/article/view/116320/164900</w:t>
        </w:r>
      </w:hyperlink>
      <w:r w:rsidRPr="00CB7B00">
        <w:rPr>
          <w:rFonts w:ascii="Calibri" w:hAnsi="Calibri" w:cs="Arial"/>
          <w:smallCaps w:val="0"/>
          <w:color w:val="000000"/>
          <w:spacing w:val="0"/>
          <w:w w:val="100"/>
          <w:lang w:eastAsia="en-US"/>
        </w:rPr>
        <w:t xml:space="preserve">. </w:t>
      </w:r>
    </w:p>
  </w:endnote>
  <w:endnote w:id="11">
    <w:p w14:paraId="364E3576" w14:textId="77777777" w:rsidR="00CB7B00" w:rsidRPr="00CB7B00" w:rsidRDefault="00CB7B00" w:rsidP="00A93D53">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w:t>
      </w:r>
      <w:r w:rsidRPr="00CB7B00">
        <w:rPr>
          <w:rFonts w:ascii="Calibri" w:hAnsi="Calibri"/>
          <w:smallCaps w:val="0"/>
          <w:spacing w:val="0"/>
          <w:w w:val="100"/>
          <w:shd w:val="clear" w:color="auto" w:fill="FFFFFF"/>
          <w:lang w:eastAsia="en-US"/>
        </w:rPr>
        <w:t>Cakal. E. (2019). Befogging reason, undermining will: Understanding sleep deprivation as torture and other Ill-treatment in international l aw.  Torture Journal 29(2),11–22;</w:t>
      </w:r>
      <w:r w:rsidRPr="00CB7B00">
        <w:rPr>
          <w:rFonts w:ascii="Calibri" w:hAnsi="Calibri"/>
          <w:smallCaps w:val="0"/>
          <w:spacing w:val="0"/>
          <w:w w:val="100"/>
          <w:lang w:eastAsia="en-US"/>
        </w:rPr>
        <w:t xml:space="preserve"> </w:t>
      </w:r>
      <w:r w:rsidRPr="00CB7B00">
        <w:rPr>
          <w:rFonts w:ascii="Calibri" w:hAnsi="Calibri"/>
          <w:smallCaps w:val="0"/>
          <w:spacing w:val="0"/>
          <w:w w:val="100"/>
          <w:shd w:val="clear" w:color="auto" w:fill="FFFFFF"/>
          <w:lang w:eastAsia="en-US"/>
        </w:rPr>
        <w:t>Social interactions, emotion and sleep: A systematic review and research agenda, Beattie, L., Kyle, S. D., Espie, C. A., &amp; Biello, S. M. (2015), Sleep Medicine Reviews, 24, 83–100</w:t>
      </w:r>
      <w:r w:rsidRPr="00CB7B00">
        <w:rPr>
          <w:rFonts w:ascii="Calibri" w:hAnsi="Calibri"/>
          <w:smallCaps w:val="0"/>
          <w:spacing w:val="0"/>
          <w:w w:val="100"/>
          <w:lang w:eastAsia="en-US"/>
        </w:rPr>
        <w:t xml:space="preserve">; </w:t>
      </w:r>
      <w:r w:rsidRPr="00CB7B00">
        <w:rPr>
          <w:rFonts w:ascii="Calibri" w:hAnsi="Calibri"/>
          <w:smallCaps w:val="0"/>
          <w:spacing w:val="0"/>
          <w:w w:val="100"/>
          <w:shd w:val="clear" w:color="auto" w:fill="FFFFFF"/>
          <w:lang w:eastAsia="en-US"/>
        </w:rPr>
        <w:t>Pires, G. N., Bezerra, A. G., Tufik, S., &amp; Andersen, M. L. (2016). Effects of acute sleep deprivation on state anxiety levels: a systematic review and meta-analysis. Sleep Medicine, 24, 109–118.</w:t>
      </w:r>
    </w:p>
  </w:endnote>
  <w:endnote w:id="12">
    <w:p w14:paraId="7165B77F" w14:textId="77777777" w:rsidR="00CB7B00" w:rsidRPr="00046220" w:rsidRDefault="00CB7B00" w:rsidP="00C87016">
      <w:pPr>
        <w:shd w:val="clear" w:color="auto" w:fill="FFFFFF"/>
        <w:rPr>
          <w:rFonts w:ascii="Calibri" w:hAnsi="Calibri"/>
          <w:smallCaps w:val="0"/>
          <w:spacing w:val="0"/>
          <w:w w:val="100"/>
          <w:lang w:val="fr-FR" w:eastAsia="en-US"/>
        </w:rPr>
      </w:pPr>
      <w:r w:rsidRPr="00CB7B00">
        <w:rPr>
          <w:rStyle w:val="EndnoteReference"/>
          <w:rFonts w:ascii="Calibri" w:hAnsi="Calibri"/>
        </w:rPr>
        <w:endnoteRef/>
      </w:r>
      <w:r w:rsidRPr="00CB7B00">
        <w:rPr>
          <w:rFonts w:ascii="Calibri" w:hAnsi="Calibri"/>
        </w:rPr>
        <w:t xml:space="preserve"> “T</w:t>
      </w:r>
      <w:r w:rsidRPr="00CB7B00">
        <w:rPr>
          <w:rFonts w:ascii="Calibri" w:hAnsi="Calibri"/>
          <w:smallCaps w:val="0"/>
          <w:spacing w:val="0"/>
          <w:w w:val="100"/>
          <w:shd w:val="clear" w:color="auto" w:fill="FFFFFF"/>
          <w:lang w:eastAsia="en-US"/>
        </w:rPr>
        <w:t xml:space="preserve">he Darkness”: Deprivation of sunlight as a form of torture, J. Kilpatrick, S. Crosby, B. Chisholm, Torture Journal V.33(1) 2023, </w:t>
      </w:r>
      <w:hyperlink r:id="rId6" w:history="1">
        <w:r w:rsidRPr="00CB7B00">
          <w:rPr>
            <w:rStyle w:val="Hyperlink"/>
            <w:rFonts w:ascii="Calibri" w:hAnsi="Calibri"/>
            <w:smallCaps w:val="0"/>
            <w:spacing w:val="0"/>
            <w:w w:val="100"/>
            <w:shd w:val="clear" w:color="auto" w:fill="FFFFFF"/>
            <w:lang w:eastAsia="en-US"/>
          </w:rPr>
          <w:t>https://tidsskrift.dk/torture-journal/article/view/133860/181164</w:t>
        </w:r>
      </w:hyperlink>
      <w:r w:rsidRPr="00CB7B00">
        <w:rPr>
          <w:rFonts w:ascii="Calibri" w:hAnsi="Calibri"/>
          <w:smallCaps w:val="0"/>
          <w:spacing w:val="0"/>
          <w:w w:val="100"/>
          <w:shd w:val="clear" w:color="auto" w:fill="FFFFFF"/>
          <w:lang w:eastAsia="en-US"/>
        </w:rPr>
        <w:t xml:space="preserve">; Başoğlu, M,  Livanou, M, Crnobaric ́, C (2007) Torture vs Other Cruel, Inhuman, and Degrading Treatment Is the Distinction Real or Apparent? Arch Gen Psychiatry Vol 64, 277-283; Mineka S, Kelly K. The relationship between anxiety, lack of control and loss of control. In: Steptoe A, Appels A, eds. Stress, Personal Control and Health. Brussels, Belgium: Wiley; 1989:163-191; </w:t>
      </w:r>
      <w:r w:rsidRPr="00CB7B00">
        <w:rPr>
          <w:rFonts w:ascii="Calibri" w:hAnsi="Calibri"/>
          <w:smallCaps w:val="0"/>
          <w:spacing w:val="0"/>
          <w:w w:val="100"/>
          <w:lang w:eastAsia="en-US"/>
        </w:rPr>
        <w:t xml:space="preserve">Mineka S, Zinbarg R. (2006) A contemporary learning theory perspective on the etiology of anxiety disorders: it’s not what you thought it was. </w:t>
      </w:r>
      <w:r w:rsidRPr="00046220">
        <w:rPr>
          <w:rFonts w:ascii="Calibri" w:hAnsi="Calibri"/>
          <w:smallCaps w:val="0"/>
          <w:spacing w:val="0"/>
          <w:w w:val="100"/>
          <w:lang w:val="fr-FR" w:eastAsia="en-US"/>
        </w:rPr>
        <w:t>Am Psychol. 2006; 61:10-26.</w:t>
      </w:r>
    </w:p>
  </w:endnote>
  <w:endnote w:id="13">
    <w:p w14:paraId="040C99FE" w14:textId="77777777" w:rsidR="00CB7B00" w:rsidRPr="00046220" w:rsidRDefault="00CB7B00" w:rsidP="008D4167">
      <w:pPr>
        <w:rPr>
          <w:rFonts w:ascii="Calibri" w:hAnsi="Calibri"/>
          <w:smallCaps w:val="0"/>
          <w:spacing w:val="0"/>
          <w:w w:val="100"/>
          <w:lang w:val="fr-FR" w:eastAsia="en-US"/>
        </w:rPr>
      </w:pPr>
      <w:r w:rsidRPr="00CB7B00">
        <w:rPr>
          <w:rStyle w:val="EndnoteReference"/>
          <w:rFonts w:ascii="Calibri" w:hAnsi="Calibri"/>
        </w:rPr>
        <w:endnoteRef/>
      </w:r>
      <w:r w:rsidRPr="00046220">
        <w:rPr>
          <w:rFonts w:ascii="Calibri" w:hAnsi="Calibri"/>
          <w:lang w:val="fr-FR"/>
        </w:rPr>
        <w:t xml:space="preserve"> </w:t>
      </w:r>
      <w:r w:rsidRPr="00046220">
        <w:rPr>
          <w:rFonts w:ascii="Calibri" w:hAnsi="Calibri"/>
          <w:smallCaps w:val="0"/>
          <w:spacing w:val="0"/>
          <w:w w:val="100"/>
          <w:shd w:val="clear" w:color="auto" w:fill="FFFFFF"/>
          <w:lang w:val="fr-FR" w:eastAsia="en-US"/>
        </w:rPr>
        <w:t xml:space="preserve">P. Perez-Sales, Psychological Torture, p.439, </w:t>
      </w:r>
      <w:hyperlink r:id="rId7" w:history="1">
        <w:r w:rsidRPr="00046220">
          <w:rPr>
            <w:rStyle w:val="Hyperlink"/>
            <w:rFonts w:ascii="Calibri" w:hAnsi="Calibri"/>
            <w:smallCaps w:val="0"/>
            <w:spacing w:val="0"/>
            <w:w w:val="100"/>
            <w:shd w:val="clear" w:color="auto" w:fill="FFFFFF"/>
            <w:lang w:val="fr-FR" w:eastAsia="en-US"/>
          </w:rPr>
          <w:t>https://www.pauperez.cat/wp-content/uploads/2022/11/Perez-Sales-Psychological-Torture-in-Research-Handbook-on-Torture.pdf</w:t>
        </w:r>
      </w:hyperlink>
      <w:r w:rsidRPr="00046220">
        <w:rPr>
          <w:rFonts w:ascii="Calibri" w:hAnsi="Calibri"/>
          <w:smallCaps w:val="0"/>
          <w:spacing w:val="0"/>
          <w:w w:val="100"/>
          <w:shd w:val="clear" w:color="auto" w:fill="FFFFFF"/>
          <w:lang w:val="fr-FR" w:eastAsia="en-US"/>
        </w:rPr>
        <w:t xml:space="preserve">. </w:t>
      </w:r>
    </w:p>
  </w:endnote>
  <w:endnote w:id="14">
    <w:p w14:paraId="560DC687" w14:textId="281303CE" w:rsidR="00CB7B00" w:rsidRPr="00CB7B00" w:rsidRDefault="00CB7B00" w:rsidP="0011619E">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w:t>
      </w:r>
      <w:r w:rsidRPr="00CB7B00">
        <w:rPr>
          <w:rFonts w:ascii="Calibri" w:hAnsi="Calibri"/>
          <w:smallCaps w:val="0"/>
        </w:rPr>
        <w:t>P. Perez-Sales</w:t>
      </w:r>
      <w:r w:rsidRPr="00CB7B00">
        <w:rPr>
          <w:rFonts w:ascii="Calibri" w:hAnsi="Calibri"/>
        </w:rPr>
        <w:t xml:space="preserve">, </w:t>
      </w:r>
      <w:r w:rsidRPr="00CB7B00">
        <w:rPr>
          <w:rFonts w:ascii="Calibri" w:hAnsi="Calibri"/>
          <w:smallCaps w:val="0"/>
          <w:spacing w:val="0"/>
          <w:w w:val="100"/>
          <w:lang w:eastAsia="en-US"/>
        </w:rPr>
        <w:t xml:space="preserve">Drawing the fine line between interrogation and torture: towards a Universal Protocol on Investigative Interviewing, Torture Journal V.27(2) 2017, </w:t>
      </w:r>
      <w:hyperlink r:id="rId8" w:history="1">
        <w:r w:rsidRPr="00CB7B00">
          <w:rPr>
            <w:rStyle w:val="Hyperlink"/>
            <w:rFonts w:ascii="Calibri" w:hAnsi="Calibri"/>
            <w:smallCaps w:val="0"/>
            <w:spacing w:val="0"/>
            <w:w w:val="100"/>
            <w:lang w:eastAsia="en-US"/>
          </w:rPr>
          <w:t>https://tidsskrift.dk/torture-journal/article/download/97234/146033</w:t>
        </w:r>
      </w:hyperlink>
      <w:r w:rsidRPr="00CB7B00">
        <w:rPr>
          <w:rFonts w:ascii="Calibri" w:hAnsi="Calibri"/>
          <w:smallCaps w:val="0"/>
          <w:spacing w:val="0"/>
          <w:w w:val="100"/>
          <w:lang w:eastAsia="en-US"/>
        </w:rPr>
        <w:t xml:space="preserve">. </w:t>
      </w:r>
    </w:p>
  </w:endnote>
  <w:endnote w:id="15">
    <w:p w14:paraId="663D75DA" w14:textId="77777777" w:rsidR="00CB7B00" w:rsidRPr="00CB7B00" w:rsidRDefault="00CB7B00">
      <w:pPr>
        <w:pStyle w:val="EndnoteText"/>
        <w:rPr>
          <w:rFonts w:ascii="Calibri" w:hAnsi="Calibri"/>
          <w:smallCaps w:val="0"/>
          <w:sz w:val="20"/>
          <w:szCs w:val="20"/>
        </w:rPr>
      </w:pPr>
      <w:r w:rsidRPr="00CB7B00">
        <w:rPr>
          <w:rStyle w:val="EndnoteReference"/>
          <w:rFonts w:ascii="Calibri" w:hAnsi="Calibri"/>
          <w:smallCaps w:val="0"/>
          <w:sz w:val="20"/>
          <w:szCs w:val="20"/>
        </w:rPr>
        <w:endnoteRef/>
      </w:r>
      <w:r w:rsidRPr="00CB7B00">
        <w:rPr>
          <w:rFonts w:ascii="Calibri" w:hAnsi="Calibri"/>
          <w:smallCaps w:val="0"/>
          <w:sz w:val="20"/>
          <w:szCs w:val="20"/>
        </w:rPr>
        <w:t xml:space="preserve"> </w:t>
      </w:r>
      <w:r w:rsidRPr="00CB7B00">
        <w:rPr>
          <w:rFonts w:ascii="Calibri" w:hAnsi="Calibri"/>
          <w:i/>
          <w:smallCaps w:val="0"/>
          <w:sz w:val="20"/>
          <w:szCs w:val="20"/>
        </w:rPr>
        <w:t>See</w:t>
      </w:r>
      <w:r w:rsidRPr="00CB7B00">
        <w:rPr>
          <w:rFonts w:ascii="Calibri" w:hAnsi="Calibri"/>
          <w:smallCaps w:val="0"/>
          <w:sz w:val="20"/>
          <w:szCs w:val="20"/>
        </w:rPr>
        <w:t xml:space="preserve"> Lawyers for Justice in Libya, “We Will Not be Silenced”: Online Violence against Women in Libya, 2022, https://uploads-ssl.webflow.com/5a0d8805f2f99e00014b1414/6047a914cc7f78cd72e3c3ea_LFJL%20Online%20Violence%20Against%20Women%20Report_EN.pdf.</w:t>
      </w:r>
    </w:p>
  </w:endnote>
  <w:endnote w:id="16">
    <w:p w14:paraId="2D8152BC" w14:textId="77777777" w:rsidR="00CB7B00" w:rsidRPr="00CB7B00" w:rsidRDefault="00CB7B00" w:rsidP="00A571B9">
      <w:pPr>
        <w:rPr>
          <w:rFonts w:ascii="Calibri" w:hAnsi="Calibri"/>
        </w:rPr>
      </w:pPr>
      <w:r w:rsidRPr="00CB7B00">
        <w:rPr>
          <w:rStyle w:val="EndnoteReference"/>
          <w:rFonts w:ascii="Calibri" w:hAnsi="Calibri"/>
          <w:smallCaps w:val="0"/>
        </w:rPr>
        <w:endnoteRef/>
      </w:r>
      <w:r w:rsidRPr="00CB7B00">
        <w:rPr>
          <w:rFonts w:ascii="Calibri" w:hAnsi="Calibri"/>
          <w:smallCaps w:val="0"/>
        </w:rPr>
        <w:t xml:space="preserve"> </w:t>
      </w:r>
      <w:r w:rsidRPr="00CB7B00">
        <w:rPr>
          <w:rFonts w:ascii="Calibri" w:hAnsi="Calibri" w:cs="Arial"/>
          <w:bCs/>
          <w:smallCaps w:val="0"/>
          <w:color w:val="000000"/>
          <w:spacing w:val="0"/>
          <w:w w:val="100"/>
          <w:shd w:val="clear" w:color="auto" w:fill="FFFFFF"/>
          <w:lang w:eastAsia="en-US"/>
        </w:rPr>
        <w:t xml:space="preserve">See </w:t>
      </w:r>
      <w:r w:rsidRPr="00CB7B00">
        <w:rPr>
          <w:rFonts w:ascii="Calibri" w:hAnsi="Calibri" w:cs="Arial"/>
          <w:smallCaps w:val="0"/>
          <w:color w:val="000000"/>
          <w:spacing w:val="0"/>
          <w:w w:val="100"/>
          <w:shd w:val="clear" w:color="auto" w:fill="FFFFFF"/>
          <w:lang w:eastAsia="en-US"/>
        </w:rPr>
        <w:t>Piechowicz v. Poland</w:t>
      </w:r>
      <w:r w:rsidRPr="00CB7B00">
        <w:rPr>
          <w:rFonts w:ascii="Calibri" w:hAnsi="Calibri"/>
          <w:smallCaps w:val="0"/>
          <w:spacing w:val="0"/>
          <w:w w:val="100"/>
          <w:lang w:eastAsia="en-US"/>
        </w:rPr>
        <w:t xml:space="preserve">, ECtHR, No. 20071/07, Judgment, 17 July 2012, paras. 166-178; </w:t>
      </w:r>
      <w:r w:rsidRPr="00CB7B00">
        <w:rPr>
          <w:rFonts w:ascii="Calibri" w:hAnsi="Calibri" w:cs="Arial"/>
          <w:smallCaps w:val="0"/>
          <w:color w:val="000000"/>
          <w:spacing w:val="0"/>
          <w:w w:val="100"/>
          <w:shd w:val="clear" w:color="auto" w:fill="FFFFFF"/>
          <w:lang w:eastAsia="en-US"/>
        </w:rPr>
        <w:t xml:space="preserve">Horych v. Poland, ECtHR, No. 13621/08, Judgment, 17 July 2012, paras. 93-103; Paluch v. Poland, ECtHR, No. 57292/12, 16 May 2016, paras. 37-48; Karwowski v. Poland, ECtHR, No. 29869/13, Judgment, 21 July 2016, paras. 33-43.; Öcalan v. Turkey (no. 2), ECtHR, Nos. </w:t>
      </w:r>
      <w:r w:rsidRPr="00CB7B00">
        <w:rPr>
          <w:rFonts w:ascii="Calibri" w:hAnsi="Calibri" w:cs="Arial"/>
          <w:iCs/>
          <w:smallCaps w:val="0"/>
          <w:shd w:val="clear" w:color="auto" w:fill="FFFFFF"/>
        </w:rPr>
        <w:t>24069/03</w:t>
      </w:r>
      <w:r w:rsidRPr="00CB7B00">
        <w:rPr>
          <w:rFonts w:ascii="Calibri" w:hAnsi="Calibri" w:cs="Arial"/>
          <w:iCs/>
          <w:smallCaps w:val="0"/>
          <w:color w:val="000000"/>
          <w:shd w:val="clear" w:color="auto" w:fill="FFFFFF"/>
        </w:rPr>
        <w:t>, </w:t>
      </w:r>
      <w:r w:rsidRPr="00CB7B00">
        <w:rPr>
          <w:rFonts w:ascii="Calibri" w:hAnsi="Calibri" w:cs="Arial"/>
          <w:iCs/>
          <w:smallCaps w:val="0"/>
          <w:shd w:val="clear" w:color="auto" w:fill="FFFFFF"/>
        </w:rPr>
        <w:t>197/04</w:t>
      </w:r>
      <w:r w:rsidRPr="00CB7B00">
        <w:rPr>
          <w:rFonts w:ascii="Calibri" w:hAnsi="Calibri" w:cs="Arial"/>
          <w:iCs/>
          <w:smallCaps w:val="0"/>
          <w:color w:val="000000"/>
          <w:shd w:val="clear" w:color="auto" w:fill="FFFFFF"/>
        </w:rPr>
        <w:t>, </w:t>
      </w:r>
      <w:r w:rsidRPr="00CB7B00">
        <w:rPr>
          <w:rFonts w:ascii="Calibri" w:hAnsi="Calibri" w:cs="Arial"/>
          <w:iCs/>
          <w:smallCaps w:val="0"/>
          <w:shd w:val="clear" w:color="auto" w:fill="FFFFFF"/>
        </w:rPr>
        <w:t>6201/06</w:t>
      </w:r>
      <w:r w:rsidRPr="00CB7B00">
        <w:rPr>
          <w:rFonts w:ascii="Calibri" w:hAnsi="Calibri" w:cs="Arial"/>
          <w:iCs/>
          <w:smallCaps w:val="0"/>
          <w:color w:val="000000"/>
          <w:shd w:val="clear" w:color="auto" w:fill="FFFFFF"/>
        </w:rPr>
        <w:t> and </w:t>
      </w:r>
      <w:r w:rsidRPr="00CB7B00">
        <w:rPr>
          <w:rFonts w:ascii="Calibri" w:hAnsi="Calibri" w:cs="Arial"/>
          <w:iCs/>
          <w:smallCaps w:val="0"/>
          <w:shd w:val="clear" w:color="auto" w:fill="FFFFFF"/>
        </w:rPr>
        <w:t>10464/07, Judgment (Excerpts), 18 March 2014, paras. 146-149.</w:t>
      </w:r>
      <w:r w:rsidRPr="00CB7B00">
        <w:rPr>
          <w:rFonts w:ascii="Calibri" w:hAnsi="Calibri"/>
          <w:smallCaps w:val="0"/>
        </w:rPr>
        <w:t xml:space="preserve"> </w:t>
      </w:r>
      <w:r w:rsidRPr="00CB7B00">
        <w:rPr>
          <w:rFonts w:ascii="Calibri" w:hAnsi="Calibri" w:cs="Arial"/>
          <w:smallCaps w:val="0"/>
          <w:color w:val="000000"/>
          <w:spacing w:val="0"/>
          <w:w w:val="100"/>
          <w:shd w:val="clear" w:color="auto" w:fill="FFFFFF"/>
          <w:lang w:eastAsia="en-US"/>
        </w:rPr>
        <w:t xml:space="preserve">See fn 10 </w:t>
      </w:r>
      <w:r w:rsidRPr="00CB7B00">
        <w:rPr>
          <w:rFonts w:ascii="Calibri" w:hAnsi="Calibri" w:cs="Arial"/>
          <w:i/>
          <w:smallCaps w:val="0"/>
          <w:color w:val="000000"/>
          <w:spacing w:val="0"/>
          <w:w w:val="100"/>
          <w:shd w:val="clear" w:color="auto" w:fill="FFFFFF"/>
          <w:lang w:eastAsia="en-US"/>
        </w:rPr>
        <w:t>supra</w:t>
      </w:r>
      <w:r w:rsidRPr="00CB7B00">
        <w:rPr>
          <w:rFonts w:ascii="Calibri" w:hAnsi="Calibri" w:cs="Arial"/>
          <w:smallCaps w:val="0"/>
          <w:color w:val="000000"/>
          <w:spacing w:val="0"/>
          <w:w w:val="100"/>
          <w:shd w:val="clear" w:color="auto" w:fill="FFFFFF"/>
          <w:lang w:eastAsia="en-US"/>
        </w:rPr>
        <w:t xml:space="preserve">.  See also </w:t>
      </w:r>
      <w:r w:rsidRPr="00CB7B00">
        <w:rPr>
          <w:rFonts w:ascii="Calibri" w:hAnsi="Calibri"/>
          <w:smallCaps w:val="0"/>
        </w:rPr>
        <w:t xml:space="preserve">U.N. Docs. A/66/268, para. 21; </w:t>
      </w:r>
      <w:r w:rsidRPr="00CB7B00">
        <w:rPr>
          <w:rFonts w:ascii="Calibri" w:hAnsi="Calibri"/>
          <w:smallCaps w:val="0"/>
          <w:spacing w:val="0"/>
          <w:w w:val="100"/>
          <w:lang w:eastAsia="en-US"/>
        </w:rPr>
        <w:t>E/CN.4/1999/61, para. 394;  E/CN.4/2003/68, para. 26 (m).</w:t>
      </w:r>
    </w:p>
  </w:endnote>
  <w:endnote w:id="17">
    <w:p w14:paraId="5A412E5B" w14:textId="65CC628D" w:rsidR="00CB7B00" w:rsidRPr="00CB7B00" w:rsidRDefault="00CB7B00" w:rsidP="00CB7B00">
      <w:pPr>
        <w:rPr>
          <w:rFonts w:ascii="Calibri" w:hAnsi="Calibri"/>
          <w:smallCaps w:val="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See Report of the UN Special Rapporteur against Torture on Psychological Torture, UN Doc. A/HRC/43/49, 20 March 2020, para. 75, “</w:t>
      </w:r>
      <w:r w:rsidRPr="00CB7B00">
        <w:rPr>
          <w:rFonts w:ascii="Calibri" w:hAnsi="Calibri"/>
          <w:smallCaps w:val="0"/>
          <w:spacing w:val="0"/>
          <w:w w:val="100"/>
          <w:lang w:eastAsia="en-US"/>
        </w:rPr>
        <w:t>Individuals or groups systematically targeted by cybersurveillance and cyberharassment are generally left without any effective means of defence, escape or selfprotection and, at least in this respect, often find themselves in a situation of “powerlessness” comparable to physical custody.”</w:t>
      </w:r>
    </w:p>
  </w:endnote>
  <w:endnote w:id="18">
    <w:p w14:paraId="6A9B5091" w14:textId="24BDA12C" w:rsidR="00CB7B00" w:rsidRPr="00CB7B00" w:rsidRDefault="00CB7B00" w:rsidP="00106951">
      <w:pPr>
        <w:rPr>
          <w:rFonts w:ascii="Calibri" w:hAnsi="Calibri"/>
          <w:smallCaps w:val="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See </w:t>
      </w:r>
      <w:r w:rsidRPr="00CB7B00">
        <w:rPr>
          <w:rFonts w:ascii="Calibri" w:hAnsi="Calibri"/>
          <w:smallCaps w:val="0"/>
          <w:spacing w:val="0"/>
          <w:w w:val="100"/>
          <w:shd w:val="clear" w:color="auto" w:fill="FFFFFF"/>
          <w:lang w:eastAsia="en-US"/>
        </w:rPr>
        <w:t xml:space="preserve">Perception, practice and proximity: Qualifying threats as psychological torture in international law, E. Cakal, Torture Journal V.31(1) 2021, at p. 22-24, </w:t>
      </w:r>
      <w:hyperlink r:id="rId9" w:history="1">
        <w:r w:rsidRPr="00CB7B00">
          <w:rPr>
            <w:rStyle w:val="Hyperlink"/>
            <w:rFonts w:ascii="Calibri" w:hAnsi="Calibri"/>
            <w:smallCaps w:val="0"/>
            <w:spacing w:val="0"/>
            <w:w w:val="100"/>
            <w:shd w:val="clear" w:color="auto" w:fill="FFFFFF"/>
            <w:lang w:eastAsia="en-US"/>
          </w:rPr>
          <w:t>https://tidsskrift.dk/torture-journal/article/view/118633/172523</w:t>
        </w:r>
      </w:hyperlink>
      <w:r w:rsidRPr="00CB7B00">
        <w:rPr>
          <w:rFonts w:ascii="Calibri" w:hAnsi="Calibri"/>
          <w:smallCaps w:val="0"/>
          <w:spacing w:val="0"/>
          <w:w w:val="100"/>
          <w:shd w:val="clear" w:color="auto" w:fill="FFFFFF"/>
          <w:lang w:eastAsia="en-US"/>
        </w:rPr>
        <w:t>.</w:t>
      </w:r>
    </w:p>
  </w:endnote>
  <w:endnote w:id="19">
    <w:p w14:paraId="1462F45D" w14:textId="10AD6247" w:rsidR="00CB7B00" w:rsidRPr="00CB7B00" w:rsidRDefault="00CB7B00" w:rsidP="00106951">
      <w:pPr>
        <w:rPr>
          <w:rFonts w:ascii="Calibri" w:hAnsi="Calibri"/>
          <w:smallCaps w:val="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See </w:t>
      </w:r>
      <w:r w:rsidRPr="00CB7B00">
        <w:rPr>
          <w:rFonts w:ascii="Calibri" w:hAnsi="Calibri"/>
          <w:smallCaps w:val="0"/>
          <w:spacing w:val="0"/>
          <w:w w:val="100"/>
          <w:shd w:val="clear" w:color="auto" w:fill="FFFFFF"/>
          <w:lang w:eastAsia="en-US"/>
        </w:rPr>
        <w:t xml:space="preserve">Perception, practice and proximity: Qualifying threats as psychological torture in international law, E. Cakal, Torture Journal V.31(1) 2021, at p. 24-28, </w:t>
      </w:r>
      <w:hyperlink r:id="rId10" w:history="1">
        <w:r w:rsidRPr="00CB7B00">
          <w:rPr>
            <w:rStyle w:val="Hyperlink"/>
            <w:rFonts w:ascii="Calibri" w:hAnsi="Calibri"/>
            <w:smallCaps w:val="0"/>
            <w:spacing w:val="0"/>
            <w:w w:val="100"/>
            <w:shd w:val="clear" w:color="auto" w:fill="FFFFFF"/>
            <w:lang w:eastAsia="en-US"/>
          </w:rPr>
          <w:t>https://tidsskrift.dk/torture-journal/article/view/118633/172523</w:t>
        </w:r>
      </w:hyperlink>
      <w:r w:rsidRPr="00CB7B00">
        <w:rPr>
          <w:rFonts w:ascii="Calibri" w:hAnsi="Calibri"/>
          <w:smallCaps w:val="0"/>
          <w:spacing w:val="0"/>
          <w:w w:val="100"/>
          <w:shd w:val="clear" w:color="auto" w:fill="FFFFFF"/>
          <w:lang w:eastAsia="en-US"/>
        </w:rPr>
        <w:t>.</w:t>
      </w:r>
    </w:p>
  </w:endnote>
  <w:endnote w:id="20">
    <w:p w14:paraId="6EDADA6E" w14:textId="40BD1654" w:rsidR="00CB7B00" w:rsidRPr="00CB7B00" w:rsidRDefault="00CB7B00" w:rsidP="00CB7B00">
      <w:pPr>
        <w:rPr>
          <w:rFonts w:ascii="Calibri" w:hAnsi="Calibri"/>
          <w:smallCaps w:val="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See Report of the UN Special Rapporteur against Torture on Psychological Torture, UN Doc. A/HRC/43/49, 20 March 2020, para. 74, “The delivery of serious threats through anonymous phone calls has long been a widespread method of remotely inflicting fear. With the advent of the internet, particularly State security services have been reported to use cyber-technology, both in their own territory and abroad, for the systematic surveillance of a wide range of individuals and/or for the direct interference with their unhindered access to cyber technology (A/HRC/32/L.20; A/HRC/38/L.10/Rev.1). Moreover, electronic communication services, social media platforms and search engines provide an ideal environment both for the anonymous delivery of targeted threats, sexual harassment and extortion, but also for the mass-dissemination of intimidating, defamatory, degrading, deceptive or discriminatory narratives.</w:t>
      </w:r>
      <w:r w:rsidRPr="00CB7B00">
        <w:rPr>
          <w:rFonts w:ascii="Calibri" w:hAnsi="Calibri"/>
          <w:smallCaps w:val="0"/>
          <w:spacing w:val="0"/>
          <w:w w:val="100"/>
          <w:lang w:eastAsia="en-US"/>
        </w:rPr>
        <w:t>”</w:t>
      </w:r>
    </w:p>
  </w:endnote>
  <w:endnote w:id="21">
    <w:p w14:paraId="24F0EA97" w14:textId="2BC8385B" w:rsidR="00CB7B00" w:rsidRPr="00CB7B00" w:rsidRDefault="00CB7B00" w:rsidP="00A82A1C">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w:t>
      </w:r>
      <w:r w:rsidRPr="00CB7B00">
        <w:rPr>
          <w:rFonts w:ascii="Calibri" w:hAnsi="Calibri"/>
          <w:smallCaps w:val="0"/>
          <w:spacing w:val="0"/>
          <w:w w:val="100"/>
          <w:shd w:val="clear" w:color="auto" w:fill="FFFFFF"/>
          <w:lang w:eastAsia="en-US"/>
        </w:rPr>
        <w:t>Bouyid v. Belgium, ECHR, No 23380/09, Judgment [GC], para. 107; Magee v. the UK, ECtHR, No. 28135/95, Judgment, 2000, para. 43; Dickerson v. United States, United States Supreme Court, 530 US 428 (2000); Oregon v. Mathiason, Supreme Court of Oregon, 424 US 492 (1977).</w:t>
      </w:r>
    </w:p>
  </w:endnote>
  <w:endnote w:id="22">
    <w:p w14:paraId="5C55FDEE" w14:textId="1C3A58BB" w:rsidR="00CB7B00" w:rsidRPr="00CB7B00" w:rsidRDefault="00CB7B00" w:rsidP="00A82A1C">
      <w:pPr>
        <w:widowControl w:val="0"/>
        <w:autoSpaceDE w:val="0"/>
        <w:autoSpaceDN w:val="0"/>
        <w:adjustRightInd w:val="0"/>
        <w:rPr>
          <w:rFonts w:ascii="Calibri" w:eastAsiaTheme="minorEastAsia" w:hAnsi="Calibri" w:cs="Times"/>
          <w:smallCaps w:val="0"/>
          <w:color w:val="000000"/>
          <w:spacing w:val="0"/>
        </w:rPr>
      </w:pPr>
      <w:r w:rsidRPr="00CB7B00">
        <w:rPr>
          <w:rStyle w:val="EndnoteReference"/>
          <w:rFonts w:ascii="Calibri" w:hAnsi="Calibri"/>
          <w:smallCaps w:val="0"/>
        </w:rPr>
        <w:endnoteRef/>
      </w:r>
      <w:r w:rsidRPr="00CB7B00">
        <w:rPr>
          <w:rFonts w:ascii="Calibri" w:hAnsi="Calibri"/>
          <w:smallCaps w:val="0"/>
        </w:rPr>
        <w:t xml:space="preserve"> </w:t>
      </w:r>
      <w:r w:rsidRPr="00CB7B00">
        <w:rPr>
          <w:rFonts w:ascii="Calibri" w:eastAsiaTheme="minorEastAsia" w:hAnsi="Calibri" w:cs="Arial"/>
          <w:bCs/>
          <w:smallCaps w:val="0"/>
          <w:color w:val="000000"/>
          <w:spacing w:val="0"/>
        </w:rPr>
        <w:t>Case of Maritza Urrutia v. Guatemala, IACtHR, Merits, Reparations and Costs, Judgment, 27 November 2003, Series C No. 103, para. 85.</w:t>
      </w:r>
    </w:p>
  </w:endnote>
  <w:endnote w:id="23">
    <w:p w14:paraId="7B251AF6" w14:textId="5E921D4B" w:rsidR="00CB7B00" w:rsidRPr="00CB7B00" w:rsidRDefault="00CB7B00" w:rsidP="00A82A1C">
      <w:pPr>
        <w:rPr>
          <w:rFonts w:ascii="Calibri" w:hAnsi="Calibri"/>
          <w:smallCaps w:val="0"/>
          <w:spacing w:val="0"/>
          <w:w w:val="100"/>
          <w:lang w:eastAsia="en-US"/>
        </w:rPr>
      </w:pPr>
      <w:r w:rsidRPr="00CB7B00">
        <w:rPr>
          <w:rStyle w:val="EndnoteReference"/>
          <w:rFonts w:ascii="Calibri" w:hAnsi="Calibri"/>
          <w:smallCaps w:val="0"/>
        </w:rPr>
        <w:endnoteRef/>
      </w:r>
      <w:r w:rsidRPr="00CB7B00">
        <w:rPr>
          <w:rFonts w:ascii="Calibri" w:hAnsi="Calibri"/>
          <w:smallCaps w:val="0"/>
        </w:rPr>
        <w:t xml:space="preserve"> See generally report of the UN Special Rapporteur against Torture, Report on </w:t>
      </w:r>
      <w:r w:rsidRPr="00CB7B00">
        <w:rPr>
          <w:rFonts w:ascii="Calibri" w:hAnsi="Calibri"/>
          <w:smallCaps w:val="0"/>
          <w:spacing w:val="0"/>
          <w:w w:val="100"/>
          <w:lang w:eastAsia="en-US"/>
        </w:rPr>
        <w:t xml:space="preserve">Extra-custodial use of force and the prohibition of torture and other cruel, inhuman or degrading treatment or punishment, U.N. Doc. A/72/178, 20 July 2017, </w:t>
      </w:r>
      <w:hyperlink r:id="rId11" w:history="1">
        <w:r w:rsidRPr="00CB7B00">
          <w:rPr>
            <w:rStyle w:val="Hyperlink"/>
            <w:rFonts w:ascii="Calibri" w:hAnsi="Calibri"/>
            <w:smallCaps w:val="0"/>
            <w:spacing w:val="0"/>
            <w:w w:val="100"/>
            <w:lang w:eastAsia="en-US"/>
          </w:rPr>
          <w:t>https://docs.un.org/A/72/178</w:t>
        </w:r>
      </w:hyperlink>
      <w:r w:rsidRPr="00CB7B00">
        <w:rPr>
          <w:rFonts w:ascii="Calibri" w:hAnsi="Calibri"/>
          <w:smallCaps w:val="0"/>
          <w:spacing w:val="0"/>
          <w:w w:val="100"/>
          <w:lang w:eastAsia="en-US"/>
        </w:rPr>
        <w:t xml:space="preserve">. </w:t>
      </w:r>
    </w:p>
  </w:endnote>
  <w:endnote w:id="24">
    <w:p w14:paraId="2C04BE92" w14:textId="390CBA84" w:rsidR="004220C5" w:rsidRPr="004220C5" w:rsidRDefault="004220C5" w:rsidP="004220C5">
      <w:pPr>
        <w:rPr>
          <w:rFonts w:ascii="Calibri" w:hAnsi="Calibri"/>
          <w:smallCaps w:val="0"/>
          <w:spacing w:val="0"/>
          <w:w w:val="100"/>
          <w:lang w:eastAsia="en-US"/>
        </w:rPr>
      </w:pPr>
      <w:r w:rsidRPr="004220C5">
        <w:rPr>
          <w:rStyle w:val="EndnoteReference"/>
          <w:rFonts w:ascii="Calibri" w:hAnsi="Calibri"/>
        </w:rPr>
        <w:endnoteRef/>
      </w:r>
      <w:r w:rsidRPr="004220C5">
        <w:rPr>
          <w:rFonts w:ascii="Calibri" w:hAnsi="Calibri"/>
        </w:rPr>
        <w:t xml:space="preserve"> </w:t>
      </w:r>
      <w:r w:rsidRPr="004220C5">
        <w:rPr>
          <w:rFonts w:ascii="Calibri" w:hAnsi="Calibri"/>
          <w:smallCaps w:val="0"/>
          <w:spacing w:val="0"/>
          <w:w w:val="100"/>
          <w:lang w:eastAsia="en-US"/>
        </w:rPr>
        <w:t xml:space="preserve">Nowak, M. &amp; McArthur, E.,The Distinction between Torture and Cruel, Inhuman or Degrading Treatment, Torture Journal, Vol. 16(3) 2006, p. 150; Nowak, M. &amp; McArthur E., United Nations Convention Against Torture: A Commentary., New York: Oxford University Press, 2006, p. 76; </w:t>
      </w:r>
      <w:r w:rsidRPr="004220C5">
        <w:rPr>
          <w:rFonts w:ascii="Calibri" w:hAnsi="Calibri"/>
          <w:smallCaps w:val="0"/>
        </w:rPr>
        <w:t xml:space="preserve">See Report of the UN Special Rapporteur against Torture on Psychological Torture, UN Doc. A/HRC/43/49, 20 March 2020, para. 41. </w:t>
      </w:r>
    </w:p>
  </w:endnote>
  <w:endnote w:id="25">
    <w:p w14:paraId="6CC88059" w14:textId="5702A9EC" w:rsidR="00CB7B00" w:rsidRPr="00CB7B00" w:rsidRDefault="00CB7B00" w:rsidP="00573126">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A. </w:t>
      </w:r>
      <w:r w:rsidRPr="00CB7B00">
        <w:rPr>
          <w:rFonts w:ascii="Calibri" w:hAnsi="Calibri"/>
          <w:smallCaps w:val="0"/>
          <w:spacing w:val="0"/>
          <w:w w:val="100"/>
          <w:lang w:eastAsia="en-US"/>
        </w:rPr>
        <w:t xml:space="preserve">Jefferson, Deciphering and Detoxifying Torturing Societies and Torturable Populations, Transcience Vol. 15(1) 2024, </w:t>
      </w:r>
      <w:hyperlink r:id="rId12" w:history="1">
        <w:r w:rsidRPr="00CB7B00">
          <w:rPr>
            <w:rStyle w:val="Hyperlink"/>
            <w:rFonts w:ascii="Calibri" w:hAnsi="Calibri"/>
            <w:smallCaps w:val="0"/>
            <w:spacing w:val="0"/>
            <w:w w:val="100"/>
            <w:lang w:eastAsia="en-US"/>
          </w:rPr>
          <w:t>https://www2.hu-berlin.de/transcience/Vol15_No1_S4_S21.pdf</w:t>
        </w:r>
      </w:hyperlink>
      <w:r w:rsidRPr="00CB7B00">
        <w:rPr>
          <w:rFonts w:ascii="Calibri" w:hAnsi="Calibri"/>
          <w:smallCaps w:val="0"/>
          <w:spacing w:val="0"/>
          <w:w w:val="100"/>
          <w:lang w:eastAsia="en-US"/>
        </w:rPr>
        <w:t xml:space="preserve">. </w:t>
      </w:r>
    </w:p>
  </w:endnote>
  <w:endnote w:id="26">
    <w:p w14:paraId="5DD93634" w14:textId="1C3DAD6F" w:rsidR="00CB7B00" w:rsidRPr="00CB7B00" w:rsidRDefault="00CB7B00" w:rsidP="00573126">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A. </w:t>
      </w:r>
      <w:r w:rsidRPr="00CB7B00">
        <w:rPr>
          <w:rFonts w:ascii="Calibri" w:hAnsi="Calibri"/>
          <w:smallCaps w:val="0"/>
          <w:spacing w:val="0"/>
          <w:w w:val="100"/>
          <w:lang w:eastAsia="en-US"/>
        </w:rPr>
        <w:t xml:space="preserve">Jefferson, Deciphering and Detoxifying Torturing Societies and Torturable Populations, Transcience Vol. 15(1) 2024, </w:t>
      </w:r>
      <w:hyperlink r:id="rId13" w:history="1">
        <w:r w:rsidRPr="00CB7B00">
          <w:rPr>
            <w:rStyle w:val="Hyperlink"/>
            <w:rFonts w:ascii="Calibri" w:hAnsi="Calibri"/>
            <w:smallCaps w:val="0"/>
            <w:spacing w:val="0"/>
            <w:w w:val="100"/>
            <w:lang w:eastAsia="en-US"/>
          </w:rPr>
          <w:t>https://www2.hu-berlin.de/transcience/Vol15_No1_S4_S21.pdf</w:t>
        </w:r>
      </w:hyperlink>
      <w:r w:rsidRPr="00CB7B00">
        <w:rPr>
          <w:rFonts w:ascii="Calibri" w:hAnsi="Calibri"/>
          <w:smallCaps w:val="0"/>
          <w:spacing w:val="0"/>
          <w:w w:val="100"/>
          <w:lang w:eastAsia="en-US"/>
        </w:rPr>
        <w:t xml:space="preserve">. </w:t>
      </w:r>
    </w:p>
  </w:endnote>
  <w:endnote w:id="27">
    <w:p w14:paraId="594CBAB0" w14:textId="77777777" w:rsidR="00CB7B00" w:rsidRPr="00CB7B00" w:rsidRDefault="00CB7B00" w:rsidP="00A82A1C">
      <w:pPr>
        <w:rPr>
          <w:rFonts w:ascii="Calibri" w:hAnsi="Calibri"/>
          <w:smallCaps w:val="0"/>
          <w:spacing w:val="0"/>
          <w:w w:val="100"/>
          <w:lang w:eastAsia="en-US"/>
        </w:rPr>
      </w:pPr>
      <w:r w:rsidRPr="00CB7B00">
        <w:rPr>
          <w:rStyle w:val="EndnoteReference"/>
          <w:rFonts w:ascii="Calibri" w:hAnsi="Calibri"/>
        </w:rPr>
        <w:endnoteRef/>
      </w:r>
      <w:r w:rsidRPr="00CB7B00">
        <w:rPr>
          <w:rFonts w:ascii="Calibri" w:hAnsi="Calibri"/>
        </w:rPr>
        <w:t xml:space="preserve"> A. </w:t>
      </w:r>
      <w:r w:rsidRPr="00CB7B00">
        <w:rPr>
          <w:rFonts w:ascii="Calibri" w:hAnsi="Calibri"/>
          <w:smallCaps w:val="0"/>
          <w:spacing w:val="0"/>
          <w:w w:val="100"/>
          <w:lang w:eastAsia="en-US"/>
        </w:rPr>
        <w:t xml:space="preserve">Jefferson, Deciphering and Detoxifying Torturing Societies and Torturable Populations, Transcience Vol. 15(1) 2024, </w:t>
      </w:r>
      <w:hyperlink r:id="rId14" w:history="1">
        <w:r w:rsidRPr="00CB7B00">
          <w:rPr>
            <w:rStyle w:val="Hyperlink"/>
            <w:rFonts w:ascii="Calibri" w:hAnsi="Calibri"/>
            <w:smallCaps w:val="0"/>
            <w:spacing w:val="0"/>
            <w:w w:val="100"/>
            <w:lang w:eastAsia="en-US"/>
          </w:rPr>
          <w:t>https://www2.hu-berlin.de/transcience/Vol15_No1_S4_S21.pdf</w:t>
        </w:r>
      </w:hyperlink>
      <w:r w:rsidRPr="00CB7B00">
        <w:rPr>
          <w:rFonts w:ascii="Calibri" w:hAnsi="Calibri"/>
          <w:smallCaps w:val="0"/>
          <w:spacing w:val="0"/>
          <w:w w:val="100"/>
          <w:lang w:eastAsia="en-US"/>
        </w:rPr>
        <w:t xml:space="preserve">. </w:t>
      </w:r>
    </w:p>
    <w:p w14:paraId="6FA2DB5C" w14:textId="77777777" w:rsidR="00CB7B00" w:rsidRDefault="00CB7B00" w:rsidP="00A82A1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532369"/>
      <w:docPartObj>
        <w:docPartGallery w:val="Page Numbers (Bottom of Page)"/>
        <w:docPartUnique/>
      </w:docPartObj>
    </w:sdtPr>
    <w:sdtEndPr>
      <w:rPr>
        <w:noProof/>
      </w:rPr>
    </w:sdtEndPr>
    <w:sdtContent>
      <w:p w14:paraId="3E784D7A" w14:textId="13518D02" w:rsidR="00CB7B00" w:rsidRDefault="00CB7B00">
        <w:pPr>
          <w:pStyle w:val="Footer"/>
          <w:jc w:val="center"/>
        </w:pPr>
        <w:r>
          <w:fldChar w:fldCharType="begin"/>
        </w:r>
        <w:r>
          <w:instrText xml:space="preserve"> PAGE   \* MERGEFORMAT </w:instrText>
        </w:r>
        <w:r>
          <w:fldChar w:fldCharType="separate"/>
        </w:r>
        <w:r w:rsidR="00027790">
          <w:rPr>
            <w:noProof/>
          </w:rPr>
          <w:t>1</w:t>
        </w:r>
        <w:r>
          <w:rPr>
            <w:noProof/>
          </w:rPr>
          <w:fldChar w:fldCharType="end"/>
        </w:r>
      </w:p>
    </w:sdtContent>
  </w:sdt>
  <w:p w14:paraId="25AF61F1" w14:textId="77777777" w:rsidR="00CB7B00" w:rsidRDefault="00CB7B0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220ACB" w14:textId="77777777" w:rsidR="00CB7B00" w:rsidRDefault="00CB7B00" w:rsidP="00537F61">
      <w:r>
        <w:separator/>
      </w:r>
    </w:p>
  </w:footnote>
  <w:footnote w:type="continuationSeparator" w:id="0">
    <w:p w14:paraId="689749C9" w14:textId="77777777" w:rsidR="00CB7B00" w:rsidRDefault="00CB7B00" w:rsidP="00537F6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F0E71"/>
    <w:multiLevelType w:val="hybridMultilevel"/>
    <w:tmpl w:val="8D1E2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A30CC2"/>
    <w:multiLevelType w:val="hybridMultilevel"/>
    <w:tmpl w:val="D40443C2"/>
    <w:lvl w:ilvl="0" w:tplc="ED52284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B33FBD"/>
    <w:multiLevelType w:val="hybridMultilevel"/>
    <w:tmpl w:val="CBEEF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964865"/>
    <w:multiLevelType w:val="hybridMultilevel"/>
    <w:tmpl w:val="DC241548"/>
    <w:lvl w:ilvl="0" w:tplc="7CE4DDC8">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68786B"/>
    <w:multiLevelType w:val="hybridMultilevel"/>
    <w:tmpl w:val="D40443C2"/>
    <w:lvl w:ilvl="0" w:tplc="ED52284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F1F"/>
    <w:rsid w:val="00027790"/>
    <w:rsid w:val="00046220"/>
    <w:rsid w:val="00106951"/>
    <w:rsid w:val="0011619E"/>
    <w:rsid w:val="001A0A66"/>
    <w:rsid w:val="0021363F"/>
    <w:rsid w:val="00236FE1"/>
    <w:rsid w:val="00260F1F"/>
    <w:rsid w:val="00272D77"/>
    <w:rsid w:val="002C540B"/>
    <w:rsid w:val="003A26D2"/>
    <w:rsid w:val="003D34A0"/>
    <w:rsid w:val="00413981"/>
    <w:rsid w:val="004220C5"/>
    <w:rsid w:val="00460DBF"/>
    <w:rsid w:val="004806D8"/>
    <w:rsid w:val="004E41EA"/>
    <w:rsid w:val="00537F61"/>
    <w:rsid w:val="00573126"/>
    <w:rsid w:val="00583509"/>
    <w:rsid w:val="006674D6"/>
    <w:rsid w:val="00671D30"/>
    <w:rsid w:val="006C4E53"/>
    <w:rsid w:val="006E0529"/>
    <w:rsid w:val="007C2127"/>
    <w:rsid w:val="008D4167"/>
    <w:rsid w:val="008E647D"/>
    <w:rsid w:val="00996142"/>
    <w:rsid w:val="00A571B9"/>
    <w:rsid w:val="00A82A1C"/>
    <w:rsid w:val="00A93D53"/>
    <w:rsid w:val="00AC6B0C"/>
    <w:rsid w:val="00B51331"/>
    <w:rsid w:val="00BA4421"/>
    <w:rsid w:val="00C1254B"/>
    <w:rsid w:val="00C87016"/>
    <w:rsid w:val="00C91DCF"/>
    <w:rsid w:val="00CB7B00"/>
    <w:rsid w:val="00CD579F"/>
    <w:rsid w:val="00D46978"/>
    <w:rsid w:val="00D609F3"/>
    <w:rsid w:val="00DB0537"/>
    <w:rsid w:val="00E2125D"/>
    <w:rsid w:val="00EC5722"/>
    <w:rsid w:val="00F24F2E"/>
    <w:rsid w:val="00F91A7C"/>
    <w:rsid w:val="00FD19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CF49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imes New Roman"/>
        <w:smallCaps/>
        <w:spacing w:val="3"/>
        <w:w w:val="102"/>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0F1F"/>
    <w:pPr>
      <w:spacing w:before="100" w:beforeAutospacing="1" w:after="100" w:afterAutospacing="1"/>
    </w:pPr>
    <w:rPr>
      <w:rFonts w:ascii="Times" w:eastAsiaTheme="minorEastAsia" w:hAnsi="Times"/>
      <w:smallCaps w:val="0"/>
      <w:spacing w:val="0"/>
      <w:w w:val="100"/>
      <w:lang w:eastAsia="en-US"/>
    </w:rPr>
  </w:style>
  <w:style w:type="paragraph" w:styleId="BalloonText">
    <w:name w:val="Balloon Text"/>
    <w:basedOn w:val="Normal"/>
    <w:link w:val="BalloonTextChar"/>
    <w:uiPriority w:val="99"/>
    <w:semiHidden/>
    <w:unhideWhenUsed/>
    <w:rsid w:val="00236F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6FE1"/>
    <w:rPr>
      <w:rFonts w:ascii="Lucida Grande" w:eastAsia="Times New Roman" w:hAnsi="Lucida Grande" w:cs="Lucida Grande"/>
      <w:sz w:val="18"/>
      <w:szCs w:val="18"/>
    </w:rPr>
  </w:style>
  <w:style w:type="paragraph" w:styleId="EndnoteText">
    <w:name w:val="endnote text"/>
    <w:basedOn w:val="Normal"/>
    <w:link w:val="EndnoteTextChar"/>
    <w:uiPriority w:val="99"/>
    <w:unhideWhenUsed/>
    <w:rsid w:val="00537F61"/>
    <w:rPr>
      <w:sz w:val="24"/>
      <w:szCs w:val="24"/>
    </w:rPr>
  </w:style>
  <w:style w:type="character" w:customStyle="1" w:styleId="EndnoteTextChar">
    <w:name w:val="Endnote Text Char"/>
    <w:basedOn w:val="DefaultParagraphFont"/>
    <w:link w:val="EndnoteText"/>
    <w:uiPriority w:val="99"/>
    <w:rsid w:val="00537F61"/>
    <w:rPr>
      <w:rFonts w:ascii="Times New Roman" w:eastAsia="Times New Roman" w:hAnsi="Times New Roman"/>
      <w:sz w:val="24"/>
      <w:szCs w:val="24"/>
    </w:rPr>
  </w:style>
  <w:style w:type="character" w:styleId="EndnoteReference">
    <w:name w:val="endnote reference"/>
    <w:basedOn w:val="DefaultParagraphFont"/>
    <w:uiPriority w:val="99"/>
    <w:unhideWhenUsed/>
    <w:rsid w:val="00537F61"/>
    <w:rPr>
      <w:vertAlign w:val="superscript"/>
    </w:rPr>
  </w:style>
  <w:style w:type="character" w:styleId="Hyperlink">
    <w:name w:val="Hyperlink"/>
    <w:basedOn w:val="DefaultParagraphFont"/>
    <w:uiPriority w:val="99"/>
    <w:unhideWhenUsed/>
    <w:rsid w:val="00537F61"/>
    <w:rPr>
      <w:color w:val="0000FF" w:themeColor="hyperlink"/>
      <w:u w:val="single"/>
    </w:rPr>
  </w:style>
  <w:style w:type="character" w:styleId="FollowedHyperlink">
    <w:name w:val="FollowedHyperlink"/>
    <w:basedOn w:val="DefaultParagraphFont"/>
    <w:uiPriority w:val="99"/>
    <w:semiHidden/>
    <w:unhideWhenUsed/>
    <w:rsid w:val="002C540B"/>
    <w:rPr>
      <w:color w:val="800080" w:themeColor="followedHyperlink"/>
      <w:u w:val="single"/>
    </w:rPr>
  </w:style>
  <w:style w:type="paragraph" w:styleId="Header">
    <w:name w:val="header"/>
    <w:basedOn w:val="Normal"/>
    <w:link w:val="HeaderChar"/>
    <w:uiPriority w:val="99"/>
    <w:unhideWhenUsed/>
    <w:rsid w:val="00D609F3"/>
    <w:pPr>
      <w:tabs>
        <w:tab w:val="center" w:pos="4513"/>
        <w:tab w:val="right" w:pos="9026"/>
      </w:tabs>
    </w:pPr>
  </w:style>
  <w:style w:type="character" w:customStyle="1" w:styleId="HeaderChar">
    <w:name w:val="Header Char"/>
    <w:basedOn w:val="DefaultParagraphFont"/>
    <w:link w:val="Header"/>
    <w:uiPriority w:val="99"/>
    <w:rsid w:val="00D609F3"/>
    <w:rPr>
      <w:rFonts w:ascii="Times New Roman" w:eastAsia="Times New Roman" w:hAnsi="Times New Roman"/>
      <w:sz w:val="20"/>
      <w:szCs w:val="20"/>
    </w:rPr>
  </w:style>
  <w:style w:type="paragraph" w:styleId="Footer">
    <w:name w:val="footer"/>
    <w:basedOn w:val="Normal"/>
    <w:link w:val="FooterChar"/>
    <w:uiPriority w:val="99"/>
    <w:unhideWhenUsed/>
    <w:rsid w:val="00D609F3"/>
    <w:pPr>
      <w:tabs>
        <w:tab w:val="center" w:pos="4513"/>
        <w:tab w:val="right" w:pos="9026"/>
      </w:tabs>
    </w:pPr>
  </w:style>
  <w:style w:type="character" w:customStyle="1" w:styleId="FooterChar">
    <w:name w:val="Footer Char"/>
    <w:basedOn w:val="DefaultParagraphFont"/>
    <w:link w:val="Footer"/>
    <w:uiPriority w:val="99"/>
    <w:rsid w:val="00D609F3"/>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sid w:val="00D609F3"/>
    <w:rPr>
      <w:sz w:val="16"/>
      <w:szCs w:val="16"/>
    </w:rPr>
  </w:style>
  <w:style w:type="paragraph" w:styleId="CommentText">
    <w:name w:val="annotation text"/>
    <w:basedOn w:val="Normal"/>
    <w:link w:val="CommentTextChar"/>
    <w:uiPriority w:val="99"/>
    <w:unhideWhenUsed/>
    <w:rsid w:val="00D609F3"/>
  </w:style>
  <w:style w:type="character" w:customStyle="1" w:styleId="CommentTextChar">
    <w:name w:val="Comment Text Char"/>
    <w:basedOn w:val="DefaultParagraphFont"/>
    <w:link w:val="CommentText"/>
    <w:uiPriority w:val="99"/>
    <w:rsid w:val="00D609F3"/>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609F3"/>
    <w:rPr>
      <w:b/>
      <w:bCs/>
    </w:rPr>
  </w:style>
  <w:style w:type="character" w:customStyle="1" w:styleId="CommentSubjectChar">
    <w:name w:val="Comment Subject Char"/>
    <w:basedOn w:val="CommentTextChar"/>
    <w:link w:val="CommentSubject"/>
    <w:uiPriority w:val="99"/>
    <w:semiHidden/>
    <w:rsid w:val="00D609F3"/>
    <w:rPr>
      <w:rFonts w:ascii="Times New Roman" w:eastAsia="Times New Roman" w:hAnsi="Times New Roman"/>
      <w:b/>
      <w:bCs/>
      <w:sz w:val="20"/>
      <w:szCs w:val="20"/>
    </w:rPr>
  </w:style>
  <w:style w:type="paragraph" w:styleId="Revision">
    <w:name w:val="Revision"/>
    <w:hidden/>
    <w:uiPriority w:val="99"/>
    <w:semiHidden/>
    <w:rsid w:val="00D609F3"/>
    <w:rPr>
      <w:rFonts w:ascii="Times New Roman" w:eastAsia="Times New Roman" w:hAnsi="Times New Roman"/>
      <w:sz w:val="20"/>
      <w:szCs w:val="20"/>
    </w:rPr>
  </w:style>
  <w:style w:type="character" w:customStyle="1" w:styleId="UnresolvedMention1">
    <w:name w:val="Unresolved Mention1"/>
    <w:basedOn w:val="DefaultParagraphFont"/>
    <w:uiPriority w:val="99"/>
    <w:semiHidden/>
    <w:unhideWhenUsed/>
    <w:rsid w:val="00F91A7C"/>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imes New Roman"/>
        <w:smallCaps/>
        <w:spacing w:val="3"/>
        <w:w w:val="102"/>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0F1F"/>
    <w:pPr>
      <w:spacing w:before="100" w:beforeAutospacing="1" w:after="100" w:afterAutospacing="1"/>
    </w:pPr>
    <w:rPr>
      <w:rFonts w:ascii="Times" w:eastAsiaTheme="minorEastAsia" w:hAnsi="Times"/>
      <w:smallCaps w:val="0"/>
      <w:spacing w:val="0"/>
      <w:w w:val="100"/>
      <w:lang w:eastAsia="en-US"/>
    </w:rPr>
  </w:style>
  <w:style w:type="paragraph" w:styleId="BalloonText">
    <w:name w:val="Balloon Text"/>
    <w:basedOn w:val="Normal"/>
    <w:link w:val="BalloonTextChar"/>
    <w:uiPriority w:val="99"/>
    <w:semiHidden/>
    <w:unhideWhenUsed/>
    <w:rsid w:val="00236F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6FE1"/>
    <w:rPr>
      <w:rFonts w:ascii="Lucida Grande" w:eastAsia="Times New Roman" w:hAnsi="Lucida Grande" w:cs="Lucida Grande"/>
      <w:sz w:val="18"/>
      <w:szCs w:val="18"/>
    </w:rPr>
  </w:style>
  <w:style w:type="paragraph" w:styleId="EndnoteText">
    <w:name w:val="endnote text"/>
    <w:basedOn w:val="Normal"/>
    <w:link w:val="EndnoteTextChar"/>
    <w:uiPriority w:val="99"/>
    <w:unhideWhenUsed/>
    <w:rsid w:val="00537F61"/>
    <w:rPr>
      <w:sz w:val="24"/>
      <w:szCs w:val="24"/>
    </w:rPr>
  </w:style>
  <w:style w:type="character" w:customStyle="1" w:styleId="EndnoteTextChar">
    <w:name w:val="Endnote Text Char"/>
    <w:basedOn w:val="DefaultParagraphFont"/>
    <w:link w:val="EndnoteText"/>
    <w:uiPriority w:val="99"/>
    <w:rsid w:val="00537F61"/>
    <w:rPr>
      <w:rFonts w:ascii="Times New Roman" w:eastAsia="Times New Roman" w:hAnsi="Times New Roman"/>
      <w:sz w:val="24"/>
      <w:szCs w:val="24"/>
    </w:rPr>
  </w:style>
  <w:style w:type="character" w:styleId="EndnoteReference">
    <w:name w:val="endnote reference"/>
    <w:basedOn w:val="DefaultParagraphFont"/>
    <w:uiPriority w:val="99"/>
    <w:unhideWhenUsed/>
    <w:rsid w:val="00537F61"/>
    <w:rPr>
      <w:vertAlign w:val="superscript"/>
    </w:rPr>
  </w:style>
  <w:style w:type="character" w:styleId="Hyperlink">
    <w:name w:val="Hyperlink"/>
    <w:basedOn w:val="DefaultParagraphFont"/>
    <w:uiPriority w:val="99"/>
    <w:unhideWhenUsed/>
    <w:rsid w:val="00537F61"/>
    <w:rPr>
      <w:color w:val="0000FF" w:themeColor="hyperlink"/>
      <w:u w:val="single"/>
    </w:rPr>
  </w:style>
  <w:style w:type="character" w:styleId="FollowedHyperlink">
    <w:name w:val="FollowedHyperlink"/>
    <w:basedOn w:val="DefaultParagraphFont"/>
    <w:uiPriority w:val="99"/>
    <w:semiHidden/>
    <w:unhideWhenUsed/>
    <w:rsid w:val="002C540B"/>
    <w:rPr>
      <w:color w:val="800080" w:themeColor="followedHyperlink"/>
      <w:u w:val="single"/>
    </w:rPr>
  </w:style>
  <w:style w:type="paragraph" w:styleId="Header">
    <w:name w:val="header"/>
    <w:basedOn w:val="Normal"/>
    <w:link w:val="HeaderChar"/>
    <w:uiPriority w:val="99"/>
    <w:unhideWhenUsed/>
    <w:rsid w:val="00D609F3"/>
    <w:pPr>
      <w:tabs>
        <w:tab w:val="center" w:pos="4513"/>
        <w:tab w:val="right" w:pos="9026"/>
      </w:tabs>
    </w:pPr>
  </w:style>
  <w:style w:type="character" w:customStyle="1" w:styleId="HeaderChar">
    <w:name w:val="Header Char"/>
    <w:basedOn w:val="DefaultParagraphFont"/>
    <w:link w:val="Header"/>
    <w:uiPriority w:val="99"/>
    <w:rsid w:val="00D609F3"/>
    <w:rPr>
      <w:rFonts w:ascii="Times New Roman" w:eastAsia="Times New Roman" w:hAnsi="Times New Roman"/>
      <w:sz w:val="20"/>
      <w:szCs w:val="20"/>
    </w:rPr>
  </w:style>
  <w:style w:type="paragraph" w:styleId="Footer">
    <w:name w:val="footer"/>
    <w:basedOn w:val="Normal"/>
    <w:link w:val="FooterChar"/>
    <w:uiPriority w:val="99"/>
    <w:unhideWhenUsed/>
    <w:rsid w:val="00D609F3"/>
    <w:pPr>
      <w:tabs>
        <w:tab w:val="center" w:pos="4513"/>
        <w:tab w:val="right" w:pos="9026"/>
      </w:tabs>
    </w:pPr>
  </w:style>
  <w:style w:type="character" w:customStyle="1" w:styleId="FooterChar">
    <w:name w:val="Footer Char"/>
    <w:basedOn w:val="DefaultParagraphFont"/>
    <w:link w:val="Footer"/>
    <w:uiPriority w:val="99"/>
    <w:rsid w:val="00D609F3"/>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sid w:val="00D609F3"/>
    <w:rPr>
      <w:sz w:val="16"/>
      <w:szCs w:val="16"/>
    </w:rPr>
  </w:style>
  <w:style w:type="paragraph" w:styleId="CommentText">
    <w:name w:val="annotation text"/>
    <w:basedOn w:val="Normal"/>
    <w:link w:val="CommentTextChar"/>
    <w:uiPriority w:val="99"/>
    <w:unhideWhenUsed/>
    <w:rsid w:val="00D609F3"/>
  </w:style>
  <w:style w:type="character" w:customStyle="1" w:styleId="CommentTextChar">
    <w:name w:val="Comment Text Char"/>
    <w:basedOn w:val="DefaultParagraphFont"/>
    <w:link w:val="CommentText"/>
    <w:uiPriority w:val="99"/>
    <w:rsid w:val="00D609F3"/>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609F3"/>
    <w:rPr>
      <w:b/>
      <w:bCs/>
    </w:rPr>
  </w:style>
  <w:style w:type="character" w:customStyle="1" w:styleId="CommentSubjectChar">
    <w:name w:val="Comment Subject Char"/>
    <w:basedOn w:val="CommentTextChar"/>
    <w:link w:val="CommentSubject"/>
    <w:uiPriority w:val="99"/>
    <w:semiHidden/>
    <w:rsid w:val="00D609F3"/>
    <w:rPr>
      <w:rFonts w:ascii="Times New Roman" w:eastAsia="Times New Roman" w:hAnsi="Times New Roman"/>
      <w:b/>
      <w:bCs/>
      <w:sz w:val="20"/>
      <w:szCs w:val="20"/>
    </w:rPr>
  </w:style>
  <w:style w:type="paragraph" w:styleId="Revision">
    <w:name w:val="Revision"/>
    <w:hidden/>
    <w:uiPriority w:val="99"/>
    <w:semiHidden/>
    <w:rsid w:val="00D609F3"/>
    <w:rPr>
      <w:rFonts w:ascii="Times New Roman" w:eastAsia="Times New Roman" w:hAnsi="Times New Roman"/>
      <w:sz w:val="20"/>
      <w:szCs w:val="20"/>
    </w:rPr>
  </w:style>
  <w:style w:type="character" w:customStyle="1" w:styleId="UnresolvedMention1">
    <w:name w:val="Unresolved Mention1"/>
    <w:basedOn w:val="DefaultParagraphFont"/>
    <w:uiPriority w:val="99"/>
    <w:semiHidden/>
    <w:unhideWhenUsed/>
    <w:rsid w:val="00F9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4082">
      <w:bodyDiv w:val="1"/>
      <w:marLeft w:val="0"/>
      <w:marRight w:val="0"/>
      <w:marTop w:val="0"/>
      <w:marBottom w:val="0"/>
      <w:divBdr>
        <w:top w:val="none" w:sz="0" w:space="0" w:color="auto"/>
        <w:left w:val="none" w:sz="0" w:space="0" w:color="auto"/>
        <w:bottom w:val="none" w:sz="0" w:space="0" w:color="auto"/>
        <w:right w:val="none" w:sz="0" w:space="0" w:color="auto"/>
      </w:divBdr>
    </w:div>
    <w:div w:id="50662296">
      <w:bodyDiv w:val="1"/>
      <w:marLeft w:val="0"/>
      <w:marRight w:val="0"/>
      <w:marTop w:val="0"/>
      <w:marBottom w:val="0"/>
      <w:divBdr>
        <w:top w:val="none" w:sz="0" w:space="0" w:color="auto"/>
        <w:left w:val="none" w:sz="0" w:space="0" w:color="auto"/>
        <w:bottom w:val="none" w:sz="0" w:space="0" w:color="auto"/>
        <w:right w:val="none" w:sz="0" w:space="0" w:color="auto"/>
      </w:divBdr>
    </w:div>
    <w:div w:id="91317318">
      <w:bodyDiv w:val="1"/>
      <w:marLeft w:val="0"/>
      <w:marRight w:val="0"/>
      <w:marTop w:val="0"/>
      <w:marBottom w:val="0"/>
      <w:divBdr>
        <w:top w:val="none" w:sz="0" w:space="0" w:color="auto"/>
        <w:left w:val="none" w:sz="0" w:space="0" w:color="auto"/>
        <w:bottom w:val="none" w:sz="0" w:space="0" w:color="auto"/>
        <w:right w:val="none" w:sz="0" w:space="0" w:color="auto"/>
      </w:divBdr>
    </w:div>
    <w:div w:id="105124584">
      <w:bodyDiv w:val="1"/>
      <w:marLeft w:val="0"/>
      <w:marRight w:val="0"/>
      <w:marTop w:val="0"/>
      <w:marBottom w:val="0"/>
      <w:divBdr>
        <w:top w:val="none" w:sz="0" w:space="0" w:color="auto"/>
        <w:left w:val="none" w:sz="0" w:space="0" w:color="auto"/>
        <w:bottom w:val="none" w:sz="0" w:space="0" w:color="auto"/>
        <w:right w:val="none" w:sz="0" w:space="0" w:color="auto"/>
      </w:divBdr>
    </w:div>
    <w:div w:id="154683485">
      <w:bodyDiv w:val="1"/>
      <w:marLeft w:val="0"/>
      <w:marRight w:val="0"/>
      <w:marTop w:val="0"/>
      <w:marBottom w:val="0"/>
      <w:divBdr>
        <w:top w:val="none" w:sz="0" w:space="0" w:color="auto"/>
        <w:left w:val="none" w:sz="0" w:space="0" w:color="auto"/>
        <w:bottom w:val="none" w:sz="0" w:space="0" w:color="auto"/>
        <w:right w:val="none" w:sz="0" w:space="0" w:color="auto"/>
      </w:divBdr>
    </w:div>
    <w:div w:id="312756394">
      <w:bodyDiv w:val="1"/>
      <w:marLeft w:val="0"/>
      <w:marRight w:val="0"/>
      <w:marTop w:val="0"/>
      <w:marBottom w:val="0"/>
      <w:divBdr>
        <w:top w:val="none" w:sz="0" w:space="0" w:color="auto"/>
        <w:left w:val="none" w:sz="0" w:space="0" w:color="auto"/>
        <w:bottom w:val="none" w:sz="0" w:space="0" w:color="auto"/>
        <w:right w:val="none" w:sz="0" w:space="0" w:color="auto"/>
      </w:divBdr>
    </w:div>
    <w:div w:id="336855689">
      <w:bodyDiv w:val="1"/>
      <w:marLeft w:val="0"/>
      <w:marRight w:val="0"/>
      <w:marTop w:val="0"/>
      <w:marBottom w:val="0"/>
      <w:divBdr>
        <w:top w:val="none" w:sz="0" w:space="0" w:color="auto"/>
        <w:left w:val="none" w:sz="0" w:space="0" w:color="auto"/>
        <w:bottom w:val="none" w:sz="0" w:space="0" w:color="auto"/>
        <w:right w:val="none" w:sz="0" w:space="0" w:color="auto"/>
      </w:divBdr>
    </w:div>
    <w:div w:id="382414597">
      <w:bodyDiv w:val="1"/>
      <w:marLeft w:val="0"/>
      <w:marRight w:val="0"/>
      <w:marTop w:val="0"/>
      <w:marBottom w:val="0"/>
      <w:divBdr>
        <w:top w:val="none" w:sz="0" w:space="0" w:color="auto"/>
        <w:left w:val="none" w:sz="0" w:space="0" w:color="auto"/>
        <w:bottom w:val="none" w:sz="0" w:space="0" w:color="auto"/>
        <w:right w:val="none" w:sz="0" w:space="0" w:color="auto"/>
      </w:divBdr>
    </w:div>
    <w:div w:id="399838630">
      <w:bodyDiv w:val="1"/>
      <w:marLeft w:val="0"/>
      <w:marRight w:val="0"/>
      <w:marTop w:val="0"/>
      <w:marBottom w:val="0"/>
      <w:divBdr>
        <w:top w:val="none" w:sz="0" w:space="0" w:color="auto"/>
        <w:left w:val="none" w:sz="0" w:space="0" w:color="auto"/>
        <w:bottom w:val="none" w:sz="0" w:space="0" w:color="auto"/>
        <w:right w:val="none" w:sz="0" w:space="0" w:color="auto"/>
      </w:divBdr>
    </w:div>
    <w:div w:id="433597595">
      <w:bodyDiv w:val="1"/>
      <w:marLeft w:val="0"/>
      <w:marRight w:val="0"/>
      <w:marTop w:val="0"/>
      <w:marBottom w:val="0"/>
      <w:divBdr>
        <w:top w:val="none" w:sz="0" w:space="0" w:color="auto"/>
        <w:left w:val="none" w:sz="0" w:space="0" w:color="auto"/>
        <w:bottom w:val="none" w:sz="0" w:space="0" w:color="auto"/>
        <w:right w:val="none" w:sz="0" w:space="0" w:color="auto"/>
      </w:divBdr>
    </w:div>
    <w:div w:id="438255408">
      <w:bodyDiv w:val="1"/>
      <w:marLeft w:val="0"/>
      <w:marRight w:val="0"/>
      <w:marTop w:val="0"/>
      <w:marBottom w:val="0"/>
      <w:divBdr>
        <w:top w:val="none" w:sz="0" w:space="0" w:color="auto"/>
        <w:left w:val="none" w:sz="0" w:space="0" w:color="auto"/>
        <w:bottom w:val="none" w:sz="0" w:space="0" w:color="auto"/>
        <w:right w:val="none" w:sz="0" w:space="0" w:color="auto"/>
      </w:divBdr>
    </w:div>
    <w:div w:id="473832972">
      <w:bodyDiv w:val="1"/>
      <w:marLeft w:val="0"/>
      <w:marRight w:val="0"/>
      <w:marTop w:val="0"/>
      <w:marBottom w:val="0"/>
      <w:divBdr>
        <w:top w:val="none" w:sz="0" w:space="0" w:color="auto"/>
        <w:left w:val="none" w:sz="0" w:space="0" w:color="auto"/>
        <w:bottom w:val="none" w:sz="0" w:space="0" w:color="auto"/>
        <w:right w:val="none" w:sz="0" w:space="0" w:color="auto"/>
      </w:divBdr>
    </w:div>
    <w:div w:id="490293440">
      <w:bodyDiv w:val="1"/>
      <w:marLeft w:val="0"/>
      <w:marRight w:val="0"/>
      <w:marTop w:val="0"/>
      <w:marBottom w:val="0"/>
      <w:divBdr>
        <w:top w:val="none" w:sz="0" w:space="0" w:color="auto"/>
        <w:left w:val="none" w:sz="0" w:space="0" w:color="auto"/>
        <w:bottom w:val="none" w:sz="0" w:space="0" w:color="auto"/>
        <w:right w:val="none" w:sz="0" w:space="0" w:color="auto"/>
      </w:divBdr>
    </w:div>
    <w:div w:id="500857582">
      <w:bodyDiv w:val="1"/>
      <w:marLeft w:val="0"/>
      <w:marRight w:val="0"/>
      <w:marTop w:val="0"/>
      <w:marBottom w:val="0"/>
      <w:divBdr>
        <w:top w:val="none" w:sz="0" w:space="0" w:color="auto"/>
        <w:left w:val="none" w:sz="0" w:space="0" w:color="auto"/>
        <w:bottom w:val="none" w:sz="0" w:space="0" w:color="auto"/>
        <w:right w:val="none" w:sz="0" w:space="0" w:color="auto"/>
      </w:divBdr>
    </w:div>
    <w:div w:id="520973450">
      <w:bodyDiv w:val="1"/>
      <w:marLeft w:val="0"/>
      <w:marRight w:val="0"/>
      <w:marTop w:val="0"/>
      <w:marBottom w:val="0"/>
      <w:divBdr>
        <w:top w:val="none" w:sz="0" w:space="0" w:color="auto"/>
        <w:left w:val="none" w:sz="0" w:space="0" w:color="auto"/>
        <w:bottom w:val="none" w:sz="0" w:space="0" w:color="auto"/>
        <w:right w:val="none" w:sz="0" w:space="0" w:color="auto"/>
      </w:divBdr>
    </w:div>
    <w:div w:id="525565132">
      <w:bodyDiv w:val="1"/>
      <w:marLeft w:val="0"/>
      <w:marRight w:val="0"/>
      <w:marTop w:val="0"/>
      <w:marBottom w:val="0"/>
      <w:divBdr>
        <w:top w:val="none" w:sz="0" w:space="0" w:color="auto"/>
        <w:left w:val="none" w:sz="0" w:space="0" w:color="auto"/>
        <w:bottom w:val="none" w:sz="0" w:space="0" w:color="auto"/>
        <w:right w:val="none" w:sz="0" w:space="0" w:color="auto"/>
      </w:divBdr>
    </w:div>
    <w:div w:id="536282938">
      <w:bodyDiv w:val="1"/>
      <w:marLeft w:val="0"/>
      <w:marRight w:val="0"/>
      <w:marTop w:val="0"/>
      <w:marBottom w:val="0"/>
      <w:divBdr>
        <w:top w:val="none" w:sz="0" w:space="0" w:color="auto"/>
        <w:left w:val="none" w:sz="0" w:space="0" w:color="auto"/>
        <w:bottom w:val="none" w:sz="0" w:space="0" w:color="auto"/>
        <w:right w:val="none" w:sz="0" w:space="0" w:color="auto"/>
      </w:divBdr>
    </w:div>
    <w:div w:id="568997464">
      <w:bodyDiv w:val="1"/>
      <w:marLeft w:val="0"/>
      <w:marRight w:val="0"/>
      <w:marTop w:val="0"/>
      <w:marBottom w:val="0"/>
      <w:divBdr>
        <w:top w:val="none" w:sz="0" w:space="0" w:color="auto"/>
        <w:left w:val="none" w:sz="0" w:space="0" w:color="auto"/>
        <w:bottom w:val="none" w:sz="0" w:space="0" w:color="auto"/>
        <w:right w:val="none" w:sz="0" w:space="0" w:color="auto"/>
      </w:divBdr>
    </w:div>
    <w:div w:id="583883252">
      <w:bodyDiv w:val="1"/>
      <w:marLeft w:val="0"/>
      <w:marRight w:val="0"/>
      <w:marTop w:val="0"/>
      <w:marBottom w:val="0"/>
      <w:divBdr>
        <w:top w:val="none" w:sz="0" w:space="0" w:color="auto"/>
        <w:left w:val="none" w:sz="0" w:space="0" w:color="auto"/>
        <w:bottom w:val="none" w:sz="0" w:space="0" w:color="auto"/>
        <w:right w:val="none" w:sz="0" w:space="0" w:color="auto"/>
      </w:divBdr>
      <w:divsChild>
        <w:div w:id="1362894584">
          <w:marLeft w:val="0"/>
          <w:marRight w:val="0"/>
          <w:marTop w:val="15"/>
          <w:marBottom w:val="0"/>
          <w:divBdr>
            <w:top w:val="single" w:sz="48" w:space="0" w:color="auto"/>
            <w:left w:val="single" w:sz="48" w:space="0" w:color="auto"/>
            <w:bottom w:val="single" w:sz="48" w:space="0" w:color="auto"/>
            <w:right w:val="single" w:sz="48" w:space="0" w:color="auto"/>
          </w:divBdr>
          <w:divsChild>
            <w:div w:id="51738895">
              <w:marLeft w:val="0"/>
              <w:marRight w:val="0"/>
              <w:marTop w:val="0"/>
              <w:marBottom w:val="0"/>
              <w:divBdr>
                <w:top w:val="none" w:sz="0" w:space="0" w:color="auto"/>
                <w:left w:val="none" w:sz="0" w:space="0" w:color="auto"/>
                <w:bottom w:val="none" w:sz="0" w:space="0" w:color="auto"/>
                <w:right w:val="none" w:sz="0" w:space="0" w:color="auto"/>
              </w:divBdr>
            </w:div>
          </w:divsChild>
        </w:div>
        <w:div w:id="1574779669">
          <w:marLeft w:val="0"/>
          <w:marRight w:val="0"/>
          <w:marTop w:val="15"/>
          <w:marBottom w:val="0"/>
          <w:divBdr>
            <w:top w:val="single" w:sz="48" w:space="0" w:color="auto"/>
            <w:left w:val="single" w:sz="48" w:space="0" w:color="auto"/>
            <w:bottom w:val="single" w:sz="48" w:space="0" w:color="auto"/>
            <w:right w:val="single" w:sz="48" w:space="0" w:color="auto"/>
          </w:divBdr>
          <w:divsChild>
            <w:div w:id="4702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60057">
      <w:bodyDiv w:val="1"/>
      <w:marLeft w:val="0"/>
      <w:marRight w:val="0"/>
      <w:marTop w:val="0"/>
      <w:marBottom w:val="0"/>
      <w:divBdr>
        <w:top w:val="none" w:sz="0" w:space="0" w:color="auto"/>
        <w:left w:val="none" w:sz="0" w:space="0" w:color="auto"/>
        <w:bottom w:val="none" w:sz="0" w:space="0" w:color="auto"/>
        <w:right w:val="none" w:sz="0" w:space="0" w:color="auto"/>
      </w:divBdr>
    </w:div>
    <w:div w:id="657536993">
      <w:bodyDiv w:val="1"/>
      <w:marLeft w:val="0"/>
      <w:marRight w:val="0"/>
      <w:marTop w:val="0"/>
      <w:marBottom w:val="0"/>
      <w:divBdr>
        <w:top w:val="none" w:sz="0" w:space="0" w:color="auto"/>
        <w:left w:val="none" w:sz="0" w:space="0" w:color="auto"/>
        <w:bottom w:val="none" w:sz="0" w:space="0" w:color="auto"/>
        <w:right w:val="none" w:sz="0" w:space="0" w:color="auto"/>
      </w:divBdr>
    </w:div>
    <w:div w:id="747269556">
      <w:bodyDiv w:val="1"/>
      <w:marLeft w:val="0"/>
      <w:marRight w:val="0"/>
      <w:marTop w:val="0"/>
      <w:marBottom w:val="0"/>
      <w:divBdr>
        <w:top w:val="none" w:sz="0" w:space="0" w:color="auto"/>
        <w:left w:val="none" w:sz="0" w:space="0" w:color="auto"/>
        <w:bottom w:val="none" w:sz="0" w:space="0" w:color="auto"/>
        <w:right w:val="none" w:sz="0" w:space="0" w:color="auto"/>
      </w:divBdr>
    </w:div>
    <w:div w:id="751968192">
      <w:bodyDiv w:val="1"/>
      <w:marLeft w:val="0"/>
      <w:marRight w:val="0"/>
      <w:marTop w:val="0"/>
      <w:marBottom w:val="0"/>
      <w:divBdr>
        <w:top w:val="none" w:sz="0" w:space="0" w:color="auto"/>
        <w:left w:val="none" w:sz="0" w:space="0" w:color="auto"/>
        <w:bottom w:val="none" w:sz="0" w:space="0" w:color="auto"/>
        <w:right w:val="none" w:sz="0" w:space="0" w:color="auto"/>
      </w:divBdr>
    </w:div>
    <w:div w:id="786126154">
      <w:bodyDiv w:val="1"/>
      <w:marLeft w:val="0"/>
      <w:marRight w:val="0"/>
      <w:marTop w:val="0"/>
      <w:marBottom w:val="0"/>
      <w:divBdr>
        <w:top w:val="none" w:sz="0" w:space="0" w:color="auto"/>
        <w:left w:val="none" w:sz="0" w:space="0" w:color="auto"/>
        <w:bottom w:val="none" w:sz="0" w:space="0" w:color="auto"/>
        <w:right w:val="none" w:sz="0" w:space="0" w:color="auto"/>
      </w:divBdr>
      <w:divsChild>
        <w:div w:id="766196315">
          <w:marLeft w:val="0"/>
          <w:marRight w:val="0"/>
          <w:marTop w:val="0"/>
          <w:marBottom w:val="0"/>
          <w:divBdr>
            <w:top w:val="none" w:sz="0" w:space="0" w:color="auto"/>
            <w:left w:val="none" w:sz="0" w:space="0" w:color="auto"/>
            <w:bottom w:val="none" w:sz="0" w:space="0" w:color="auto"/>
            <w:right w:val="none" w:sz="0" w:space="0" w:color="auto"/>
          </w:divBdr>
        </w:div>
        <w:div w:id="1137340055">
          <w:marLeft w:val="0"/>
          <w:marRight w:val="0"/>
          <w:marTop w:val="0"/>
          <w:marBottom w:val="0"/>
          <w:divBdr>
            <w:top w:val="none" w:sz="0" w:space="0" w:color="auto"/>
            <w:left w:val="none" w:sz="0" w:space="0" w:color="auto"/>
            <w:bottom w:val="none" w:sz="0" w:space="0" w:color="auto"/>
            <w:right w:val="none" w:sz="0" w:space="0" w:color="auto"/>
          </w:divBdr>
        </w:div>
      </w:divsChild>
    </w:div>
    <w:div w:id="1004281937">
      <w:bodyDiv w:val="1"/>
      <w:marLeft w:val="0"/>
      <w:marRight w:val="0"/>
      <w:marTop w:val="0"/>
      <w:marBottom w:val="0"/>
      <w:divBdr>
        <w:top w:val="none" w:sz="0" w:space="0" w:color="auto"/>
        <w:left w:val="none" w:sz="0" w:space="0" w:color="auto"/>
        <w:bottom w:val="none" w:sz="0" w:space="0" w:color="auto"/>
        <w:right w:val="none" w:sz="0" w:space="0" w:color="auto"/>
      </w:divBdr>
    </w:div>
    <w:div w:id="1015040359">
      <w:bodyDiv w:val="1"/>
      <w:marLeft w:val="0"/>
      <w:marRight w:val="0"/>
      <w:marTop w:val="0"/>
      <w:marBottom w:val="0"/>
      <w:divBdr>
        <w:top w:val="none" w:sz="0" w:space="0" w:color="auto"/>
        <w:left w:val="none" w:sz="0" w:space="0" w:color="auto"/>
        <w:bottom w:val="none" w:sz="0" w:space="0" w:color="auto"/>
        <w:right w:val="none" w:sz="0" w:space="0" w:color="auto"/>
      </w:divBdr>
    </w:div>
    <w:div w:id="1069228726">
      <w:bodyDiv w:val="1"/>
      <w:marLeft w:val="0"/>
      <w:marRight w:val="0"/>
      <w:marTop w:val="0"/>
      <w:marBottom w:val="0"/>
      <w:divBdr>
        <w:top w:val="none" w:sz="0" w:space="0" w:color="auto"/>
        <w:left w:val="none" w:sz="0" w:space="0" w:color="auto"/>
        <w:bottom w:val="none" w:sz="0" w:space="0" w:color="auto"/>
        <w:right w:val="none" w:sz="0" w:space="0" w:color="auto"/>
      </w:divBdr>
    </w:div>
    <w:div w:id="1073969280">
      <w:bodyDiv w:val="1"/>
      <w:marLeft w:val="0"/>
      <w:marRight w:val="0"/>
      <w:marTop w:val="0"/>
      <w:marBottom w:val="0"/>
      <w:divBdr>
        <w:top w:val="none" w:sz="0" w:space="0" w:color="auto"/>
        <w:left w:val="none" w:sz="0" w:space="0" w:color="auto"/>
        <w:bottom w:val="none" w:sz="0" w:space="0" w:color="auto"/>
        <w:right w:val="none" w:sz="0" w:space="0" w:color="auto"/>
      </w:divBdr>
    </w:div>
    <w:div w:id="1097285891">
      <w:bodyDiv w:val="1"/>
      <w:marLeft w:val="0"/>
      <w:marRight w:val="0"/>
      <w:marTop w:val="0"/>
      <w:marBottom w:val="0"/>
      <w:divBdr>
        <w:top w:val="none" w:sz="0" w:space="0" w:color="auto"/>
        <w:left w:val="none" w:sz="0" w:space="0" w:color="auto"/>
        <w:bottom w:val="none" w:sz="0" w:space="0" w:color="auto"/>
        <w:right w:val="none" w:sz="0" w:space="0" w:color="auto"/>
      </w:divBdr>
    </w:div>
    <w:div w:id="1142892052">
      <w:bodyDiv w:val="1"/>
      <w:marLeft w:val="0"/>
      <w:marRight w:val="0"/>
      <w:marTop w:val="0"/>
      <w:marBottom w:val="0"/>
      <w:divBdr>
        <w:top w:val="none" w:sz="0" w:space="0" w:color="auto"/>
        <w:left w:val="none" w:sz="0" w:space="0" w:color="auto"/>
        <w:bottom w:val="none" w:sz="0" w:space="0" w:color="auto"/>
        <w:right w:val="none" w:sz="0" w:space="0" w:color="auto"/>
      </w:divBdr>
    </w:div>
    <w:div w:id="1171067301">
      <w:bodyDiv w:val="1"/>
      <w:marLeft w:val="0"/>
      <w:marRight w:val="0"/>
      <w:marTop w:val="0"/>
      <w:marBottom w:val="0"/>
      <w:divBdr>
        <w:top w:val="none" w:sz="0" w:space="0" w:color="auto"/>
        <w:left w:val="none" w:sz="0" w:space="0" w:color="auto"/>
        <w:bottom w:val="none" w:sz="0" w:space="0" w:color="auto"/>
        <w:right w:val="none" w:sz="0" w:space="0" w:color="auto"/>
      </w:divBdr>
    </w:div>
    <w:div w:id="1204906977">
      <w:bodyDiv w:val="1"/>
      <w:marLeft w:val="0"/>
      <w:marRight w:val="0"/>
      <w:marTop w:val="0"/>
      <w:marBottom w:val="0"/>
      <w:divBdr>
        <w:top w:val="none" w:sz="0" w:space="0" w:color="auto"/>
        <w:left w:val="none" w:sz="0" w:space="0" w:color="auto"/>
        <w:bottom w:val="none" w:sz="0" w:space="0" w:color="auto"/>
        <w:right w:val="none" w:sz="0" w:space="0" w:color="auto"/>
      </w:divBdr>
    </w:div>
    <w:div w:id="1238518017">
      <w:bodyDiv w:val="1"/>
      <w:marLeft w:val="0"/>
      <w:marRight w:val="0"/>
      <w:marTop w:val="0"/>
      <w:marBottom w:val="0"/>
      <w:divBdr>
        <w:top w:val="none" w:sz="0" w:space="0" w:color="auto"/>
        <w:left w:val="none" w:sz="0" w:space="0" w:color="auto"/>
        <w:bottom w:val="none" w:sz="0" w:space="0" w:color="auto"/>
        <w:right w:val="none" w:sz="0" w:space="0" w:color="auto"/>
      </w:divBdr>
    </w:div>
    <w:div w:id="1246843173">
      <w:bodyDiv w:val="1"/>
      <w:marLeft w:val="0"/>
      <w:marRight w:val="0"/>
      <w:marTop w:val="0"/>
      <w:marBottom w:val="0"/>
      <w:divBdr>
        <w:top w:val="none" w:sz="0" w:space="0" w:color="auto"/>
        <w:left w:val="none" w:sz="0" w:space="0" w:color="auto"/>
        <w:bottom w:val="none" w:sz="0" w:space="0" w:color="auto"/>
        <w:right w:val="none" w:sz="0" w:space="0" w:color="auto"/>
      </w:divBdr>
    </w:div>
    <w:div w:id="1258442499">
      <w:bodyDiv w:val="1"/>
      <w:marLeft w:val="0"/>
      <w:marRight w:val="0"/>
      <w:marTop w:val="0"/>
      <w:marBottom w:val="0"/>
      <w:divBdr>
        <w:top w:val="none" w:sz="0" w:space="0" w:color="auto"/>
        <w:left w:val="none" w:sz="0" w:space="0" w:color="auto"/>
        <w:bottom w:val="none" w:sz="0" w:space="0" w:color="auto"/>
        <w:right w:val="none" w:sz="0" w:space="0" w:color="auto"/>
      </w:divBdr>
    </w:div>
    <w:div w:id="1263954026">
      <w:bodyDiv w:val="1"/>
      <w:marLeft w:val="0"/>
      <w:marRight w:val="0"/>
      <w:marTop w:val="0"/>
      <w:marBottom w:val="0"/>
      <w:divBdr>
        <w:top w:val="none" w:sz="0" w:space="0" w:color="auto"/>
        <w:left w:val="none" w:sz="0" w:space="0" w:color="auto"/>
        <w:bottom w:val="none" w:sz="0" w:space="0" w:color="auto"/>
        <w:right w:val="none" w:sz="0" w:space="0" w:color="auto"/>
      </w:divBdr>
    </w:div>
    <w:div w:id="1279483960">
      <w:bodyDiv w:val="1"/>
      <w:marLeft w:val="0"/>
      <w:marRight w:val="0"/>
      <w:marTop w:val="0"/>
      <w:marBottom w:val="0"/>
      <w:divBdr>
        <w:top w:val="none" w:sz="0" w:space="0" w:color="auto"/>
        <w:left w:val="none" w:sz="0" w:space="0" w:color="auto"/>
        <w:bottom w:val="none" w:sz="0" w:space="0" w:color="auto"/>
        <w:right w:val="none" w:sz="0" w:space="0" w:color="auto"/>
      </w:divBdr>
    </w:div>
    <w:div w:id="1410497250">
      <w:bodyDiv w:val="1"/>
      <w:marLeft w:val="0"/>
      <w:marRight w:val="0"/>
      <w:marTop w:val="0"/>
      <w:marBottom w:val="0"/>
      <w:divBdr>
        <w:top w:val="none" w:sz="0" w:space="0" w:color="auto"/>
        <w:left w:val="none" w:sz="0" w:space="0" w:color="auto"/>
        <w:bottom w:val="none" w:sz="0" w:space="0" w:color="auto"/>
        <w:right w:val="none" w:sz="0" w:space="0" w:color="auto"/>
      </w:divBdr>
    </w:div>
    <w:div w:id="1467627430">
      <w:bodyDiv w:val="1"/>
      <w:marLeft w:val="0"/>
      <w:marRight w:val="0"/>
      <w:marTop w:val="0"/>
      <w:marBottom w:val="0"/>
      <w:divBdr>
        <w:top w:val="none" w:sz="0" w:space="0" w:color="auto"/>
        <w:left w:val="none" w:sz="0" w:space="0" w:color="auto"/>
        <w:bottom w:val="none" w:sz="0" w:space="0" w:color="auto"/>
        <w:right w:val="none" w:sz="0" w:space="0" w:color="auto"/>
      </w:divBdr>
    </w:div>
    <w:div w:id="1522627597">
      <w:bodyDiv w:val="1"/>
      <w:marLeft w:val="0"/>
      <w:marRight w:val="0"/>
      <w:marTop w:val="0"/>
      <w:marBottom w:val="0"/>
      <w:divBdr>
        <w:top w:val="none" w:sz="0" w:space="0" w:color="auto"/>
        <w:left w:val="none" w:sz="0" w:space="0" w:color="auto"/>
        <w:bottom w:val="none" w:sz="0" w:space="0" w:color="auto"/>
        <w:right w:val="none" w:sz="0" w:space="0" w:color="auto"/>
      </w:divBdr>
    </w:div>
    <w:div w:id="1591308502">
      <w:bodyDiv w:val="1"/>
      <w:marLeft w:val="0"/>
      <w:marRight w:val="0"/>
      <w:marTop w:val="0"/>
      <w:marBottom w:val="0"/>
      <w:divBdr>
        <w:top w:val="none" w:sz="0" w:space="0" w:color="auto"/>
        <w:left w:val="none" w:sz="0" w:space="0" w:color="auto"/>
        <w:bottom w:val="none" w:sz="0" w:space="0" w:color="auto"/>
        <w:right w:val="none" w:sz="0" w:space="0" w:color="auto"/>
      </w:divBdr>
    </w:div>
    <w:div w:id="1687513686">
      <w:bodyDiv w:val="1"/>
      <w:marLeft w:val="0"/>
      <w:marRight w:val="0"/>
      <w:marTop w:val="0"/>
      <w:marBottom w:val="0"/>
      <w:divBdr>
        <w:top w:val="none" w:sz="0" w:space="0" w:color="auto"/>
        <w:left w:val="none" w:sz="0" w:space="0" w:color="auto"/>
        <w:bottom w:val="none" w:sz="0" w:space="0" w:color="auto"/>
        <w:right w:val="none" w:sz="0" w:space="0" w:color="auto"/>
      </w:divBdr>
    </w:div>
    <w:div w:id="1688215158">
      <w:bodyDiv w:val="1"/>
      <w:marLeft w:val="0"/>
      <w:marRight w:val="0"/>
      <w:marTop w:val="0"/>
      <w:marBottom w:val="0"/>
      <w:divBdr>
        <w:top w:val="none" w:sz="0" w:space="0" w:color="auto"/>
        <w:left w:val="none" w:sz="0" w:space="0" w:color="auto"/>
        <w:bottom w:val="none" w:sz="0" w:space="0" w:color="auto"/>
        <w:right w:val="none" w:sz="0" w:space="0" w:color="auto"/>
      </w:divBdr>
    </w:div>
    <w:div w:id="1916352757">
      <w:bodyDiv w:val="1"/>
      <w:marLeft w:val="0"/>
      <w:marRight w:val="0"/>
      <w:marTop w:val="0"/>
      <w:marBottom w:val="0"/>
      <w:divBdr>
        <w:top w:val="none" w:sz="0" w:space="0" w:color="auto"/>
        <w:left w:val="none" w:sz="0" w:space="0" w:color="auto"/>
        <w:bottom w:val="none" w:sz="0" w:space="0" w:color="auto"/>
        <w:right w:val="none" w:sz="0" w:space="0" w:color="auto"/>
      </w:divBdr>
    </w:div>
    <w:div w:id="1918204005">
      <w:bodyDiv w:val="1"/>
      <w:marLeft w:val="0"/>
      <w:marRight w:val="0"/>
      <w:marTop w:val="0"/>
      <w:marBottom w:val="0"/>
      <w:divBdr>
        <w:top w:val="none" w:sz="0" w:space="0" w:color="auto"/>
        <w:left w:val="none" w:sz="0" w:space="0" w:color="auto"/>
        <w:bottom w:val="none" w:sz="0" w:space="0" w:color="auto"/>
        <w:right w:val="none" w:sz="0" w:space="0" w:color="auto"/>
      </w:divBdr>
    </w:div>
    <w:div w:id="1969125814">
      <w:bodyDiv w:val="1"/>
      <w:marLeft w:val="0"/>
      <w:marRight w:val="0"/>
      <w:marTop w:val="0"/>
      <w:marBottom w:val="0"/>
      <w:divBdr>
        <w:top w:val="none" w:sz="0" w:space="0" w:color="auto"/>
        <w:left w:val="none" w:sz="0" w:space="0" w:color="auto"/>
        <w:bottom w:val="none" w:sz="0" w:space="0" w:color="auto"/>
        <w:right w:val="none" w:sz="0" w:space="0" w:color="auto"/>
      </w:divBdr>
    </w:div>
    <w:div w:id="2043355799">
      <w:bodyDiv w:val="1"/>
      <w:marLeft w:val="0"/>
      <w:marRight w:val="0"/>
      <w:marTop w:val="0"/>
      <w:marBottom w:val="0"/>
      <w:divBdr>
        <w:top w:val="none" w:sz="0" w:space="0" w:color="auto"/>
        <w:left w:val="none" w:sz="0" w:space="0" w:color="auto"/>
        <w:bottom w:val="none" w:sz="0" w:space="0" w:color="auto"/>
        <w:right w:val="none" w:sz="0" w:space="0" w:color="auto"/>
      </w:divBdr>
    </w:div>
    <w:div w:id="21296235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6" Type="http://schemas.openxmlformats.org/officeDocument/2006/relationships/footnotes" Target="footnotes.xml"/><Relationship Id="rId11" Type="http://schemas.openxmlformats.org/officeDocument/2006/relationships/theme" Target="theme/theme1.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endnotes.xml.rels><?xml version="1.0" encoding="UTF-8" standalone="yes"?>
<Relationships xmlns="http://schemas.openxmlformats.org/package/2006/relationships"><Relationship Id="rId11" Type="http://schemas.openxmlformats.org/officeDocument/2006/relationships/hyperlink" Target="https://docs.un.org/A/72/178" TargetMode="External"/><Relationship Id="rId12" Type="http://schemas.openxmlformats.org/officeDocument/2006/relationships/hyperlink" Target="https://www2.hu-berlin.de/transcience/Vol15_No1_S4_S21.pdf" TargetMode="External"/><Relationship Id="rId13" Type="http://schemas.openxmlformats.org/officeDocument/2006/relationships/hyperlink" Target="https://www2.hu-berlin.de/transcience/Vol15_No1_S4_S21.pdf" TargetMode="External"/><Relationship Id="rId14" Type="http://schemas.openxmlformats.org/officeDocument/2006/relationships/hyperlink" Target="https://www2.hu-berlin.de/transcience/Vol15_No1_S4_S21.pdf" TargetMode="External"/><Relationship Id="rId1" Type="http://schemas.openxmlformats.org/officeDocument/2006/relationships/hyperlink" Target="https://www.amnesty.org/en/wp-content/uploads/2021/06/ior530042011en.pdf" TargetMode="External"/><Relationship Id="rId2" Type="http://schemas.openxmlformats.org/officeDocument/2006/relationships/hyperlink" Target="https://legal.un.org/docs/?path=../ilc/texts/instruments/english/draft_articles/1_14_2022.pdf&amp;lang=EF" TargetMode="External"/><Relationship Id="rId3" Type="http://schemas.openxmlformats.org/officeDocument/2006/relationships/hyperlink" Target="https://tidsskrift.dk/torture-journal/article/view/116320/164900" TargetMode="External"/><Relationship Id="rId4" Type="http://schemas.openxmlformats.org/officeDocument/2006/relationships/hyperlink" Target="https://tidsskrift.dk/torture-journal/article/view/133860/181164" TargetMode="External"/><Relationship Id="rId5" Type="http://schemas.openxmlformats.org/officeDocument/2006/relationships/hyperlink" Target="https://tidsskrift.dk/torture-journal/article/view/116320/164900" TargetMode="External"/><Relationship Id="rId6" Type="http://schemas.openxmlformats.org/officeDocument/2006/relationships/hyperlink" Target="https://tidsskrift.dk/torture-journal/article/view/133860/181164" TargetMode="External"/><Relationship Id="rId7" Type="http://schemas.openxmlformats.org/officeDocument/2006/relationships/hyperlink" Target="https://www.pauperez.cat/wp-content/uploads/2022/11/Perez-Sales-Psychological-Torture-in-Research-Handbook-on-Torture.pdf" TargetMode="External"/><Relationship Id="rId8" Type="http://schemas.openxmlformats.org/officeDocument/2006/relationships/hyperlink" Target="https://tidsskrift.dk/torture-journal/article/download/97234/146033" TargetMode="External"/><Relationship Id="rId9" Type="http://schemas.openxmlformats.org/officeDocument/2006/relationships/hyperlink" Target="https://tidsskrift.dk/torture-journal/article/view/118633/172523" TargetMode="External"/><Relationship Id="rId10" Type="http://schemas.openxmlformats.org/officeDocument/2006/relationships/hyperlink" Target="https://tidsskrift.dk/torture-journal/article/view/118633/172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2e65b2-cf21-49c1-b27d-d23f90380c0e">
      <Terms xmlns="http://schemas.microsoft.com/office/infopath/2007/PartnerControls"/>
    </lcf76f155ced4ddcb4097134ff3c332f>
    <TaxCatchAll xmlns="985ec44e-1bab-4c0b-9df0-6ba128686fc9" xsi:nil="true"/>
    <Category xmlns="d42e65b2-cf21-49c1-b27d-d23f90380c0e">CSOs</Category>
    <Filename xmlns="d42e65b2-cf21-49c1-b27d-d23f90380c0e" xsi:nil="true"/>
    <Doctype xmlns="d42e65b2-cf21-49c1-b27d-d23f90380c0e">input</Doctype>
    <Contributor xmlns="d42e65b2-cf21-49c1-b27d-d23f90380c0e">Dignity</Contributor>
  </documentManagement>
</p:properties>
</file>

<file path=customXml/itemProps1.xml><?xml version="1.0" encoding="utf-8"?>
<ds:datastoreItem xmlns:ds="http://schemas.openxmlformats.org/officeDocument/2006/customXml" ds:itemID="{8C9750C4-43AA-476A-ABDF-7A7AB1D7D426}"/>
</file>

<file path=customXml/itemProps2.xml><?xml version="1.0" encoding="utf-8"?>
<ds:datastoreItem xmlns:ds="http://schemas.openxmlformats.org/officeDocument/2006/customXml" ds:itemID="{358754EB-BDEB-4C0A-8966-1190A707444E}"/>
</file>

<file path=customXml/itemProps3.xml><?xml version="1.0" encoding="utf-8"?>
<ds:datastoreItem xmlns:ds="http://schemas.openxmlformats.org/officeDocument/2006/customXml" ds:itemID="{FA43EAE3-031D-4A21-969F-22A8B045AFFB}"/>
</file>

<file path=docProps/app.xml><?xml version="1.0" encoding="utf-8"?>
<Properties xmlns="http://schemas.openxmlformats.org/officeDocument/2006/extended-properties" xmlns:vt="http://schemas.openxmlformats.org/officeDocument/2006/docPropsVTypes">
  <Template>Normal.dotm</Template>
  <TotalTime>0</TotalTime>
  <Pages>10</Pages>
  <Words>2083</Words>
  <Characters>11875</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SHUBIN</dc:creator>
  <cp:keywords/>
  <dc:description/>
  <cp:lastModifiedBy>GRANT SHUBIN</cp:lastModifiedBy>
  <cp:revision>2</cp:revision>
  <dcterms:created xsi:type="dcterms:W3CDTF">2025-02-28T15:45:00Z</dcterms:created>
  <dcterms:modified xsi:type="dcterms:W3CDTF">2025-02-28T15:45:00Z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