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sdt>
      <w:sdtPr>
        <w:id w:val="-1588151586"/>
        <w:docPartObj>
          <w:docPartGallery w:val="Cover Pages"/>
          <w:docPartUnique/>
        </w:docPartObj>
      </w:sdtPr>
      <w:sdtEndPr/>
      <w:sdtContent>
        <w:p w:rsidR="00A50C69" w:rsidRDefault="00412529" w14:paraId="6D843C8C" w14:textId="77777777">
          <w:pPr>
            <w:ind w:left="-1440"/>
            <w:rPr>
              <w:lang w:val="en-GB"/>
            </w:rPr>
          </w:pPr>
          <w:r>
            <w:rPr>
              <w:noProof/>
            </w:rPr>
            <w:drawing>
              <wp:inline distT="0" distB="0" distL="0" distR="0" wp14:anchorId="467877C5" wp14:editId="1697ADE4">
                <wp:extent cx="7553960" cy="2364105"/>
                <wp:effectExtent l="0" t="0" r="0" b="0"/>
                <wp:docPr id="1" name="Picture 297226706" descr="AGE Platform Europ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7226706" descr="AGE Platform Europe Logo "/>
                        <pic:cNvPicPr>
                          <a:picLocks noChangeAspect="1" noChangeArrowheads="1"/>
                        </pic:cNvPicPr>
                      </pic:nvPicPr>
                      <pic:blipFill>
                        <a:blip r:embed="rId12"/>
                        <a:stretch>
                          <a:fillRect/>
                        </a:stretch>
                      </pic:blipFill>
                      <pic:spPr bwMode="auto">
                        <a:xfrm>
                          <a:off x="0" y="0"/>
                          <a:ext cx="7553960" cy="2364105"/>
                        </a:xfrm>
                        <a:prstGeom prst="rect">
                          <a:avLst/>
                        </a:prstGeom>
                      </pic:spPr>
                    </pic:pic>
                  </a:graphicData>
                </a:graphic>
              </wp:inline>
            </w:drawing>
          </w:r>
        </w:p>
        <w:p w:rsidR="00A50C69" w:rsidRDefault="00A50C69" w14:paraId="0513A666" w14:textId="77777777">
          <w:pPr>
            <w:spacing w:line="259" w:lineRule="auto"/>
            <w:outlineLvl w:val="9"/>
            <w:rPr>
              <w:lang w:val="en-GB"/>
            </w:rPr>
          </w:pPr>
        </w:p>
        <w:p w:rsidR="00A50C69" w:rsidRDefault="00A50C69" w14:paraId="5DE33AF2" w14:textId="77777777">
          <w:pPr>
            <w:spacing w:line="259" w:lineRule="auto"/>
            <w:outlineLvl w:val="9"/>
            <w:rPr>
              <w:lang w:val="en-GB"/>
            </w:rPr>
          </w:pPr>
        </w:p>
        <w:p w:rsidR="00A50C69" w:rsidRDefault="00A50C69" w14:paraId="71592FFA" w14:textId="77777777">
          <w:pPr>
            <w:spacing w:line="259" w:lineRule="auto"/>
            <w:outlineLvl w:val="9"/>
            <w:rPr>
              <w:lang w:val="en-GB"/>
            </w:rPr>
          </w:pPr>
        </w:p>
        <w:p w:rsidR="00A50C69" w:rsidRDefault="00A50C69" w14:paraId="05927067" w14:textId="77777777">
          <w:pPr>
            <w:spacing w:line="259" w:lineRule="auto"/>
            <w:outlineLvl w:val="9"/>
            <w:rPr>
              <w:lang w:val="en-GB"/>
            </w:rPr>
          </w:pPr>
        </w:p>
        <w:p w:rsidR="00A50C69" w:rsidRDefault="00A50C69" w14:paraId="5DEEC628" w14:textId="77777777">
          <w:pPr>
            <w:pStyle w:val="Heading1"/>
            <w:rPr>
              <w:sz w:val="60"/>
              <w:szCs w:val="60"/>
            </w:rPr>
          </w:pPr>
        </w:p>
        <w:p w:rsidR="00197361" w:rsidP="00197361" w:rsidRDefault="00197361" w14:paraId="1C0C91FA" w14:textId="77777777">
          <w:pPr>
            <w:jc w:val="right"/>
            <w:rPr>
              <w:color w:val="104C61" w:themeColor="text2"/>
              <w:sz w:val="60"/>
              <w:szCs w:val="60"/>
              <w:lang w:val="en-GB"/>
            </w:rPr>
          </w:pPr>
          <w:r>
            <w:rPr>
              <w:color w:val="104C61" w:themeColor="text2"/>
              <w:sz w:val="60"/>
              <w:szCs w:val="60"/>
              <w:lang w:val="en-GB"/>
            </w:rPr>
            <w:t xml:space="preserve">AGE Platform Europe </w:t>
          </w:r>
        </w:p>
        <w:p w:rsidRPr="00AC0832" w:rsidR="00AC0832" w:rsidP="00AC0832" w:rsidRDefault="00AC0832" w14:paraId="7A4D21E0" w14:textId="3A66A9EE">
          <w:pPr>
            <w:jc w:val="right"/>
            <w:rPr>
              <w:sz w:val="48"/>
              <w:szCs w:val="48"/>
              <w:lang w:val="en-US"/>
            </w:rPr>
          </w:pPr>
          <w:r w:rsidRPr="00AC0832">
            <w:rPr>
              <w:rFonts w:ascii="Rubik Light" w:hAnsi="Rubik Light" w:eastAsiaTheme="majorEastAsia" w:cstheme="majorBidi"/>
              <w:color w:val="F08016"/>
              <w:sz w:val="48"/>
              <w:szCs w:val="48"/>
              <w:lang w:val="en-GB"/>
            </w:rPr>
            <w:t>Input for OHCHR annual thematic study on the rights of persons with disabilities and digital technologies and devices, including assistive technologies</w:t>
          </w:r>
        </w:p>
        <w:p w:rsidR="00A50C69" w:rsidRDefault="00412529" w14:paraId="1EABFF9B" w14:textId="77777777">
          <w:pPr>
            <w:pStyle w:val="Heading3"/>
            <w:jc w:val="right"/>
            <w:rPr>
              <w:lang w:val="en-GB"/>
            </w:rPr>
          </w:pPr>
          <w:r>
            <w:rPr>
              <w:noProof/>
              <w:lang w:val="en-GB"/>
            </w:rPr>
            <mc:AlternateContent>
              <mc:Choice Requires="wps">
                <w:drawing>
                  <wp:anchor distT="3175" distB="3175" distL="635" distR="635" simplePos="0" relativeHeight="251658240" behindDoc="0" locked="0" layoutInCell="1" allowOverlap="1" wp14:anchorId="53F6B7D4" wp14:editId="3AF71C1A">
                    <wp:simplePos x="0" y="0"/>
                    <wp:positionH relativeFrom="column">
                      <wp:posOffset>109855</wp:posOffset>
                    </wp:positionH>
                    <wp:positionV relativeFrom="paragraph">
                      <wp:posOffset>44450</wp:posOffset>
                    </wp:positionV>
                    <wp:extent cx="5581015" cy="635"/>
                    <wp:effectExtent l="635" t="3175" r="635" b="3175"/>
                    <wp:wrapNone/>
                    <wp:docPr id="2" name="Straight Connector 1"/>
                    <wp:cNvGraphicFramePr/>
                    <a:graphic xmlns:a="http://schemas.openxmlformats.org/drawingml/2006/main">
                      <a:graphicData uri="http://schemas.microsoft.com/office/word/2010/wordprocessingShape">
                        <wps:wsp>
                          <wps:cNvCnPr/>
                          <wps:spPr>
                            <a:xfrm flipH="1">
                              <a:off x="0" y="0"/>
                              <a:ext cx="5581080" cy="720"/>
                            </a:xfrm>
                            <a:prstGeom prst="line">
                              <a:avLst/>
                            </a:prstGeom>
                            <a:ln>
                              <a:solidFill>
                                <a:srgbClr val="6DC8E4"/>
                              </a:solidFill>
                            </a:ln>
                          </wps:spPr>
                          <wps:style>
                            <a:lnRef idx="1">
                              <a:schemeClr val="accent1"/>
                            </a:lnRef>
                            <a:fillRef idx="0">
                              <a:schemeClr val="accent1"/>
                            </a:fillRef>
                            <a:effectRef idx="0">
                              <a:schemeClr val="accent1"/>
                            </a:effectRef>
                            <a:fontRef idx="minor"/>
                          </wps:style>
                          <wps:bodyPr/>
                        </wps:wsp>
                      </a:graphicData>
                    </a:graphic>
                  </wp:anchor>
                </w:drawing>
              </mc:Choice>
              <mc:Fallback>
                <w:pict w14:anchorId="4ED0C8AC">
                  <v:line id="Straight Connector 1" style="position:absolute;flip:x;z-index:251658240;visibility:visible;mso-wrap-style:square;mso-wrap-distance-left:.05pt;mso-wrap-distance-top:.25pt;mso-wrap-distance-right:.05pt;mso-wrap-distance-bottom:.25pt;mso-position-horizontal:absolute;mso-position-horizontal-relative:text;mso-position-vertical:absolute;mso-position-vertical-relative:text" o:spid="_x0000_s1026" strokecolor="#6dc8e4" strokeweight=".5pt" from="8.65pt,3.5pt" to="448.1pt,3.55pt" w14:anchorId="42A1A9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">
                    <v:stroke joinstyle="miter"/>
                  </v:line>
                </w:pict>
              </mc:Fallback>
            </mc:AlternateContent>
          </w:r>
        </w:p>
        <w:p w:rsidR="00A50C69" w:rsidRDefault="00197361" w14:paraId="47799A13" w14:textId="3A71EE48" w14:noSpellErr="1">
          <w:pPr>
            <w:pStyle w:val="Heading3"/>
            <w:jc w:val="right"/>
            <w:rPr>
              <w:lang w:val="en-GB"/>
            </w:rPr>
          </w:pPr>
          <w:r w:rsidRPr="66865C20" w:rsidR="66865C20">
            <w:rPr>
              <w:sz w:val="28"/>
              <w:szCs w:val="28"/>
              <w:lang w:val="en-GB"/>
            </w:rPr>
            <w:t>30 August 2024</w:t>
          </w:r>
        </w:p>
        <w:p w:rsidR="00A50C69" w:rsidRDefault="00A50C69" w14:paraId="1F18B0A8" w14:textId="77777777">
          <w:pPr>
            <w:pStyle w:val="Heading3"/>
            <w:jc w:val="right"/>
            <w:rPr>
              <w:lang w:val="en-GB"/>
            </w:rPr>
          </w:pPr>
        </w:p>
        <w:p w:rsidR="00A50C69" w:rsidRDefault="00412529" w14:paraId="113DEA23" w14:textId="77777777">
          <w:pPr>
            <w:rPr>
              <w:lang w:val="en-GB"/>
            </w:rPr>
          </w:pPr>
        </w:p>
      </w:sdtContent>
    </w:sdt>
    <w:tbl>
      <w:tblPr>
        <w:tblStyle w:val="TableGrid"/>
        <w:tblW w:w="9016" w:type="dxa"/>
        <w:tblLayout w:type="fixed"/>
        <w:tblLook w:val="04A0" w:firstRow="1" w:lastRow="0" w:firstColumn="1" w:lastColumn="0" w:noHBand="0" w:noVBand="1"/>
      </w:tblPr>
      <w:tblGrid>
        <w:gridCol w:w="2510"/>
        <w:gridCol w:w="3784"/>
        <w:gridCol w:w="2722"/>
      </w:tblGrid>
      <w:tr w:rsidR="00A50C69" w14:paraId="342B7E4E" w14:textId="77777777">
        <w:tc>
          <w:tcPr>
            <w:tcW w:w="2510" w:type="dxa"/>
            <w:tcBorders>
              <w:top w:val="nil"/>
              <w:left w:val="nil"/>
              <w:bottom w:val="nil"/>
              <w:right w:val="nil"/>
            </w:tcBorders>
          </w:tcPr>
          <w:p w:rsidR="00A50C69" w:rsidRDefault="00A50C69" w14:paraId="0F4BF0AC" w14:textId="77777777">
            <w:pPr>
              <w:tabs>
                <w:tab w:val="right" w:pos="2747"/>
              </w:tabs>
              <w:spacing w:after="0" w:line="240" w:lineRule="auto"/>
              <w:rPr>
                <w:color w:val="104C61"/>
                <w:sz w:val="20"/>
                <w:szCs w:val="20"/>
                <w:lang w:val="en-GB"/>
              </w:rPr>
            </w:pPr>
          </w:p>
          <w:p w:rsidR="00A50C69" w:rsidRDefault="00412529" w14:paraId="6F5CB38C" w14:textId="77777777">
            <w:pPr>
              <w:pStyle w:val="Footer"/>
              <w:rPr>
                <w:lang w:val="en-GB"/>
              </w:rPr>
            </w:pPr>
            <w:r>
              <w:rPr>
                <w:noProof/>
              </w:rPr>
              <w:drawing>
                <wp:inline distT="0" distB="0" distL="0" distR="0" wp14:anchorId="34FDF45A" wp14:editId="0D93F18C">
                  <wp:extent cx="1082040" cy="694690"/>
                  <wp:effectExtent l="0" t="0" r="0" b="0"/>
                  <wp:docPr id="3" name="Picture 1805851252" descr="Logo AGE Platform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805851252" descr="Logo AGE Platform Europe"/>
                          <pic:cNvPicPr>
                            <a:picLocks noChangeAspect="1" noChangeArrowheads="1"/>
                          </pic:cNvPicPr>
                        </pic:nvPicPr>
                        <pic:blipFill>
                          <a:blip r:embed="rId13"/>
                          <a:stretch>
                            <a:fillRect/>
                          </a:stretch>
                        </pic:blipFill>
                        <pic:spPr bwMode="auto">
                          <a:xfrm>
                            <a:off x="0" y="0"/>
                            <a:ext cx="1082040" cy="694690"/>
                          </a:xfrm>
                          <a:prstGeom prst="rect">
                            <a:avLst/>
                          </a:prstGeom>
                        </pic:spPr>
                      </pic:pic>
                    </a:graphicData>
                  </a:graphic>
                </wp:inline>
              </w:drawing>
            </w:r>
          </w:p>
        </w:tc>
        <w:tc>
          <w:tcPr>
            <w:tcW w:w="3784" w:type="dxa"/>
            <w:tcBorders>
              <w:top w:val="nil"/>
              <w:left w:val="nil"/>
              <w:bottom w:val="nil"/>
              <w:right w:val="nil"/>
            </w:tcBorders>
          </w:tcPr>
          <w:p w:rsidR="00A50C69" w:rsidRDefault="00A50C69" w14:paraId="5261037C" w14:textId="77777777">
            <w:pPr>
              <w:spacing w:after="0" w:line="240" w:lineRule="auto"/>
              <w:rPr>
                <w:color w:val="104C61"/>
                <w:sz w:val="20"/>
                <w:szCs w:val="20"/>
                <w:lang w:val="en-GB"/>
              </w:rPr>
            </w:pPr>
          </w:p>
          <w:p w:rsidR="00A50C69" w:rsidRDefault="00412529" w14:paraId="6ECF8F2D" w14:textId="77777777">
            <w:pPr>
              <w:spacing w:after="0" w:line="276" w:lineRule="auto"/>
              <w:rPr>
                <w:lang w:val="en-GB"/>
              </w:rPr>
            </w:pPr>
            <w:r>
              <w:rPr>
                <w:color w:val="104C61"/>
                <w:sz w:val="20"/>
                <w:szCs w:val="20"/>
                <w:lang w:val="en-GB"/>
              </w:rPr>
              <w:t xml:space="preserve">Av de </w:t>
            </w:r>
            <w:proofErr w:type="spellStart"/>
            <w:r>
              <w:rPr>
                <w:color w:val="104C61"/>
                <w:sz w:val="20"/>
                <w:szCs w:val="20"/>
                <w:lang w:val="en-GB"/>
              </w:rPr>
              <w:t>Tervueren</w:t>
            </w:r>
            <w:proofErr w:type="spellEnd"/>
            <w:r>
              <w:rPr>
                <w:color w:val="104C61"/>
                <w:sz w:val="20"/>
                <w:szCs w:val="20"/>
                <w:lang w:val="en-GB"/>
              </w:rPr>
              <w:t xml:space="preserve">, </w:t>
            </w:r>
            <w:proofErr w:type="spellStart"/>
            <w:r>
              <w:rPr>
                <w:color w:val="104C61"/>
                <w:sz w:val="20"/>
                <w:szCs w:val="20"/>
                <w:lang w:val="en-GB"/>
              </w:rPr>
              <w:t>Tervurenlaan</w:t>
            </w:r>
            <w:proofErr w:type="spellEnd"/>
            <w:r>
              <w:rPr>
                <w:color w:val="104C61"/>
                <w:sz w:val="20"/>
                <w:szCs w:val="20"/>
                <w:lang w:val="en-GB"/>
              </w:rPr>
              <w:t xml:space="preserve"> 168, box 2 - </w:t>
            </w:r>
            <w:r>
              <w:rPr>
                <w:color w:val="104C61"/>
                <w:sz w:val="20"/>
                <w:szCs w:val="20"/>
                <w:lang w:val="en-GB"/>
              </w:rPr>
              <w:t>1150 Brussels, Belgium</w:t>
            </w:r>
            <w:r>
              <w:rPr>
                <w:color w:val="104C61"/>
                <w:sz w:val="20"/>
                <w:szCs w:val="20"/>
                <w:lang w:val="en-GB"/>
              </w:rPr>
              <w:br/>
            </w:r>
            <w:r>
              <w:rPr>
                <w:color w:val="104C61"/>
                <w:sz w:val="20"/>
                <w:szCs w:val="20"/>
                <w:lang w:val="en-GB"/>
              </w:rPr>
              <w:t>Tel: +32.2.280.14.70</w:t>
            </w:r>
          </w:p>
          <w:p w:rsidR="00A50C69" w:rsidRDefault="00412529" w14:paraId="2BB4971A" w14:textId="77777777">
            <w:pPr>
              <w:spacing w:after="0" w:line="276" w:lineRule="auto"/>
              <w:rPr>
                <w:lang w:val="en-GB"/>
              </w:rPr>
            </w:pPr>
            <w:r>
              <w:rPr>
                <w:color w:val="F08016"/>
                <w:sz w:val="20"/>
                <w:szCs w:val="20"/>
                <w:lang w:val="en-GB"/>
              </w:rPr>
              <w:t>info@age-platform.eu</w:t>
            </w:r>
          </w:p>
          <w:p w:rsidR="00A50C69" w:rsidRDefault="00A50C69" w14:paraId="4A158DB2" w14:textId="77777777">
            <w:pPr>
              <w:spacing w:after="0" w:line="240" w:lineRule="auto"/>
              <w:rPr>
                <w:color w:val="104C61"/>
                <w:sz w:val="20"/>
                <w:szCs w:val="20"/>
                <w:lang w:val="en-GB"/>
              </w:rPr>
            </w:pPr>
          </w:p>
          <w:p w:rsidR="00A50C69" w:rsidRDefault="00A50C69" w14:paraId="37E9C9EB" w14:textId="77777777">
            <w:pPr>
              <w:spacing w:after="0" w:line="240" w:lineRule="auto"/>
              <w:rPr>
                <w:color w:val="104C61"/>
                <w:sz w:val="20"/>
                <w:szCs w:val="20"/>
                <w:lang w:val="en-GB"/>
              </w:rPr>
            </w:pPr>
          </w:p>
        </w:tc>
        <w:tc>
          <w:tcPr>
            <w:tcW w:w="2722" w:type="dxa"/>
            <w:tcBorders>
              <w:top w:val="nil"/>
              <w:left w:val="nil"/>
              <w:bottom w:val="nil"/>
              <w:right w:val="nil"/>
            </w:tcBorders>
          </w:tcPr>
          <w:p w:rsidR="00A50C69" w:rsidRDefault="00A50C69" w14:paraId="1EF41790" w14:textId="77777777">
            <w:pPr>
              <w:spacing w:after="0" w:line="276" w:lineRule="auto"/>
              <w:jc w:val="right"/>
              <w:rPr>
                <w:color w:val="104C61"/>
                <w:sz w:val="20"/>
                <w:szCs w:val="20"/>
                <w:lang w:val="en-GB"/>
              </w:rPr>
            </w:pPr>
          </w:p>
          <w:p w:rsidR="00A50C69" w:rsidRDefault="00A50C69" w14:paraId="1538A4F7" w14:textId="77777777">
            <w:pPr>
              <w:spacing w:after="0" w:line="276" w:lineRule="auto"/>
              <w:jc w:val="right"/>
              <w:rPr>
                <w:color w:val="F08016"/>
                <w:sz w:val="20"/>
                <w:szCs w:val="20"/>
                <w:lang w:val="en-GB"/>
              </w:rPr>
            </w:pPr>
          </w:p>
          <w:p w:rsidR="00A50C69" w:rsidRDefault="00412529" w14:paraId="391D4D4E" w14:textId="77777777">
            <w:pPr>
              <w:pStyle w:val="Footer"/>
              <w:jc w:val="right"/>
              <w:rPr>
                <w:lang w:val="en-GB"/>
              </w:rPr>
            </w:pPr>
            <w:r>
              <w:rPr>
                <w:noProof/>
              </w:rPr>
              <mc:AlternateContent>
                <mc:Choice Requires="wps">
                  <w:drawing>
                    <wp:anchor distT="3175" distB="3175" distL="635" distR="0" simplePos="0" relativeHeight="251658241" behindDoc="0" locked="0" layoutInCell="1" allowOverlap="1" wp14:anchorId="7FA63AF5" wp14:editId="2730C490">
                      <wp:simplePos x="0" y="0"/>
                      <wp:positionH relativeFrom="column">
                        <wp:posOffset>-3983990</wp:posOffset>
                      </wp:positionH>
                      <wp:positionV relativeFrom="paragraph">
                        <wp:posOffset>799465</wp:posOffset>
                      </wp:positionV>
                      <wp:extent cx="5565775" cy="635"/>
                      <wp:effectExtent l="635" t="3175" r="0" b="3175"/>
                      <wp:wrapNone/>
                      <wp:docPr id="4" name="Straight Connector 4"/>
                      <wp:cNvGraphicFramePr/>
                      <a:graphic xmlns:a="http://schemas.openxmlformats.org/drawingml/2006/main">
                        <a:graphicData uri="http://schemas.microsoft.com/office/word/2010/wordprocessingShape">
                          <wps:wsp>
                            <wps:cNvCnPr/>
                            <wps:spPr>
                              <a:xfrm>
                                <a:off x="0" y="0"/>
                                <a:ext cx="5565600" cy="720"/>
                              </a:xfrm>
                              <a:prstGeom prst="line">
                                <a:avLst/>
                              </a:prstGeom>
                              <a:ln>
                                <a:solidFill>
                                  <a:srgbClr val="6DC8E4"/>
                                </a:solidFill>
                              </a:ln>
                            </wps:spPr>
                            <wps:style>
                              <a:lnRef idx="1">
                                <a:schemeClr val="accent1"/>
                              </a:lnRef>
                              <a:fillRef idx="0">
                                <a:schemeClr val="accent1"/>
                              </a:fillRef>
                              <a:effectRef idx="0">
                                <a:schemeClr val="accent1"/>
                              </a:effectRef>
                              <a:fontRef idx="minor"/>
                            </wps:style>
                            <wps:bodyPr/>
                          </wps:wsp>
                        </a:graphicData>
                      </a:graphic>
                    </wp:anchor>
                  </w:drawing>
                </mc:Choice>
                <mc:Fallback>
                  <w:pict w14:anchorId="24F0FBEF">
                    <v:line id="Straight Connector 4" style="position:absolute;z-index:251658241;visibility:visible;mso-wrap-style:square;mso-wrap-distance-left:.05pt;mso-wrap-distance-top:.25pt;mso-wrap-distance-right:0;mso-wrap-distance-bottom:.25pt;mso-position-horizontal:absolute;mso-position-horizontal-relative:text;mso-position-vertical:absolute;mso-position-vertical-relative:text" o:spid="_x0000_s1026" strokecolor="#6dc8e4" strokeweight=".5pt" from="-313.7pt,62.95pt" to="124.55pt,63pt" w14:anchorId="64FE7F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">
                      <v:stroke joinstyle="miter"/>
                    </v:line>
                  </w:pict>
                </mc:Fallback>
              </mc:AlternateContent>
            </w:r>
            <w:r>
              <w:rPr>
                <w:noProof/>
              </w:rPr>
              <w:drawing>
                <wp:inline distT="0" distB="0" distL="0" distR="0" wp14:anchorId="14F19006" wp14:editId="122EE324">
                  <wp:extent cx="1365250" cy="229235"/>
                  <wp:effectExtent l="0" t="0" r="0" b="0"/>
                  <wp:docPr id="5" name="Picture 796523571" descr="www.age-platfor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96523571" descr="www.age-platform.eu"/>
                          <pic:cNvPicPr>
                            <a:picLocks noChangeAspect="1" noChangeArrowheads="1"/>
                          </pic:cNvPicPr>
                        </pic:nvPicPr>
                        <pic:blipFill>
                          <a:blip r:embed="rId14"/>
                          <a:stretch>
                            <a:fillRect/>
                          </a:stretch>
                        </pic:blipFill>
                        <pic:spPr bwMode="auto">
                          <a:xfrm>
                            <a:off x="0" y="0"/>
                            <a:ext cx="1365250" cy="229235"/>
                          </a:xfrm>
                          <a:prstGeom prst="rect">
                            <a:avLst/>
                          </a:prstGeom>
                        </pic:spPr>
                      </pic:pic>
                    </a:graphicData>
                  </a:graphic>
                </wp:inline>
              </w:drawing>
            </w:r>
          </w:p>
        </w:tc>
      </w:tr>
    </w:tbl>
    <w:p w:rsidR="00222203" w:rsidRDefault="00222203" w14:paraId="5328B5EA" w14:textId="77777777">
      <w:pPr>
        <w:spacing w:after="0" w:line="276" w:lineRule="auto"/>
        <w:rPr>
          <w:rFonts w:ascii="Rubik Light" w:hAnsi="Rubik Light" w:eastAsiaTheme="majorEastAsia" w:cstheme="majorBidi"/>
          <w:color w:val="F08016"/>
          <w:sz w:val="36"/>
          <w:szCs w:val="26"/>
          <w:lang w:val="en-GB"/>
        </w:rPr>
      </w:pPr>
      <w:r>
        <w:rPr>
          <w:rFonts w:ascii="Rubik Light" w:hAnsi="Rubik Light" w:eastAsiaTheme="majorEastAsia" w:cstheme="majorBidi"/>
          <w:color w:val="F08016"/>
          <w:sz w:val="36"/>
          <w:szCs w:val="26"/>
          <w:lang w:val="en-GB"/>
        </w:rPr>
        <w:t>Introduction</w:t>
      </w:r>
    </w:p>
    <w:p w:rsidR="00214644" w:rsidP="00214644" w:rsidRDefault="00214644" w14:paraId="2DB560E2" w14:textId="26E29A04">
      <w:pPr>
        <w:spacing w:after="0" w:line="276" w:lineRule="auto"/>
        <w:rPr>
          <w:rFonts w:asciiTheme="minorHAnsi" w:hAnsiTheme="minorHAnsi"/>
          <w:lang w:val="en-GB"/>
        </w:rPr>
      </w:pPr>
      <w:bookmarkStart w:name="_Hlk170476692" w:id="0"/>
      <w:r>
        <w:rPr>
          <w:rFonts w:asciiTheme="minorHAnsi" w:hAnsiTheme="minorHAnsi"/>
          <w:lang w:val="en-GB"/>
        </w:rPr>
        <w:t xml:space="preserve">As the largest EU network of organisations of and for older people, AGE Platform Europe brings forward the experience and voice of older people with disabilities </w:t>
      </w:r>
      <w:r w:rsidR="00CF73CF">
        <w:rPr>
          <w:rFonts w:asciiTheme="minorHAnsi" w:hAnsiTheme="minorHAnsi"/>
          <w:lang w:val="en-GB"/>
        </w:rPr>
        <w:t>and/</w:t>
      </w:r>
      <w:r>
        <w:rPr>
          <w:rFonts w:asciiTheme="minorHAnsi" w:hAnsiTheme="minorHAnsi"/>
          <w:lang w:val="en-GB"/>
        </w:rPr>
        <w:t>or support needs</w:t>
      </w:r>
      <w:r w:rsidR="00F73D5E">
        <w:rPr>
          <w:rFonts w:asciiTheme="minorHAnsi" w:hAnsiTheme="minorHAnsi"/>
          <w:lang w:val="en-GB"/>
        </w:rPr>
        <w:t>. Our answer focuses on the</w:t>
      </w:r>
      <w:r>
        <w:rPr>
          <w:rFonts w:asciiTheme="minorHAnsi" w:hAnsiTheme="minorHAnsi"/>
          <w:lang w:val="en-GB"/>
        </w:rPr>
        <w:t xml:space="preserve"> </w:t>
      </w:r>
      <w:proofErr w:type="gramStart"/>
      <w:r w:rsidR="00F73D5E">
        <w:rPr>
          <w:rFonts w:asciiTheme="minorHAnsi" w:hAnsiTheme="minorHAnsi"/>
          <w:lang w:val="en-GB"/>
        </w:rPr>
        <w:t>particular challenges</w:t>
      </w:r>
      <w:proofErr w:type="gramEnd"/>
      <w:r w:rsidR="00F73D5E">
        <w:rPr>
          <w:rFonts w:asciiTheme="minorHAnsi" w:hAnsiTheme="minorHAnsi"/>
          <w:lang w:val="en-GB"/>
        </w:rPr>
        <w:t xml:space="preserve"> of older people </w:t>
      </w:r>
      <w:r w:rsidR="00EE6C5B">
        <w:rPr>
          <w:rFonts w:asciiTheme="minorHAnsi" w:hAnsiTheme="minorHAnsi"/>
          <w:lang w:val="en-GB"/>
        </w:rPr>
        <w:t xml:space="preserve">with disabilities </w:t>
      </w:r>
      <w:r>
        <w:rPr>
          <w:rFonts w:asciiTheme="minorHAnsi" w:hAnsiTheme="minorHAnsi"/>
          <w:lang w:val="en-GB"/>
        </w:rPr>
        <w:t xml:space="preserve">in using digital technologies and </w:t>
      </w:r>
      <w:r w:rsidR="00EE6C5B">
        <w:rPr>
          <w:rFonts w:asciiTheme="minorHAnsi" w:hAnsiTheme="minorHAnsi"/>
          <w:lang w:val="en-GB"/>
        </w:rPr>
        <w:t xml:space="preserve">their impact </w:t>
      </w:r>
      <w:r>
        <w:rPr>
          <w:rFonts w:asciiTheme="minorHAnsi" w:hAnsiTheme="minorHAnsi"/>
          <w:lang w:val="en-GB"/>
        </w:rPr>
        <w:t>on the equal enjoyment of human rights in old age.</w:t>
      </w:r>
      <w:r w:rsidR="00EE6C5B">
        <w:rPr>
          <w:rFonts w:asciiTheme="minorHAnsi" w:hAnsiTheme="minorHAnsi"/>
          <w:lang w:val="en-GB"/>
        </w:rPr>
        <w:t xml:space="preserve"> Our input acknowledges</w:t>
      </w:r>
      <w:r w:rsidRPr="006F43A5">
        <w:rPr>
          <w:rFonts w:asciiTheme="minorHAnsi" w:hAnsiTheme="minorHAnsi"/>
          <w:lang w:val="en-GB"/>
        </w:rPr>
        <w:t xml:space="preserve"> the positive change new technologies can bring,</w:t>
      </w:r>
      <w:r w:rsidR="00EE6C5B">
        <w:rPr>
          <w:rFonts w:asciiTheme="minorHAnsi" w:hAnsiTheme="minorHAnsi"/>
          <w:lang w:val="en-GB"/>
        </w:rPr>
        <w:t xml:space="preserve"> but also highlights</w:t>
      </w:r>
      <w:r w:rsidR="00512287">
        <w:rPr>
          <w:rFonts w:asciiTheme="minorHAnsi" w:hAnsiTheme="minorHAnsi"/>
          <w:lang w:val="en-GB"/>
        </w:rPr>
        <w:t xml:space="preserve"> </w:t>
      </w:r>
      <w:r w:rsidRPr="00706E46">
        <w:rPr>
          <w:rFonts w:asciiTheme="minorHAnsi" w:hAnsiTheme="minorHAnsi"/>
          <w:lang w:val="en-US"/>
        </w:rPr>
        <w:t xml:space="preserve">the barriers created by </w:t>
      </w:r>
      <w:r w:rsidRPr="006F43A5">
        <w:rPr>
          <w:rFonts w:asciiTheme="minorHAnsi" w:hAnsiTheme="minorHAnsi"/>
          <w:lang w:val="en-GB"/>
        </w:rPr>
        <w:t>too rapid digitalisation and the impact it has on our autonomy, participation and dignity.</w:t>
      </w:r>
    </w:p>
    <w:bookmarkEnd w:id="0"/>
    <w:p w:rsidR="00222203" w:rsidRDefault="00222203" w14:paraId="7B477CBE" w14:textId="77777777">
      <w:pPr>
        <w:spacing w:after="0" w:line="276" w:lineRule="auto"/>
        <w:rPr>
          <w:rFonts w:ascii="Rubik Light" w:hAnsi="Rubik Light" w:eastAsiaTheme="majorEastAsia" w:cstheme="majorBidi"/>
          <w:color w:val="F08016"/>
          <w:sz w:val="36"/>
          <w:szCs w:val="26"/>
          <w:lang w:val="en-GB"/>
        </w:rPr>
      </w:pPr>
    </w:p>
    <w:p w:rsidR="00482198" w:rsidRDefault="009868C0" w14:paraId="0D1AB7BE" w14:textId="79DDF5B9">
      <w:pPr>
        <w:spacing w:after="0" w:line="276" w:lineRule="auto"/>
        <w:rPr>
          <w:rFonts w:ascii="Rubik Light" w:hAnsi="Rubik Light" w:eastAsiaTheme="majorEastAsia" w:cstheme="majorBidi"/>
          <w:color w:val="F08016"/>
          <w:sz w:val="36"/>
          <w:szCs w:val="26"/>
          <w:lang w:val="en-GB"/>
        </w:rPr>
      </w:pPr>
      <w:r w:rsidRPr="00482198">
        <w:rPr>
          <w:rFonts w:ascii="Rubik Light" w:hAnsi="Rubik Light" w:eastAsiaTheme="majorEastAsia" w:cstheme="majorBidi"/>
          <w:color w:val="F08016"/>
          <w:sz w:val="36"/>
          <w:szCs w:val="26"/>
          <w:lang w:val="en-GB"/>
        </w:rPr>
        <w:t xml:space="preserve">Governance, Access to Information and Privacy </w:t>
      </w:r>
    </w:p>
    <w:p w:rsidRPr="00DD2EA1" w:rsidR="00222203" w:rsidP="002D2AA4" w:rsidRDefault="009868C0" w14:paraId="35B84F60" w14:textId="19D7B33F">
      <w:pPr>
        <w:pStyle w:val="ListParagraph"/>
        <w:numPr>
          <w:ilvl w:val="0"/>
          <w:numId w:val="7"/>
        </w:numPr>
        <w:spacing w:after="0" w:line="276" w:lineRule="auto"/>
        <w:rPr>
          <w:rFonts w:asciiTheme="minorHAnsi" w:hAnsiTheme="minorHAnsi"/>
          <w:i/>
          <w:iCs/>
          <w:lang w:val="en-US"/>
        </w:rPr>
      </w:pPr>
      <w:r w:rsidRPr="00DD2EA1">
        <w:rPr>
          <w:rFonts w:asciiTheme="minorHAnsi" w:hAnsiTheme="minorHAnsi"/>
          <w:i/>
          <w:iCs/>
          <w:lang w:val="en-US"/>
        </w:rPr>
        <w:t>How are digital technologies currently used in your country/region for governance coordination, including in care and support system transformation efforts, and people-</w:t>
      </w:r>
      <w:proofErr w:type="spellStart"/>
      <w:r w:rsidRPr="00DD2EA1">
        <w:rPr>
          <w:rFonts w:asciiTheme="minorHAnsi" w:hAnsiTheme="minorHAnsi"/>
          <w:i/>
          <w:iCs/>
          <w:lang w:val="en-US"/>
        </w:rPr>
        <w:t>centred</w:t>
      </w:r>
      <w:proofErr w:type="spellEnd"/>
      <w:r w:rsidRPr="00DD2EA1">
        <w:rPr>
          <w:rFonts w:asciiTheme="minorHAnsi" w:hAnsiTheme="minorHAnsi"/>
          <w:i/>
          <w:iCs/>
          <w:lang w:val="en-US"/>
        </w:rPr>
        <w:t xml:space="preserve"> social protection services for persons with disabilities? </w:t>
      </w:r>
    </w:p>
    <w:p w:rsidRPr="00195399" w:rsidR="002D2AA4" w:rsidP="00195399" w:rsidRDefault="00B70847" w14:paraId="03FDD2C6" w14:textId="3A3F7241">
      <w:pPr>
        <w:spacing w:after="0" w:line="276" w:lineRule="auto"/>
        <w:rPr>
          <w:rFonts w:asciiTheme="minorHAnsi" w:hAnsiTheme="minorHAnsi"/>
          <w:lang w:val="en-US"/>
        </w:rPr>
      </w:pPr>
      <w:r w:rsidRPr="00195399">
        <w:rPr>
          <w:rFonts w:asciiTheme="minorHAnsi" w:hAnsiTheme="minorHAnsi"/>
          <w:lang w:val="en-US"/>
        </w:rPr>
        <w:t>Emerging technologies, such as assistive devices, built-in environmental applications, robotics and artificial intelligence (AI) hold a promise to enhance and improve older adults’ health, wellbeing as well as ageing in place</w:t>
      </w:r>
      <w:r w:rsidR="003D39D1">
        <w:rPr>
          <w:rStyle w:val="FootnoteReference"/>
          <w:rFonts w:asciiTheme="minorHAnsi" w:hAnsiTheme="minorHAnsi"/>
          <w:lang w:val="en-US"/>
        </w:rPr>
        <w:footnoteReference w:id="2"/>
      </w:r>
      <w:r w:rsidRPr="00195399">
        <w:rPr>
          <w:rFonts w:asciiTheme="minorHAnsi" w:hAnsiTheme="minorHAnsi"/>
          <w:lang w:val="en-US"/>
        </w:rPr>
        <w:t>. These types of solutions are considered as a cost-effective approach to facilitate independent living and improve quality of life of older persons whilst dealing with the increasing demand for care. Due to the shortages in care personnel and the persistent economic constraints faced by countries all over the world, such technologies are increasingly used for the care and support of older persons. For example, robots and assistive technologies can be used to help older people perform daily tasks including - but not limited to - bringing food or medication, feeding, lifting from beds/floor, cleaning the house, helping people to bathe or go to the toilet, and serving as a memory aid regarding daily schedule and uptake of medication. They can also monitor older people and summon help and/or intervene in case of emergency, for example they can detect smoke, water, gas emission, activity/inactivity and even falls. They can prevent safety hazards by automatically locking/unlocking doors and switching off kitchen appliances when left on without supervision</w:t>
      </w:r>
      <w:r w:rsidRPr="00195399" w:rsidR="000A2AB6">
        <w:rPr>
          <w:rFonts w:asciiTheme="minorHAnsi" w:hAnsiTheme="minorHAnsi"/>
          <w:lang w:val="en-US"/>
        </w:rPr>
        <w:t>.</w:t>
      </w:r>
    </w:p>
    <w:p w:rsidRPr="00195399" w:rsidR="000A2AB6" w:rsidP="00195399" w:rsidRDefault="00195399" w14:paraId="6EEE02D8" w14:textId="2639D079">
      <w:pPr>
        <w:spacing w:after="0" w:line="276" w:lineRule="auto"/>
        <w:rPr>
          <w:rFonts w:asciiTheme="minorHAnsi" w:hAnsiTheme="minorHAnsi"/>
          <w:lang w:val="en-US"/>
        </w:rPr>
      </w:pPr>
      <w:r>
        <w:rPr>
          <w:rFonts w:asciiTheme="minorHAnsi" w:hAnsiTheme="minorHAnsi"/>
          <w:lang w:val="en-US"/>
        </w:rPr>
        <w:t>I</w:t>
      </w:r>
      <w:r w:rsidRPr="00195399" w:rsidR="000A2AB6">
        <w:rPr>
          <w:rFonts w:asciiTheme="minorHAnsi" w:hAnsiTheme="minorHAnsi"/>
          <w:lang w:val="en-US"/>
        </w:rPr>
        <w:t xml:space="preserve">n addition, ‘telehealth’ applications are geared towards managing chronic conditions (such as heart and lung disease, diabetes, </w:t>
      </w:r>
      <w:proofErr w:type="spellStart"/>
      <w:r w:rsidRPr="00195399" w:rsidR="000A2AB6">
        <w:rPr>
          <w:rFonts w:asciiTheme="minorHAnsi" w:hAnsiTheme="minorHAnsi"/>
          <w:lang w:val="en-US"/>
        </w:rPr>
        <w:t>etc</w:t>
      </w:r>
      <w:proofErr w:type="spellEnd"/>
      <w:r w:rsidRPr="00195399" w:rsidR="000A2AB6">
        <w:rPr>
          <w:rFonts w:asciiTheme="minorHAnsi" w:hAnsiTheme="minorHAnsi"/>
          <w:lang w:val="en-US"/>
        </w:rPr>
        <w:t xml:space="preserve">), through monitoring vital signs and symptoms </w:t>
      </w:r>
      <w:proofErr w:type="gramStart"/>
      <w:r w:rsidRPr="00195399" w:rsidR="000A2AB6">
        <w:rPr>
          <w:rFonts w:asciiTheme="minorHAnsi" w:hAnsiTheme="minorHAnsi"/>
          <w:lang w:val="en-US"/>
        </w:rPr>
        <w:t>in order to</w:t>
      </w:r>
      <w:proofErr w:type="gramEnd"/>
      <w:r w:rsidRPr="00195399" w:rsidR="000A2AB6">
        <w:rPr>
          <w:rFonts w:asciiTheme="minorHAnsi" w:hAnsiTheme="minorHAnsi"/>
          <w:lang w:val="en-US"/>
        </w:rPr>
        <w:t xml:space="preserve"> avoid </w:t>
      </w:r>
      <w:proofErr w:type="spellStart"/>
      <w:r w:rsidRPr="00195399" w:rsidR="000A2AB6">
        <w:rPr>
          <w:rFonts w:asciiTheme="minorHAnsi" w:hAnsiTheme="minorHAnsi"/>
          <w:lang w:val="en-US"/>
        </w:rPr>
        <w:t>hospitalisation</w:t>
      </w:r>
      <w:proofErr w:type="spellEnd"/>
      <w:r w:rsidRPr="00195399" w:rsidR="000A2AB6">
        <w:rPr>
          <w:rFonts w:asciiTheme="minorHAnsi" w:hAnsiTheme="minorHAnsi"/>
          <w:lang w:val="en-US"/>
        </w:rPr>
        <w:t xml:space="preserve"> and facilitate early intervention</w:t>
      </w:r>
      <w:r w:rsidR="006248DC">
        <w:rPr>
          <w:rStyle w:val="FootnoteReference"/>
          <w:rFonts w:asciiTheme="minorHAnsi" w:hAnsiTheme="minorHAnsi"/>
          <w:lang w:val="en-US"/>
        </w:rPr>
        <w:footnoteReference w:id="3"/>
      </w:r>
      <w:r w:rsidRPr="00195399" w:rsidR="000A2AB6">
        <w:rPr>
          <w:rFonts w:asciiTheme="minorHAnsi" w:hAnsiTheme="minorHAnsi"/>
          <w:lang w:val="en-US"/>
        </w:rPr>
        <w:t xml:space="preserve">. </w:t>
      </w:r>
      <w:r w:rsidRPr="00195399" w:rsidR="000A2AB6">
        <w:rPr>
          <w:rFonts w:asciiTheme="minorHAnsi" w:hAnsiTheme="minorHAnsi"/>
          <w:lang w:val="en-US"/>
        </w:rPr>
        <w:t>Emerging technologies also include medical robots, ICT, virtual reality and artificial intelligence used in diagnosis, surgery.</w:t>
      </w:r>
      <w:r w:rsidRPr="00195399">
        <w:rPr>
          <w:lang w:val="en-US"/>
        </w:rPr>
        <w:t xml:space="preserve"> </w:t>
      </w:r>
      <w:r w:rsidRPr="00195399">
        <w:rPr>
          <w:rFonts w:asciiTheme="minorHAnsi" w:hAnsiTheme="minorHAnsi"/>
          <w:lang w:val="en-US"/>
        </w:rPr>
        <w:t>rehabilitation (ex. serious gaming for brain recovery or Parkinsons disease</w:t>
      </w:r>
      <w:r w:rsidR="006248DC">
        <w:rPr>
          <w:rStyle w:val="FootnoteReference"/>
          <w:rFonts w:asciiTheme="minorHAnsi" w:hAnsiTheme="minorHAnsi"/>
          <w:lang w:val="en-US"/>
        </w:rPr>
        <w:footnoteReference w:id="4"/>
      </w:r>
      <w:r w:rsidRPr="00195399">
        <w:rPr>
          <w:rFonts w:asciiTheme="minorHAnsi" w:hAnsiTheme="minorHAnsi"/>
          <w:lang w:val="en-US"/>
        </w:rPr>
        <w:t>) and prosthetics (ex. Exoskeletons). Companion robots have been used in various settings</w:t>
      </w:r>
      <w:r w:rsidR="00512287">
        <w:rPr>
          <w:rFonts w:asciiTheme="minorHAnsi" w:hAnsiTheme="minorHAnsi"/>
          <w:lang w:val="en-US"/>
        </w:rPr>
        <w:t xml:space="preserve"> </w:t>
      </w:r>
      <w:r w:rsidRPr="00195399">
        <w:rPr>
          <w:rFonts w:asciiTheme="minorHAnsi" w:hAnsiTheme="minorHAnsi"/>
          <w:lang w:val="en-US"/>
        </w:rPr>
        <w:t>to improve the user’s health and psychological well-being</w:t>
      </w:r>
      <w:r w:rsidR="006248DC">
        <w:rPr>
          <w:rStyle w:val="FootnoteReference"/>
          <w:rFonts w:asciiTheme="minorHAnsi" w:hAnsiTheme="minorHAnsi"/>
          <w:lang w:val="en-US"/>
        </w:rPr>
        <w:footnoteReference w:id="5"/>
      </w:r>
      <w:r w:rsidRPr="00195399">
        <w:rPr>
          <w:rFonts w:asciiTheme="minorHAnsi" w:hAnsiTheme="minorHAnsi"/>
          <w:lang w:val="en-US"/>
        </w:rPr>
        <w:t xml:space="preserve">. There are also several technologies that aim to maintain or improve older people’s cognitive and functional status by offering mental or physical trainings and monitoring the progress of </w:t>
      </w:r>
      <w:proofErr w:type="gramStart"/>
      <w:r w:rsidRPr="00195399">
        <w:rPr>
          <w:rFonts w:asciiTheme="minorHAnsi" w:hAnsiTheme="minorHAnsi"/>
          <w:lang w:val="en-US"/>
        </w:rPr>
        <w:t>each individual</w:t>
      </w:r>
      <w:proofErr w:type="gramEnd"/>
      <w:r w:rsidR="006248DC">
        <w:rPr>
          <w:rStyle w:val="FootnoteReference"/>
          <w:rFonts w:asciiTheme="minorHAnsi" w:hAnsiTheme="minorHAnsi"/>
          <w:lang w:val="en-US"/>
        </w:rPr>
        <w:footnoteReference w:id="6"/>
      </w:r>
      <w:r w:rsidRPr="00195399">
        <w:rPr>
          <w:rFonts w:asciiTheme="minorHAnsi" w:hAnsiTheme="minorHAnsi"/>
          <w:lang w:val="en-US"/>
        </w:rPr>
        <w:t>. Emerging technologies can also enable equality in participation in all everyday life domains by compensating for impairments and health related challenges with daily activities</w:t>
      </w:r>
      <w:r w:rsidR="006248DC">
        <w:rPr>
          <w:rStyle w:val="FootnoteReference"/>
          <w:rFonts w:asciiTheme="minorHAnsi" w:hAnsiTheme="minorHAnsi"/>
          <w:lang w:val="en-US"/>
        </w:rPr>
        <w:footnoteReference w:id="7"/>
      </w:r>
      <w:r w:rsidRPr="00195399">
        <w:rPr>
          <w:rFonts w:asciiTheme="minorHAnsi" w:hAnsiTheme="minorHAnsi"/>
          <w:lang w:val="en-US"/>
        </w:rPr>
        <w:t>. They can help prevent isolation and social exclusion</w:t>
      </w:r>
      <w:r w:rsidR="006248DC">
        <w:rPr>
          <w:rStyle w:val="FootnoteReference"/>
          <w:rFonts w:asciiTheme="minorHAnsi" w:hAnsiTheme="minorHAnsi"/>
          <w:lang w:val="en-US"/>
        </w:rPr>
        <w:footnoteReference w:id="8"/>
      </w:r>
      <w:r w:rsidRPr="00195399">
        <w:rPr>
          <w:rFonts w:asciiTheme="minorHAnsi" w:hAnsiTheme="minorHAnsi"/>
          <w:lang w:val="en-US"/>
        </w:rPr>
        <w:t>. For example, remote telepresence robots (which combine video conferencing with mobile robots</w:t>
      </w:r>
      <w:proofErr w:type="gramStart"/>
      <w:r w:rsidRPr="00195399">
        <w:rPr>
          <w:rFonts w:asciiTheme="minorHAnsi" w:hAnsiTheme="minorHAnsi"/>
          <w:lang w:val="en-US"/>
        </w:rPr>
        <w:t>)</w:t>
      </w:r>
      <w:proofErr w:type="gramEnd"/>
      <w:r w:rsidRPr="00195399">
        <w:rPr>
          <w:rFonts w:asciiTheme="minorHAnsi" w:hAnsiTheme="minorHAnsi"/>
          <w:lang w:val="en-US"/>
        </w:rPr>
        <w:t xml:space="preserve"> and companion-type robots are increasingly used as ways to enhance social interaction especially for older people living alone and those living in remote/rural areas</w:t>
      </w:r>
      <w:r w:rsidR="006248DC">
        <w:rPr>
          <w:rStyle w:val="FootnoteReference"/>
          <w:rFonts w:asciiTheme="minorHAnsi" w:hAnsiTheme="minorHAnsi"/>
          <w:lang w:val="en-US"/>
        </w:rPr>
        <w:footnoteReference w:id="9"/>
      </w:r>
      <w:r w:rsidRPr="00195399">
        <w:rPr>
          <w:rFonts w:asciiTheme="minorHAnsi" w:hAnsiTheme="minorHAnsi"/>
          <w:lang w:val="en-US"/>
        </w:rPr>
        <w:t xml:space="preserve">. Assistive devices may moreover offer </w:t>
      </w:r>
      <w:proofErr w:type="spellStart"/>
      <w:r w:rsidRPr="00195399">
        <w:rPr>
          <w:rFonts w:asciiTheme="minorHAnsi" w:hAnsiTheme="minorHAnsi"/>
          <w:lang w:val="en-US"/>
        </w:rPr>
        <w:t>personalised</w:t>
      </w:r>
      <w:proofErr w:type="spellEnd"/>
      <w:r w:rsidRPr="00195399">
        <w:rPr>
          <w:rFonts w:asciiTheme="minorHAnsi" w:hAnsiTheme="minorHAnsi"/>
          <w:lang w:val="en-US"/>
        </w:rPr>
        <w:t xml:space="preserve"> alternative communication solutions, minimize any linguistic or cultural barriers and even help people build communication skills</w:t>
      </w:r>
      <w:r w:rsidR="006248DC">
        <w:rPr>
          <w:rStyle w:val="FootnoteReference"/>
          <w:rFonts w:asciiTheme="minorHAnsi" w:hAnsiTheme="minorHAnsi"/>
          <w:lang w:val="en-US"/>
        </w:rPr>
        <w:footnoteReference w:id="10"/>
      </w:r>
      <w:r w:rsidRPr="00195399">
        <w:rPr>
          <w:rFonts w:asciiTheme="minorHAnsi" w:hAnsiTheme="minorHAnsi"/>
          <w:lang w:val="en-US"/>
        </w:rPr>
        <w:t>. Autonomous cars could help older people who are not able to drive - due to physical or cognitive weakness or due to age limits for the renewal of driving licenses – avoid isolation and facilitate participation in public and social life.</w:t>
      </w:r>
    </w:p>
    <w:p w:rsidRPr="00195399" w:rsidR="00195399" w:rsidP="00D04E01" w:rsidRDefault="00195399" w14:paraId="5F884888" w14:textId="77777777">
      <w:pPr>
        <w:pStyle w:val="ListParagraph"/>
        <w:spacing w:after="0" w:line="276" w:lineRule="auto"/>
        <w:rPr>
          <w:rFonts w:asciiTheme="minorHAnsi" w:hAnsiTheme="minorHAnsi"/>
          <w:lang w:val="en-US"/>
        </w:rPr>
      </w:pPr>
    </w:p>
    <w:p w:rsidRPr="00DD2EA1" w:rsidR="00A37CAC" w:rsidP="00D72430" w:rsidRDefault="009868C0" w14:paraId="39A2BE3F" w14:textId="77777777">
      <w:pPr>
        <w:pStyle w:val="ListParagraph"/>
        <w:numPr>
          <w:ilvl w:val="0"/>
          <w:numId w:val="7"/>
        </w:numPr>
        <w:spacing w:after="0" w:line="276" w:lineRule="auto"/>
        <w:rPr>
          <w:rFonts w:asciiTheme="minorHAnsi" w:hAnsiTheme="minorHAnsi"/>
          <w:i/>
          <w:iCs/>
          <w:lang w:val="en-US"/>
        </w:rPr>
      </w:pPr>
      <w:r w:rsidRPr="00DD2EA1">
        <w:rPr>
          <w:rFonts w:asciiTheme="minorHAnsi" w:hAnsiTheme="minorHAnsi"/>
          <w:i/>
          <w:iCs/>
          <w:lang w:val="en-US"/>
        </w:rPr>
        <w:t>What are the main challenges and successes in using digital technologies to facilitate access to information, social protection, and other essential services for persons with disabilities (e.g. human support - personal assistance, sign interpretation -, transport, assistive technologies, housing and deinstitutionalization services)?</w:t>
      </w:r>
    </w:p>
    <w:p w:rsidRPr="00A37CAC" w:rsidR="00CF73CF" w:rsidP="00A37CAC" w:rsidRDefault="009868C0" w14:paraId="6B4AE843" w14:textId="4A730565">
      <w:pPr>
        <w:spacing w:after="0" w:line="276" w:lineRule="auto"/>
        <w:rPr>
          <w:rFonts w:asciiTheme="minorHAnsi" w:hAnsiTheme="minorHAnsi"/>
          <w:lang w:val="en-US"/>
        </w:rPr>
      </w:pPr>
      <w:r w:rsidRPr="00A37CAC">
        <w:rPr>
          <w:rFonts w:asciiTheme="minorHAnsi" w:hAnsiTheme="minorHAnsi"/>
          <w:lang w:val="en-US"/>
        </w:rPr>
        <w:t xml:space="preserve"> </w:t>
      </w:r>
    </w:p>
    <w:p w:rsidRPr="00DD2EA1" w:rsidR="00A37CAC" w:rsidP="00A37CAC" w:rsidRDefault="00A37CAC" w14:paraId="09EA5323" w14:textId="77777777">
      <w:pPr>
        <w:spacing w:after="0" w:line="276" w:lineRule="auto"/>
        <w:rPr>
          <w:rFonts w:asciiTheme="minorHAnsi" w:hAnsiTheme="minorHAnsi"/>
          <w:b/>
          <w:bCs/>
          <w:color w:val="6DC8E4" w:themeColor="accent3"/>
          <w:lang w:val="en-US"/>
        </w:rPr>
      </w:pPr>
      <w:r w:rsidRPr="00DD2EA1">
        <w:rPr>
          <w:rFonts w:asciiTheme="minorHAnsi" w:hAnsiTheme="minorHAnsi"/>
          <w:b/>
          <w:bCs/>
          <w:color w:val="6DC8E4" w:themeColor="accent3"/>
          <w:lang w:val="en-US"/>
        </w:rPr>
        <w:t>Ageism</w:t>
      </w:r>
    </w:p>
    <w:p w:rsidRPr="00A37CAC" w:rsidR="00A37CAC" w:rsidP="00A37CAC" w:rsidRDefault="00A37CAC" w14:paraId="02286020" w14:textId="6E1B9695">
      <w:pPr>
        <w:spacing w:after="0" w:line="276" w:lineRule="auto"/>
        <w:rPr>
          <w:lang w:val="en-US"/>
        </w:rPr>
      </w:pPr>
      <w:r>
        <w:rPr>
          <w:rStyle w:val="Strong"/>
          <w:rFonts w:cstheme="minorHAnsi"/>
          <w:b w:val="0"/>
          <w:bCs w:val="0"/>
          <w:szCs w:val="24"/>
          <w:lang w:val="en-GB"/>
        </w:rPr>
        <w:t>Ageism</w:t>
      </w:r>
      <w:r w:rsidRPr="00A37CAC">
        <w:rPr>
          <w:rStyle w:val="Strong"/>
          <w:rFonts w:cstheme="minorHAnsi"/>
          <w:b w:val="0"/>
          <w:bCs w:val="0"/>
          <w:szCs w:val="24"/>
          <w:lang w:val="en-GB"/>
        </w:rPr>
        <w:t xml:space="preserve"> affects people throughout their lives and pervades many institutions and sectors in our society</w:t>
      </w:r>
      <w:r>
        <w:rPr>
          <w:rStyle w:val="FootnoteReference"/>
          <w:rFonts w:cstheme="minorHAnsi"/>
          <w:szCs w:val="24"/>
          <w:lang w:val="en-GB"/>
        </w:rPr>
        <w:footnoteReference w:id="11"/>
      </w:r>
      <w:r w:rsidRPr="00A37CAC">
        <w:rPr>
          <w:rStyle w:val="Strong"/>
          <w:rFonts w:cstheme="minorHAnsi"/>
          <w:b w:val="0"/>
          <w:bCs w:val="0"/>
          <w:szCs w:val="24"/>
          <w:lang w:val="en-GB"/>
        </w:rPr>
        <w:t>.</w:t>
      </w:r>
      <w:r w:rsidR="00E93CE7">
        <w:rPr>
          <w:rStyle w:val="Strong"/>
          <w:rFonts w:cstheme="minorHAnsi"/>
          <w:b w:val="0"/>
          <w:bCs w:val="0"/>
          <w:szCs w:val="24"/>
          <w:lang w:val="en-GB"/>
        </w:rPr>
        <w:t>R</w:t>
      </w:r>
      <w:r w:rsidRPr="00A37CAC">
        <w:rPr>
          <w:rStyle w:val="Strong"/>
          <w:rFonts w:cstheme="minorHAnsi"/>
          <w:b w:val="0"/>
          <w:bCs w:val="0"/>
          <w:szCs w:val="24"/>
          <w:lang w:val="en-GB"/>
        </w:rPr>
        <w:t>ecent research suggests that a possible barrier</w:t>
      </w:r>
      <w:r w:rsidR="00E93CE7">
        <w:rPr>
          <w:rStyle w:val="Strong"/>
          <w:rFonts w:cstheme="minorHAnsi"/>
          <w:b w:val="0"/>
          <w:bCs w:val="0"/>
          <w:szCs w:val="24"/>
          <w:lang w:val="en-GB"/>
        </w:rPr>
        <w:t xml:space="preserve"> to accessing digital technology</w:t>
      </w:r>
      <w:r w:rsidRPr="00A37CAC">
        <w:rPr>
          <w:rStyle w:val="Strong"/>
          <w:rFonts w:cstheme="minorHAnsi"/>
          <w:b w:val="0"/>
          <w:bCs w:val="0"/>
          <w:szCs w:val="24"/>
          <w:lang w:val="en-GB"/>
        </w:rPr>
        <w:t xml:space="preserve"> is ageism: stereotypes associated with old age and new </w:t>
      </w:r>
      <w:r w:rsidRPr="00A37CAC">
        <w:rPr>
          <w:rStyle w:val="Strong"/>
          <w:rFonts w:cstheme="minorHAnsi"/>
          <w:b w:val="0"/>
          <w:bCs w:val="0"/>
          <w:szCs w:val="24"/>
          <w:lang w:val="en-GB"/>
        </w:rPr>
        <w:t>technologies tend to infuse the whole chain: from the conceptualisation and design to the use of digital technologies by older people</w:t>
      </w:r>
      <w:r>
        <w:rPr>
          <w:rStyle w:val="FootnoteReference"/>
          <w:rFonts w:cstheme="minorHAnsi"/>
          <w:szCs w:val="24"/>
          <w:lang w:val="en-GB"/>
        </w:rPr>
        <w:footnoteReference w:id="12"/>
      </w:r>
      <w:r w:rsidRPr="00A37CAC">
        <w:rPr>
          <w:rStyle w:val="Strong"/>
          <w:rFonts w:cstheme="minorHAnsi"/>
          <w:b w:val="0"/>
          <w:bCs w:val="0"/>
          <w:szCs w:val="24"/>
          <w:lang w:val="en-GB"/>
        </w:rPr>
        <w:t xml:space="preserve">. </w:t>
      </w:r>
    </w:p>
    <w:p w:rsidRPr="00A37CAC" w:rsidR="00A37CAC" w:rsidP="00A37CAC" w:rsidRDefault="00A37CAC" w14:paraId="61FC4A92" w14:textId="77777777">
      <w:pPr>
        <w:spacing w:after="0" w:line="276" w:lineRule="auto"/>
        <w:rPr>
          <w:lang w:val="en-US"/>
        </w:rPr>
      </w:pPr>
      <w:r w:rsidRPr="00A37CAC">
        <w:rPr>
          <w:rStyle w:val="Strong"/>
          <w:rFonts w:cstheme="minorHAnsi"/>
          <w:b w:val="0"/>
          <w:bCs w:val="0"/>
          <w:szCs w:val="24"/>
          <w:lang w:val="en-GB"/>
        </w:rPr>
        <w:t>There are concrete consequences of this ageist approach of digital technologies:</w:t>
      </w:r>
    </w:p>
    <w:p w:rsidRPr="00A37CAC" w:rsidR="00A37CAC" w:rsidP="00A37CAC" w:rsidRDefault="00A37CAC" w14:paraId="26C59D8F" w14:textId="77777777">
      <w:pPr>
        <w:pStyle w:val="ListParagraph"/>
        <w:numPr>
          <w:ilvl w:val="0"/>
          <w:numId w:val="9"/>
        </w:numPr>
        <w:spacing w:after="0" w:line="276" w:lineRule="auto"/>
        <w:rPr>
          <w:lang w:val="en-US"/>
        </w:rPr>
      </w:pPr>
      <w:r w:rsidRPr="00A37CAC">
        <w:rPr>
          <w:rStyle w:val="Strong"/>
          <w:rFonts w:cstheme="minorHAnsi"/>
          <w:b w:val="0"/>
          <w:bCs w:val="0"/>
          <w:szCs w:val="24"/>
          <w:lang w:val="en-GB"/>
        </w:rPr>
        <w:t xml:space="preserve">- the media representation of older people (including social media and online media), </w:t>
      </w:r>
    </w:p>
    <w:p w:rsidRPr="00A37CAC" w:rsidR="00A37CAC" w:rsidP="00A37CAC" w:rsidRDefault="00A37CAC" w14:paraId="063A2B41" w14:textId="77777777">
      <w:pPr>
        <w:pStyle w:val="ListParagraph"/>
        <w:numPr>
          <w:ilvl w:val="0"/>
          <w:numId w:val="9"/>
        </w:numPr>
        <w:spacing w:after="0" w:line="276" w:lineRule="auto"/>
        <w:rPr>
          <w:lang w:val="en-US"/>
        </w:rPr>
      </w:pPr>
      <w:r w:rsidRPr="00A37CAC">
        <w:rPr>
          <w:rStyle w:val="Strong"/>
          <w:rFonts w:cstheme="minorHAnsi"/>
          <w:b w:val="0"/>
          <w:bCs w:val="0"/>
          <w:szCs w:val="24"/>
          <w:lang w:val="en-GB"/>
        </w:rPr>
        <w:t>- the over focus of the market on technologies for care and healthcare</w:t>
      </w:r>
      <w:r>
        <w:rPr>
          <w:rStyle w:val="FootnoteReference"/>
          <w:rFonts w:cstheme="minorHAnsi"/>
          <w:szCs w:val="24"/>
          <w:lang w:val="en-GB"/>
        </w:rPr>
        <w:footnoteReference w:id="13"/>
      </w:r>
      <w:r w:rsidRPr="00A37CAC">
        <w:rPr>
          <w:rStyle w:val="Strong"/>
          <w:rFonts w:cstheme="minorHAnsi"/>
          <w:b w:val="0"/>
          <w:bCs w:val="0"/>
          <w:szCs w:val="24"/>
          <w:lang w:val="en-GB"/>
        </w:rPr>
        <w:t>,</w:t>
      </w:r>
    </w:p>
    <w:p w:rsidRPr="00A37CAC" w:rsidR="00A37CAC" w:rsidP="00A37CAC" w:rsidRDefault="00A37CAC" w14:paraId="009A07DA" w14:textId="77777777">
      <w:pPr>
        <w:pStyle w:val="ListParagraph"/>
        <w:numPr>
          <w:ilvl w:val="0"/>
          <w:numId w:val="9"/>
        </w:numPr>
        <w:spacing w:after="0" w:line="276" w:lineRule="auto"/>
        <w:rPr>
          <w:lang w:val="en-US"/>
        </w:rPr>
      </w:pPr>
      <w:r w:rsidRPr="00A37CAC">
        <w:rPr>
          <w:rStyle w:val="Strong"/>
          <w:rFonts w:cstheme="minorHAnsi"/>
          <w:b w:val="0"/>
          <w:bCs w:val="0"/>
          <w:szCs w:val="24"/>
          <w:lang w:val="en-GB"/>
        </w:rPr>
        <w:t>- the way older people experience and adopt successfully (or not) digital technologies</w:t>
      </w:r>
      <w:r>
        <w:rPr>
          <w:rStyle w:val="FootnoteReference"/>
          <w:rFonts w:cstheme="minorHAnsi"/>
          <w:szCs w:val="24"/>
          <w:lang w:val="en-GB"/>
        </w:rPr>
        <w:footnoteReference w:id="14"/>
      </w:r>
      <w:r w:rsidRPr="00A37CAC">
        <w:rPr>
          <w:rStyle w:val="Strong"/>
          <w:rFonts w:cstheme="minorHAnsi"/>
          <w:b w:val="0"/>
          <w:bCs w:val="0"/>
          <w:szCs w:val="24"/>
          <w:lang w:val="en-GB"/>
        </w:rPr>
        <w:t>,</w:t>
      </w:r>
    </w:p>
    <w:p w:rsidRPr="00A37CAC" w:rsidR="00A37CAC" w:rsidP="00A37CAC" w:rsidRDefault="00A37CAC" w14:paraId="302BE241" w14:textId="77777777">
      <w:pPr>
        <w:pStyle w:val="ListParagraph"/>
        <w:numPr>
          <w:ilvl w:val="0"/>
          <w:numId w:val="9"/>
        </w:numPr>
        <w:spacing w:after="0" w:line="276" w:lineRule="auto"/>
        <w:rPr>
          <w:lang w:val="en-US"/>
        </w:rPr>
      </w:pPr>
      <w:r w:rsidRPr="00A37CAC">
        <w:rPr>
          <w:rStyle w:val="Strong"/>
          <w:rFonts w:cstheme="minorHAnsi"/>
          <w:b w:val="0"/>
          <w:bCs w:val="0"/>
          <w:szCs w:val="24"/>
          <w:lang w:val="en-GB"/>
        </w:rPr>
        <w:t>- the limited access to technology-based treatment or assistive technologies to older patients</w:t>
      </w:r>
      <w:r>
        <w:rPr>
          <w:rStyle w:val="FootnoteReference"/>
          <w:rFonts w:cstheme="minorHAnsi"/>
          <w:szCs w:val="24"/>
          <w:lang w:val="en-GB"/>
        </w:rPr>
        <w:footnoteReference w:id="15"/>
      </w:r>
      <w:r w:rsidRPr="00A37CAC">
        <w:rPr>
          <w:rStyle w:val="Strong"/>
          <w:rFonts w:cstheme="minorHAnsi"/>
          <w:b w:val="0"/>
          <w:bCs w:val="0"/>
          <w:szCs w:val="24"/>
          <w:lang w:val="en-GB"/>
        </w:rPr>
        <w:t xml:space="preserve">, </w:t>
      </w:r>
    </w:p>
    <w:p w:rsidRPr="00A37CAC" w:rsidR="00A37CAC" w:rsidP="00A37CAC" w:rsidRDefault="00A37CAC" w14:paraId="1E93A9F7" w14:textId="518F0C0C">
      <w:pPr>
        <w:pStyle w:val="ListParagraph"/>
        <w:numPr>
          <w:ilvl w:val="0"/>
          <w:numId w:val="9"/>
        </w:numPr>
        <w:spacing w:after="0" w:line="276" w:lineRule="auto"/>
        <w:rPr>
          <w:lang w:val="en-US"/>
        </w:rPr>
      </w:pPr>
      <w:r w:rsidRPr="00A37CAC">
        <w:rPr>
          <w:rStyle w:val="Strong"/>
          <w:rFonts w:cstheme="minorHAnsi"/>
          <w:b w:val="0"/>
          <w:bCs w:val="0"/>
          <w:szCs w:val="24"/>
          <w:lang w:val="en-GB"/>
        </w:rPr>
        <w:t>- the stereotypi</w:t>
      </w:r>
      <w:r w:rsidR="00232131">
        <w:rPr>
          <w:rStyle w:val="Strong"/>
          <w:rFonts w:cstheme="minorHAnsi"/>
          <w:b w:val="0"/>
          <w:bCs w:val="0"/>
          <w:szCs w:val="24"/>
          <w:lang w:val="en-GB"/>
        </w:rPr>
        <w:t>cal</w:t>
      </w:r>
      <w:r w:rsidRPr="00A37CAC">
        <w:rPr>
          <w:rStyle w:val="Strong"/>
          <w:rFonts w:cstheme="minorHAnsi"/>
          <w:b w:val="0"/>
          <w:bCs w:val="0"/>
          <w:szCs w:val="24"/>
          <w:lang w:val="en-GB"/>
        </w:rPr>
        <w:t xml:space="preserve"> design of digital technologies</w:t>
      </w:r>
      <w:r>
        <w:rPr>
          <w:rStyle w:val="FootnoteReference"/>
          <w:rFonts w:cstheme="minorHAnsi"/>
          <w:szCs w:val="24"/>
          <w:lang w:val="en-GB"/>
        </w:rPr>
        <w:footnoteReference w:id="16"/>
      </w:r>
      <w:r w:rsidRPr="00A37CAC">
        <w:rPr>
          <w:rStyle w:val="Strong"/>
          <w:rFonts w:cstheme="minorHAnsi"/>
          <w:b w:val="0"/>
          <w:bCs w:val="0"/>
          <w:szCs w:val="24"/>
          <w:lang w:val="en-GB"/>
        </w:rPr>
        <w:t>,</w:t>
      </w:r>
    </w:p>
    <w:p w:rsidRPr="00A37CAC" w:rsidR="00A37CAC" w:rsidP="00A37CAC" w:rsidRDefault="00A37CAC" w14:paraId="21EC1940" w14:textId="77777777">
      <w:pPr>
        <w:pStyle w:val="ListParagraph"/>
        <w:numPr>
          <w:ilvl w:val="0"/>
          <w:numId w:val="9"/>
        </w:numPr>
        <w:spacing w:after="0" w:line="276" w:lineRule="auto"/>
        <w:rPr>
          <w:lang w:val="en-US"/>
        </w:rPr>
      </w:pPr>
      <w:r w:rsidRPr="00A37CAC">
        <w:rPr>
          <w:rStyle w:val="Strong"/>
          <w:rFonts w:cstheme="minorHAnsi"/>
          <w:b w:val="0"/>
          <w:bCs w:val="0"/>
          <w:szCs w:val="24"/>
          <w:lang w:val="en-GB"/>
        </w:rPr>
        <w:t>- the bias of artificial intelligence based on stereotyped and/or partial data sets for learning patterns which does not reflect the diversity of older people</w:t>
      </w:r>
      <w:r>
        <w:rPr>
          <w:rStyle w:val="FootnoteReference"/>
          <w:rFonts w:cstheme="minorHAnsi"/>
          <w:i/>
          <w:iCs/>
          <w:szCs w:val="24"/>
          <w:lang w:val="en-GB"/>
        </w:rPr>
        <w:footnoteReference w:id="17"/>
      </w:r>
      <w:r w:rsidRPr="00A37CAC">
        <w:rPr>
          <w:rStyle w:val="Strong"/>
          <w:rFonts w:cstheme="minorHAnsi"/>
          <w:b w:val="0"/>
          <w:bCs w:val="0"/>
          <w:szCs w:val="24"/>
          <w:lang w:val="en-GB"/>
        </w:rPr>
        <w:t xml:space="preserve"> </w:t>
      </w:r>
      <w:r>
        <w:rPr>
          <w:rStyle w:val="FootnoteReference"/>
          <w:rFonts w:cstheme="minorHAnsi"/>
          <w:i/>
          <w:iCs/>
          <w:szCs w:val="24"/>
          <w:lang w:val="en-GB"/>
        </w:rPr>
        <w:footnoteReference w:id="18"/>
      </w:r>
      <w:r w:rsidRPr="00A37CAC">
        <w:rPr>
          <w:rStyle w:val="Strong"/>
          <w:rFonts w:cstheme="minorHAnsi"/>
          <w:b w:val="0"/>
          <w:bCs w:val="0"/>
          <w:szCs w:val="24"/>
          <w:lang w:val="en-GB"/>
        </w:rPr>
        <w:t>.</w:t>
      </w:r>
    </w:p>
    <w:p w:rsidRPr="00A37CAC" w:rsidR="00A37CAC" w:rsidP="00A37CAC" w:rsidRDefault="00A37CAC" w14:paraId="79916408" w14:textId="77777777">
      <w:pPr>
        <w:pStyle w:val="ListParagraph"/>
        <w:spacing w:after="0" w:line="276" w:lineRule="auto"/>
        <w:rPr>
          <w:lang w:val="en-US"/>
        </w:rPr>
      </w:pPr>
      <w:r w:rsidRPr="00A37CAC">
        <w:rPr>
          <w:rStyle w:val="Strong"/>
          <w:rFonts w:cstheme="minorHAnsi"/>
          <w:b w:val="0"/>
          <w:bCs w:val="0"/>
          <w:szCs w:val="24"/>
          <w:lang w:val="en-GB"/>
        </w:rPr>
        <w:t xml:space="preserve">The use of automated decision-making based on AI can have huge implications on </w:t>
      </w:r>
      <w:r w:rsidRPr="00A37CAC">
        <w:rPr>
          <w:rFonts w:cstheme="minorHAnsi"/>
          <w:szCs w:val="24"/>
          <w:lang w:val="en-GB"/>
        </w:rPr>
        <w:t>health insurance when companies calculate the individual risk and adapt costs</w:t>
      </w:r>
      <w:r>
        <w:rPr>
          <w:rStyle w:val="FootnoteReference"/>
          <w:rFonts w:cstheme="minorHAnsi"/>
          <w:szCs w:val="24"/>
          <w:lang w:val="en-GB"/>
        </w:rPr>
        <w:footnoteReference w:id="19"/>
      </w:r>
      <w:r w:rsidRPr="00A37CAC">
        <w:rPr>
          <w:rFonts w:cstheme="minorHAnsi"/>
          <w:szCs w:val="24"/>
          <w:lang w:val="en-GB"/>
        </w:rPr>
        <w:t>, for the assessment of mortgages or procedures for authorising insurance</w:t>
      </w:r>
      <w:r>
        <w:rPr>
          <w:rStyle w:val="FootnoteReference"/>
          <w:rFonts w:cstheme="minorHAnsi"/>
          <w:szCs w:val="24"/>
          <w:lang w:val="en-GB"/>
        </w:rPr>
        <w:footnoteReference w:id="20"/>
      </w:r>
    </w:p>
    <w:p w:rsidRPr="00232131" w:rsidR="00A37CAC" w:rsidP="00A37CAC" w:rsidRDefault="00A37CAC" w14:paraId="59B77CCE" w14:textId="77777777">
      <w:pPr>
        <w:pStyle w:val="ListParagraph"/>
        <w:numPr>
          <w:ilvl w:val="0"/>
          <w:numId w:val="9"/>
        </w:numPr>
        <w:spacing w:after="0" w:line="276" w:lineRule="auto"/>
        <w:rPr>
          <w:lang w:val="en-GB"/>
        </w:rPr>
      </w:pPr>
      <w:r w:rsidRPr="00A37CAC">
        <w:rPr>
          <w:rFonts w:cstheme="minorHAnsi"/>
          <w:i/>
          <w:iCs/>
          <w:szCs w:val="24"/>
          <w:lang w:val="en-GB"/>
        </w:rPr>
        <w:t xml:space="preserve">- </w:t>
      </w:r>
      <w:r w:rsidRPr="00A37CAC">
        <w:rPr>
          <w:rFonts w:cstheme="minorHAnsi"/>
          <w:szCs w:val="24"/>
          <w:lang w:val="en-GB"/>
        </w:rPr>
        <w:t>biometric technology (facial-, voice/speech-, fingerprint recognition) is not adapted to age-related physical changes and is not adequately trained to do so</w:t>
      </w:r>
      <w:r>
        <w:rPr>
          <w:rStyle w:val="FootnoteReference"/>
          <w:lang w:val="en-GB"/>
        </w:rPr>
        <w:footnoteReference w:id="21"/>
      </w:r>
      <w:r w:rsidRPr="00A37CAC">
        <w:rPr>
          <w:rFonts w:cstheme="minorHAnsi"/>
          <w:szCs w:val="24"/>
          <w:lang w:val="en-GB"/>
        </w:rPr>
        <w:t>.</w:t>
      </w:r>
    </w:p>
    <w:p w:rsidRPr="00232131" w:rsidR="00232131" w:rsidP="00232131" w:rsidRDefault="00E93CE7" w14:paraId="044815EE" w14:textId="0E1082FF">
      <w:pPr>
        <w:spacing w:after="0" w:line="276" w:lineRule="auto"/>
        <w:rPr>
          <w:lang w:val="en-US"/>
        </w:rPr>
      </w:pPr>
      <w:r>
        <w:rPr>
          <w:lang w:val="en-US"/>
        </w:rPr>
        <w:t>In addition, l</w:t>
      </w:r>
      <w:r w:rsidRPr="00232131" w:rsidR="00232131">
        <w:rPr>
          <w:lang w:val="en-US"/>
        </w:rPr>
        <w:t xml:space="preserve">ittle attention has been drawn to the potentially harmful internalization of negative stereotypes about older adults in the context of emerging technologies. Deeply rooted ageist assumptions, devaluing older individuals as technophobic, </w:t>
      </w:r>
      <w:r w:rsidRPr="00232131" w:rsidR="00232131">
        <w:rPr>
          <w:lang w:val="en-US"/>
        </w:rPr>
        <w:t xml:space="preserve">unwilling</w:t>
      </w:r>
      <w:r w:rsidRPr="00232131" w:rsidR="00232131">
        <w:rPr>
          <w:lang w:val="en-US"/>
        </w:rPr>
        <w:t xml:space="preserve"> and unable to use and learn to use </w:t>
      </w:r>
      <w:r w:rsidRPr="00232131" w:rsidR="00232131">
        <w:rPr>
          <w:lang w:val="en-US"/>
        </w:rPr>
        <w:t xml:space="preserve">new technology</w:t>
      </w:r>
      <w:r w:rsidRPr="00232131" w:rsidR="00232131">
        <w:rPr>
          <w:lang w:val="en-US"/>
        </w:rPr>
        <w:t xml:space="preserve"> may be detrimental, </w:t>
      </w:r>
      <w:r w:rsidRPr="00232131" w:rsidR="00232131">
        <w:rPr>
          <w:lang w:val="en-US"/>
        </w:rPr>
        <w:t>and along with other mentioned barriers, could be an alternative explanation for decreased participation in the emerging technological landscape</w:t>
      </w:r>
      <w:r w:rsidR="00232131">
        <w:rPr>
          <w:rStyle w:val="FootnoteReference"/>
          <w:lang w:val="en-US"/>
        </w:rPr>
        <w:footnoteReference w:id="22"/>
      </w:r>
      <w:r w:rsidRPr="00232131" w:rsidR="00232131">
        <w:rPr>
          <w:lang w:val="en-US"/>
        </w:rPr>
        <w:t xml:space="preserve"> .</w:t>
      </w:r>
      <w:r w:rsidRPr="00232131" w:rsidR="00232131">
        <w:rPr>
          <w:lang w:val="en-US"/>
        </w:rPr>
        <w:t xml:space="preserve"> </w:t>
      </w:r>
      <w:r w:rsidRPr="00232131">
        <w:rPr>
          <w:lang w:val="en-US"/>
        </w:rPr>
        <w:t>Additionally</w:t>
      </w:r>
      <w:r w:rsidRPr="00232131" w:rsidR="00232131">
        <w:rPr>
          <w:lang w:val="en-US"/>
        </w:rPr>
        <w:t>, technological solutions that target the old can be stigmatizing and thus impede their uptake</w:t>
      </w:r>
      <w:r w:rsidR="00232131">
        <w:rPr>
          <w:rStyle w:val="FootnoteReference"/>
          <w:lang w:val="en-US"/>
        </w:rPr>
        <w:footnoteReference w:id="23"/>
      </w:r>
      <w:r w:rsidRPr="00232131" w:rsidR="00232131">
        <w:rPr>
          <w:lang w:val="en-US"/>
        </w:rPr>
        <w:t xml:space="preserve">. Products targeting the so-called “silver economy” may deepen the </w:t>
      </w:r>
      <w:r w:rsidRPr="00232131" w:rsidR="00232131">
        <w:rPr>
          <w:lang w:val="en-US"/>
        </w:rPr>
        <w:t>stereotypisation</w:t>
      </w:r>
      <w:r w:rsidRPr="00232131" w:rsidR="00232131">
        <w:rPr>
          <w:lang w:val="en-US"/>
        </w:rPr>
        <w:t xml:space="preserve"> of older persons as incompetent to use technologies available to the </w:t>
      </w:r>
      <w:r w:rsidRPr="00232131" w:rsidR="00232131">
        <w:rPr>
          <w:lang w:val="en-US"/>
        </w:rPr>
        <w:t>general public</w:t>
      </w:r>
      <w:r w:rsidRPr="00232131" w:rsidR="00232131">
        <w:rPr>
          <w:lang w:val="en-US"/>
        </w:rPr>
        <w:t xml:space="preserve">. Assistive technology and robotics labelled ‘senior-friendly’ or perceived as relevant only for the older population also risk </w:t>
      </w:r>
      <w:r w:rsidRPr="00232131" w:rsidR="00232131">
        <w:rPr>
          <w:lang w:val="en-US"/>
        </w:rPr>
        <w:t>categorising</w:t>
      </w:r>
      <w:r w:rsidRPr="00232131" w:rsidR="00232131">
        <w:rPr>
          <w:lang w:val="en-US"/>
        </w:rPr>
        <w:t xml:space="preserve"> older people in relation to their poor health, reduced </w:t>
      </w:r>
      <w:r w:rsidRPr="00232131" w:rsidR="00232131">
        <w:rPr>
          <w:lang w:val="en-US"/>
        </w:rPr>
        <w:t xml:space="preserve">mobility</w:t>
      </w:r>
      <w:r w:rsidRPr="00232131" w:rsidR="00232131">
        <w:rPr>
          <w:lang w:val="en-US"/>
        </w:rPr>
        <w:t xml:space="preserve"> or increased need for care. Surveillance technologies, such as tagging bracelets impose a view of older persons as needing control and restraint</w:t>
      </w:r>
      <w:r w:rsidR="00232131">
        <w:rPr>
          <w:rStyle w:val="FootnoteReference"/>
          <w:lang w:val="en-US"/>
        </w:rPr>
        <w:footnoteReference w:id="24"/>
      </w:r>
      <w:r w:rsidRPr="00232131" w:rsidR="00232131">
        <w:rPr>
          <w:lang w:val="en-US"/>
        </w:rPr>
        <w:t xml:space="preserve"> . For example, wearing a personal alarm button has been described </w:t>
      </w:r>
      <w:r w:rsidRPr="00232131" w:rsidR="00232131">
        <w:rPr>
          <w:lang w:val="en-US"/>
        </w:rPr>
        <w:t>like</w:t>
      </w:r>
      <w:r w:rsidRPr="00232131" w:rsidR="00232131">
        <w:rPr>
          <w:lang w:val="en-US"/>
        </w:rPr>
        <w:t xml:space="preserve"> wearing a “badge of dishonor”</w:t>
      </w:r>
      <w:r w:rsidR="00232131">
        <w:rPr>
          <w:lang w:val="en-US"/>
        </w:rPr>
        <w:t>.</w:t>
      </w:r>
      <w:r w:rsidRPr="00232131" w:rsidR="00232131">
        <w:rPr>
          <w:lang w:val="en-US"/>
        </w:rPr>
        <w:t xml:space="preserve"> </w:t>
      </w:r>
      <w:r w:rsidR="00232131">
        <w:rPr>
          <w:rStyle w:val="FootnoteReference"/>
          <w:lang w:val="en-US"/>
        </w:rPr>
        <w:footnoteReference w:id="25"/>
      </w:r>
    </w:p>
    <w:p w:rsidRPr="00A37CAC" w:rsidR="00A37CAC" w:rsidP="00A37CAC" w:rsidRDefault="00A37CAC" w14:paraId="445DCD7E" w14:textId="77777777">
      <w:pPr>
        <w:pStyle w:val="ListParagraph"/>
        <w:numPr>
          <w:ilvl w:val="0"/>
          <w:numId w:val="9"/>
        </w:numPr>
        <w:spacing w:after="0" w:line="276" w:lineRule="auto"/>
        <w:rPr>
          <w:lang w:val="en-GB"/>
        </w:rPr>
      </w:pPr>
    </w:p>
    <w:p w:rsidRPr="00DD2EA1" w:rsidR="00A37CAC" w:rsidP="00A37CAC" w:rsidRDefault="00A37CAC" w14:paraId="517C2AD0" w14:textId="00868BDF">
      <w:pPr>
        <w:spacing w:after="0" w:line="276" w:lineRule="auto"/>
        <w:rPr>
          <w:rFonts w:asciiTheme="minorHAnsi" w:hAnsiTheme="minorHAnsi"/>
          <w:b/>
          <w:bCs/>
          <w:color w:val="6DC8E4" w:themeColor="accent3"/>
          <w:lang w:val="en-US"/>
        </w:rPr>
      </w:pPr>
      <w:r w:rsidRPr="00DD2EA1">
        <w:rPr>
          <w:rFonts w:asciiTheme="minorHAnsi" w:hAnsiTheme="minorHAnsi"/>
          <w:b/>
          <w:bCs/>
          <w:color w:val="6DC8E4" w:themeColor="accent3"/>
          <w:lang w:val="en-US"/>
        </w:rPr>
        <w:t>Accessibility</w:t>
      </w:r>
    </w:p>
    <w:p w:rsidRPr="00EB212A" w:rsidR="00A37CAC" w:rsidP="00EB212A" w:rsidRDefault="00A37CAC" w14:paraId="03DFBFCD" w14:textId="248E4AFF">
      <w:pPr>
        <w:pStyle w:val="NormalWeb"/>
        <w:shd w:val="clear" w:color="auto" w:fill="FFFFFF"/>
        <w:spacing w:beforeAutospacing="0" w:after="0" w:afterAutospacing="0" w:line="276" w:lineRule="auto"/>
        <w:jc w:val="both"/>
        <w:rPr>
          <w:rFonts w:asciiTheme="minorHAnsi" w:hAnsiTheme="minorHAnsi" w:cstheme="minorHAnsi"/>
        </w:rPr>
      </w:pPr>
      <w:r>
        <w:rPr>
          <w:rFonts w:asciiTheme="minorHAnsi" w:hAnsiTheme="minorHAnsi" w:cstheme="minorHAnsi"/>
        </w:rPr>
        <w:t>Accessibility is critical to ensure autonomy and participation: it covers both accessibility to infrastructure and facilities as well as accessibility to information, communication and other services for any type of impairments, including cognitive disabilities</w:t>
      </w:r>
      <w:r>
        <w:rPr>
          <w:rStyle w:val="FootnoteReference"/>
          <w:rFonts w:asciiTheme="minorHAnsi" w:hAnsiTheme="minorHAnsi" w:cstheme="minorHAnsi"/>
        </w:rPr>
        <w:footnoteReference w:id="26"/>
      </w:r>
      <w:r>
        <w:rPr>
          <w:rFonts w:asciiTheme="minorHAnsi" w:hAnsiTheme="minorHAnsi" w:cstheme="minorHAnsi"/>
        </w:rPr>
        <w:t xml:space="preserve">. </w:t>
      </w:r>
      <w:r w:rsidRPr="00EB212A">
        <w:rPr>
          <w:rFonts w:asciiTheme="minorHAnsi" w:hAnsiTheme="minorHAnsi" w:cstheme="minorHAnsi"/>
        </w:rPr>
        <w:t>It is also critical to have a comprehensive approach to accessibility by considering other dimensions, in particular availability and affordability.</w:t>
      </w:r>
      <w:r>
        <w:rPr>
          <w:rFonts w:cstheme="minorHAnsi"/>
        </w:rPr>
        <w:t xml:space="preserve"> </w:t>
      </w:r>
    </w:p>
    <w:p w:rsidR="00A37CAC" w:rsidP="00A37CAC" w:rsidRDefault="00A37CAC" w14:paraId="39CDD398" w14:textId="77777777">
      <w:pPr>
        <w:spacing w:after="0" w:line="276" w:lineRule="auto"/>
        <w:jc w:val="both"/>
        <w:outlineLvl w:val="9"/>
        <w:rPr>
          <w:lang w:val="en-GB"/>
        </w:rPr>
      </w:pPr>
      <w:r>
        <w:rPr>
          <w:rFonts w:cstheme="minorHAnsi"/>
          <w:szCs w:val="24"/>
          <w:lang w:val="en-GB"/>
        </w:rPr>
        <w:t>Availability of internet for example is still an issue in some rural and remote areas (bearing in mind that the proportion of older people in these areas is high), putting users at risk while essential services are increasingly digitalised.</w:t>
      </w:r>
    </w:p>
    <w:p w:rsidR="00A37CAC" w:rsidP="00A37CAC" w:rsidRDefault="00A37CAC" w14:paraId="03A48AEC" w14:textId="6A70A246">
      <w:pPr>
        <w:spacing w:after="0" w:line="276" w:lineRule="auto"/>
        <w:jc w:val="both"/>
        <w:outlineLvl w:val="9"/>
        <w:rPr>
          <w:lang w:val="en-US"/>
        </w:rPr>
      </w:pPr>
      <w:r>
        <w:rPr>
          <w:rFonts w:cstheme="minorHAnsi"/>
          <w:szCs w:val="24"/>
          <w:lang w:val="en-GB"/>
        </w:rPr>
        <w:t>Regarding affordability, lots of users are facing difficulties affording either an internet subscription or recent equipment to use key applications</w:t>
      </w:r>
      <w:r>
        <w:rPr>
          <w:rStyle w:val="FootnoteReference"/>
          <w:rFonts w:cstheme="minorHAnsi"/>
          <w:szCs w:val="24"/>
          <w:lang w:val="en-GB"/>
        </w:rPr>
        <w:footnoteReference w:id="27"/>
      </w:r>
      <w:r>
        <w:rPr>
          <w:rFonts w:cstheme="minorHAnsi"/>
          <w:szCs w:val="24"/>
          <w:lang w:val="en-GB"/>
        </w:rPr>
        <w:t xml:space="preserve">. There is even a double penalty imposed on them: in many cases, they face additional costs for not using digital solutions or may even be fined because invoices or key statements are now sent only electronically.  </w:t>
      </w:r>
      <w:r w:rsidR="00232131">
        <w:rPr>
          <w:rFonts w:cstheme="minorHAnsi"/>
          <w:szCs w:val="24"/>
          <w:lang w:val="en-GB"/>
        </w:rPr>
        <w:t xml:space="preserve">Other related costs include </w:t>
      </w:r>
      <w:r w:rsidRPr="00232131" w:rsidR="00232131">
        <w:rPr>
          <w:lang w:val="en-US"/>
        </w:rPr>
        <w:t>the maintenance of technolog</w:t>
      </w:r>
      <w:r w:rsidR="00232131">
        <w:rPr>
          <w:lang w:val="en-US"/>
        </w:rPr>
        <w:t>ical equipment</w:t>
      </w:r>
      <w:r w:rsidRPr="00232131" w:rsidR="00232131">
        <w:rPr>
          <w:lang w:val="en-US"/>
        </w:rPr>
        <w:t>, but also electricity</w:t>
      </w:r>
      <w:r w:rsidR="00232131">
        <w:rPr>
          <w:lang w:val="en-US"/>
        </w:rPr>
        <w:t xml:space="preserve"> </w:t>
      </w:r>
      <w:r w:rsidRPr="00232131" w:rsidR="00232131">
        <w:rPr>
          <w:lang w:val="en-US"/>
        </w:rPr>
        <w:t>and technical assistance</w:t>
      </w:r>
      <w:r w:rsidR="00232131">
        <w:rPr>
          <w:lang w:val="en-US"/>
        </w:rPr>
        <w:t>.</w:t>
      </w:r>
    </w:p>
    <w:p w:rsidRPr="00EB212A" w:rsidR="00EB212A" w:rsidP="00A37CAC" w:rsidRDefault="00EB212A" w14:paraId="75DDDF80" w14:textId="2A7E2F21">
      <w:pPr>
        <w:spacing w:after="0" w:line="276" w:lineRule="auto"/>
        <w:jc w:val="both"/>
        <w:outlineLvl w:val="9"/>
        <w:rPr>
          <w:lang w:val="en-US"/>
        </w:rPr>
      </w:pPr>
      <w:r w:rsidRPr="00EB212A">
        <w:rPr>
          <w:lang w:val="en-US"/>
        </w:rPr>
        <w:t xml:space="preserve">To mitigate the risk of inequality in access to new and emerging technologies lifelong learning including tailored trainings in digital literacy can enhance digital technology </w:t>
      </w:r>
      <w:r w:rsidRPr="00EB212A">
        <w:rPr>
          <w:lang w:val="en-US"/>
        </w:rPr>
        <w:t>adoption and promote equal participation</w:t>
      </w:r>
      <w:r>
        <w:rPr>
          <w:rStyle w:val="FootnoteReference"/>
          <w:lang w:val="en-US"/>
        </w:rPr>
        <w:footnoteReference w:id="28"/>
      </w:r>
      <w:r w:rsidRPr="00EB212A">
        <w:rPr>
          <w:lang w:val="en-US"/>
        </w:rPr>
        <w:t xml:space="preserve"> . Targeted training for older persons may be needed to address the digital divide</w:t>
      </w:r>
      <w:r w:rsidRPr="00EB212A">
        <w:rPr>
          <w:lang w:val="en-US"/>
        </w:rPr>
        <w:t xml:space="preserve"> </w:t>
      </w:r>
      <w:r w:rsidRPr="00EB212A">
        <w:rPr>
          <w:lang w:val="en-US"/>
        </w:rPr>
        <w:t xml:space="preserve">but also to cover specific learning needs and expectations of older persons. In addition, technology literacy should be improved so that everyone is able to understand and evaluate the benefits and risks of technology and engage in relevant discussions. To improve uptake, access to information about the availability of such technologies but also support (including technical assistance) for </w:t>
      </w:r>
      <w:proofErr w:type="gramStart"/>
      <w:r w:rsidRPr="00EB212A">
        <w:rPr>
          <w:lang w:val="en-US"/>
        </w:rPr>
        <w:t>its</w:t>
      </w:r>
      <w:proofErr w:type="gramEnd"/>
      <w:r w:rsidRPr="00EB212A">
        <w:rPr>
          <w:lang w:val="en-US"/>
        </w:rPr>
        <w:t xml:space="preserve"> use is crucial.</w:t>
      </w:r>
      <w:r w:rsidR="00E93CE7">
        <w:rPr>
          <w:lang w:val="en-US"/>
        </w:rPr>
        <w:t xml:space="preserve"> </w:t>
      </w:r>
      <w:proofErr w:type="gramStart"/>
      <w:r w:rsidRPr="00EB212A">
        <w:rPr>
          <w:lang w:val="en-US"/>
        </w:rPr>
        <w:t>Furthermore</w:t>
      </w:r>
      <w:proofErr w:type="gramEnd"/>
      <w:r w:rsidRPr="00EB212A">
        <w:rPr>
          <w:lang w:val="en-US"/>
        </w:rPr>
        <w:t>, to avoid inequality, States should offer access to assistive technologies as part of social protection</w:t>
      </w:r>
      <w:r>
        <w:rPr>
          <w:rStyle w:val="FootnoteReference"/>
          <w:lang w:val="en-US"/>
        </w:rPr>
        <w:footnoteReference w:id="29"/>
      </w:r>
      <w:r w:rsidRPr="00EB212A">
        <w:rPr>
          <w:lang w:val="en-US"/>
        </w:rPr>
        <w:t>.</w:t>
      </w:r>
    </w:p>
    <w:p w:rsidRPr="00EB212A" w:rsidR="00EB212A" w:rsidP="00A37CAC" w:rsidRDefault="00A37CAC" w14:paraId="768368A0" w14:textId="2A51B571">
      <w:pPr>
        <w:spacing w:after="0" w:line="276" w:lineRule="auto"/>
        <w:jc w:val="both"/>
        <w:outlineLvl w:val="9"/>
        <w:rPr>
          <w:rFonts w:cstheme="minorHAnsi"/>
          <w:szCs w:val="24"/>
          <w:lang w:val="en-GB"/>
        </w:rPr>
      </w:pPr>
      <w:r>
        <w:rPr>
          <w:rStyle w:val="Strong"/>
          <w:rFonts w:cstheme="minorHAnsi"/>
          <w:b w:val="0"/>
          <w:bCs w:val="0"/>
          <w:szCs w:val="24"/>
          <w:lang w:val="en-GB"/>
        </w:rPr>
        <w:t>By demanding full accessibility, the point is not to give back the entire responsibility to users: while accessibility is a pre-requisite, it is not sufficient. The aim is also to make sure we create a digital environment where users can feel confident and ready to engage because it is reliable, understandable, secure</w:t>
      </w:r>
      <w:r>
        <w:rPr>
          <w:rStyle w:val="FootnoteReference"/>
          <w:rFonts w:cstheme="minorHAnsi"/>
          <w:szCs w:val="24"/>
          <w:lang w:val="en-GB"/>
        </w:rPr>
        <w:footnoteReference w:id="30"/>
      </w:r>
      <w:r>
        <w:rPr>
          <w:rStyle w:val="Strong"/>
          <w:rFonts w:cstheme="minorHAnsi"/>
          <w:b w:val="0"/>
          <w:bCs w:val="0"/>
          <w:szCs w:val="24"/>
          <w:lang w:val="en-GB"/>
        </w:rPr>
        <w:t xml:space="preserve"> and it considers the mental well-being of users.</w:t>
      </w:r>
    </w:p>
    <w:p w:rsidR="00A37CAC" w:rsidP="00A37CAC" w:rsidRDefault="00A37CAC" w14:paraId="69CD342B" w14:textId="77777777">
      <w:pPr>
        <w:spacing w:after="0" w:line="276" w:lineRule="auto"/>
        <w:jc w:val="both"/>
        <w:outlineLvl w:val="9"/>
        <w:rPr>
          <w:rStyle w:val="Strong"/>
          <w:rFonts w:cstheme="minorHAnsi"/>
          <w:b w:val="0"/>
          <w:bCs w:val="0"/>
          <w:szCs w:val="24"/>
          <w:lang w:val="en-GB"/>
        </w:rPr>
      </w:pPr>
      <w:r>
        <w:rPr>
          <w:rStyle w:val="Strong"/>
          <w:rFonts w:cstheme="minorHAnsi"/>
          <w:b w:val="0"/>
          <w:bCs w:val="0"/>
          <w:szCs w:val="24"/>
          <w:lang w:val="en-GB"/>
        </w:rPr>
        <w:t>Likewise, putting the digital literacy of users at the core is a heavy responsibility and burden on users while we should first ensure that designers and developers have adequate curricula so that the accessibility and diversity of users becomes automatically mainstreamed.</w:t>
      </w:r>
    </w:p>
    <w:p w:rsidRPr="00ED206F" w:rsidR="00A37CAC" w:rsidP="00A37CAC" w:rsidRDefault="00A37CAC" w14:paraId="0EE4A042" w14:textId="77777777">
      <w:pPr>
        <w:spacing w:after="0" w:line="276" w:lineRule="auto"/>
        <w:jc w:val="both"/>
        <w:outlineLvl w:val="9"/>
        <w:rPr>
          <w:lang w:val="en-US"/>
        </w:rPr>
      </w:pPr>
    </w:p>
    <w:p w:rsidRPr="00DD2EA1" w:rsidR="00EB212A" w:rsidP="00A37CAC" w:rsidRDefault="00EB212A" w14:paraId="2C22B93E" w14:textId="77777777">
      <w:pPr>
        <w:spacing w:after="0" w:line="276" w:lineRule="auto"/>
        <w:rPr>
          <w:rFonts w:asciiTheme="minorHAnsi" w:hAnsiTheme="minorHAnsi"/>
          <w:b/>
          <w:bCs/>
          <w:color w:val="6DC8E4" w:themeColor="accent3"/>
          <w:lang w:val="en-US"/>
        </w:rPr>
      </w:pPr>
      <w:r w:rsidRPr="00DD2EA1">
        <w:rPr>
          <w:rFonts w:asciiTheme="minorHAnsi" w:hAnsiTheme="minorHAnsi"/>
          <w:b/>
          <w:bCs/>
          <w:color w:val="6DC8E4" w:themeColor="accent3"/>
          <w:lang w:val="en-US"/>
        </w:rPr>
        <w:t>Autonomy</w:t>
      </w:r>
    </w:p>
    <w:p w:rsidR="00EB212A" w:rsidP="00EB212A" w:rsidRDefault="00EB212A" w14:paraId="0992F646" w14:textId="45E2CB32">
      <w:pPr>
        <w:spacing w:after="0" w:line="276" w:lineRule="auto"/>
        <w:jc w:val="both"/>
        <w:outlineLvl w:val="9"/>
        <w:rPr>
          <w:rStyle w:val="Strong"/>
          <w:rFonts w:cstheme="minorHAnsi"/>
          <w:szCs w:val="24"/>
          <w:lang w:val="en-GB"/>
        </w:rPr>
      </w:pPr>
      <w:r w:rsidRPr="00EB212A">
        <w:rPr>
          <w:rStyle w:val="Strong"/>
          <w:rFonts w:cstheme="minorHAnsi"/>
          <w:b w:val="0"/>
          <w:bCs w:val="0"/>
          <w:szCs w:val="24"/>
          <w:lang w:val="en-GB"/>
        </w:rPr>
        <w:t xml:space="preserve">Because, as mentioned earlier, new and emerging technologies are widely considered as a solution to the increased care needs and expenses of an ageing population, there is a growing risk that older persons will not have a choice to opt out from the use of such technologies in their everyday life, due to lack of alternatives and pressure or coercion. New and emerging technologies should be an additional layer to human support, which is necessary for everyone’s dignity and social wellbeing. They should be available alongside qualified human caregivers who will train users, follow-up on the implementation of technologies, assist them with activities of daily living and provide emotional support. Assistance given to older persons must be comprehensive and seamless covering all aspects of life and diverse needs of older persons, including in end-of-life and palliative care situations. Older persons should retain control over the type of support they receive, including the right to refuse the use of assistive technologies and robotics. Technologies should not be introduced as a form of support without the free and informed consent of the individual in question. Individuals should </w:t>
      </w:r>
      <w:r w:rsidRPr="00EB212A">
        <w:rPr>
          <w:rStyle w:val="Strong"/>
          <w:rFonts w:cstheme="minorHAnsi"/>
          <w:b w:val="0"/>
          <w:bCs w:val="0"/>
          <w:szCs w:val="24"/>
          <w:lang w:val="en-GB"/>
        </w:rPr>
        <w:t xml:space="preserve">be able to choose from a wide range of options how, where and when they wish to receive care and support. If this is not the case, then a breach of the right to independent living, </w:t>
      </w:r>
      <w:proofErr w:type="spellStart"/>
      <w:r w:rsidRPr="00EB212A">
        <w:rPr>
          <w:rStyle w:val="Strong"/>
          <w:rFonts w:cstheme="minorHAnsi"/>
          <w:b w:val="0"/>
          <w:bCs w:val="0"/>
          <w:szCs w:val="24"/>
          <w:lang w:val="en-GB"/>
        </w:rPr>
        <w:t>ie</w:t>
      </w:r>
      <w:proofErr w:type="spellEnd"/>
      <w:r w:rsidRPr="00EB212A">
        <w:rPr>
          <w:rStyle w:val="Strong"/>
          <w:rFonts w:cstheme="minorHAnsi"/>
          <w:b w:val="0"/>
          <w:bCs w:val="0"/>
          <w:szCs w:val="24"/>
          <w:lang w:val="en-GB"/>
        </w:rPr>
        <w:t xml:space="preserve"> the right to retain control over living arrangements and support is at stake</w:t>
      </w:r>
      <w:r>
        <w:rPr>
          <w:rStyle w:val="FootnoteReference"/>
          <w:rFonts w:cstheme="minorHAnsi"/>
          <w:szCs w:val="24"/>
          <w:lang w:val="en-GB"/>
        </w:rPr>
        <w:footnoteReference w:id="31"/>
      </w:r>
      <w:r w:rsidRPr="00EB212A">
        <w:rPr>
          <w:rStyle w:val="Strong"/>
          <w:rFonts w:cstheme="minorHAnsi"/>
          <w:szCs w:val="24"/>
          <w:lang w:val="en-GB"/>
        </w:rPr>
        <w:t>.</w:t>
      </w:r>
    </w:p>
    <w:p w:rsidRPr="00EB212A" w:rsidR="00EB212A" w:rsidP="00EB212A" w:rsidRDefault="00EB212A" w14:paraId="4AC08BBA" w14:textId="355BBDA3">
      <w:pPr>
        <w:spacing w:after="0" w:line="276" w:lineRule="auto"/>
        <w:jc w:val="both"/>
        <w:outlineLvl w:val="9"/>
        <w:rPr>
          <w:rStyle w:val="Strong"/>
          <w:rFonts w:cstheme="minorHAnsi"/>
          <w:szCs w:val="24"/>
          <w:lang w:val="en-US"/>
        </w:rPr>
      </w:pPr>
      <w:r w:rsidRPr="00EB212A">
        <w:rPr>
          <w:rFonts w:cstheme="minorHAnsi"/>
          <w:szCs w:val="24"/>
          <w:lang w:val="en-US"/>
        </w:rPr>
        <w:t xml:space="preserve">A related concern is whom </w:t>
      </w:r>
      <w:proofErr w:type="gramStart"/>
      <w:r w:rsidRPr="00EB212A">
        <w:rPr>
          <w:rFonts w:cstheme="minorHAnsi"/>
          <w:szCs w:val="24"/>
          <w:lang w:val="en-US"/>
        </w:rPr>
        <w:t>is technology</w:t>
      </w:r>
      <w:proofErr w:type="gramEnd"/>
      <w:r w:rsidRPr="00EB212A">
        <w:rPr>
          <w:rFonts w:cstheme="minorHAnsi"/>
          <w:szCs w:val="24"/>
          <w:lang w:val="en-US"/>
        </w:rPr>
        <w:t xml:space="preserve"> supposed to serve and what happens in case of conflicting instructions. This is particularly important because in the context of care, technologies are often developed to alleviate the burden of caregivers and may even be introduced at the request of the staff or the family as opposed to the older person. For example, in case the system is programmed to follow an activity and dietary plan provided by a medical doctor, should it obey the wish of the older person who may want to drink alcohol or refuse to take a prescribed medicine? In other words, can technology coerce older people to adhere to a regime despite their wish not to comply with it? How can the system decide between the </w:t>
      </w:r>
      <w:proofErr w:type="spellStart"/>
      <w:proofErr w:type="gramStart"/>
      <w:r w:rsidRPr="00EB212A">
        <w:rPr>
          <w:rFonts w:cstheme="minorHAnsi"/>
          <w:szCs w:val="24"/>
          <w:lang w:val="en-US"/>
        </w:rPr>
        <w:t>longterm</w:t>
      </w:r>
      <w:proofErr w:type="spellEnd"/>
      <w:proofErr w:type="gramEnd"/>
      <w:r w:rsidRPr="00EB212A">
        <w:rPr>
          <w:rFonts w:cstheme="minorHAnsi"/>
          <w:szCs w:val="24"/>
          <w:lang w:val="en-US"/>
        </w:rPr>
        <w:t xml:space="preserve"> goal of good health and independence and the short-term choice of the older person in question? To respect individual autonomy, we need to allow people to deviate from what is expected of them, to the same extent that we allow other people who don’t need support to make such choices. Additionally, the system may comply with the wishes of the user but at the same time signal the ‘</w:t>
      </w:r>
      <w:proofErr w:type="gramStart"/>
      <w:r w:rsidRPr="00EB212A">
        <w:rPr>
          <w:rFonts w:cstheme="minorHAnsi"/>
          <w:szCs w:val="24"/>
          <w:lang w:val="en-US"/>
        </w:rPr>
        <w:t>wrong doing</w:t>
      </w:r>
      <w:proofErr w:type="gramEnd"/>
      <w:r w:rsidRPr="00EB212A">
        <w:rPr>
          <w:rFonts w:cstheme="minorHAnsi"/>
          <w:szCs w:val="24"/>
          <w:lang w:val="en-US"/>
        </w:rPr>
        <w:t xml:space="preserve">’ /deviation to other actors, such as their family, health care team or even insurance company. In addition to raising questions about privacy and data protection, such technology violates the autonomy of the older person insofar as it puts pressure on the individual to act in a certain way or they will have to deal with the consequences, such as shame vis-à-vis their family or even reduced coverage of health care costs due to their </w:t>
      </w:r>
      <w:proofErr w:type="spellStart"/>
      <w:r w:rsidRPr="00EB212A">
        <w:rPr>
          <w:rFonts w:cstheme="minorHAnsi"/>
          <w:szCs w:val="24"/>
          <w:lang w:val="en-US"/>
        </w:rPr>
        <w:t>behaviour</w:t>
      </w:r>
      <w:proofErr w:type="spellEnd"/>
      <w:r w:rsidRPr="00EB212A">
        <w:rPr>
          <w:rFonts w:cstheme="minorHAnsi"/>
          <w:szCs w:val="24"/>
          <w:lang w:val="en-US"/>
        </w:rPr>
        <w:t xml:space="preserve">. </w:t>
      </w:r>
    </w:p>
    <w:p w:rsidRPr="00EB212A" w:rsidR="00EB212A" w:rsidP="00EB212A" w:rsidRDefault="00EB212A" w14:paraId="339FC276" w14:textId="77777777">
      <w:pPr>
        <w:spacing w:after="0" w:line="276" w:lineRule="auto"/>
        <w:jc w:val="both"/>
        <w:outlineLvl w:val="9"/>
        <w:rPr>
          <w:rStyle w:val="Strong"/>
          <w:rFonts w:cstheme="minorHAnsi"/>
          <w:szCs w:val="24"/>
          <w:lang w:val="en-GB"/>
        </w:rPr>
      </w:pPr>
    </w:p>
    <w:p w:rsidRPr="00DD2EA1" w:rsidR="00D72430" w:rsidP="00A37CAC" w:rsidRDefault="00A37CAC" w14:paraId="1FDDE2CE" w14:textId="28DFC8AF">
      <w:pPr>
        <w:spacing w:after="0" w:line="276" w:lineRule="auto"/>
        <w:rPr>
          <w:rFonts w:asciiTheme="minorHAnsi" w:hAnsiTheme="minorHAnsi"/>
          <w:b/>
          <w:bCs/>
          <w:color w:val="6DC8E4" w:themeColor="accent3"/>
          <w:lang w:val="en-US"/>
        </w:rPr>
      </w:pPr>
      <w:r w:rsidRPr="00DD2EA1">
        <w:rPr>
          <w:rFonts w:asciiTheme="minorHAnsi" w:hAnsiTheme="minorHAnsi"/>
          <w:b/>
          <w:bCs/>
          <w:color w:val="6DC8E4" w:themeColor="accent3"/>
          <w:lang w:val="en-US"/>
        </w:rPr>
        <w:t>Lack of data</w:t>
      </w:r>
    </w:p>
    <w:p w:rsidRPr="00A37CAC" w:rsidR="00A37CAC" w:rsidP="00A37CAC" w:rsidRDefault="00A37CAC" w14:paraId="79E1E33C" w14:textId="5C059FFA">
      <w:pPr>
        <w:spacing w:after="0" w:line="276" w:lineRule="auto"/>
        <w:rPr>
          <w:lang w:val="en-US"/>
        </w:rPr>
      </w:pPr>
      <w:r w:rsidRPr="00A37CAC">
        <w:rPr>
          <w:rStyle w:val="Strong"/>
          <w:rFonts w:cstheme="minorHAnsi"/>
          <w:b w:val="0"/>
          <w:bCs w:val="0"/>
          <w:szCs w:val="24"/>
          <w:lang w:val="en-GB"/>
        </w:rPr>
        <w:t>The lack of data about older people and their diversity is reported in most documents by the UN Independent Expert on the enjoyment of all human rights by older people</w:t>
      </w:r>
      <w:r>
        <w:rPr>
          <w:rStyle w:val="FootnoteReference"/>
          <w:rFonts w:cstheme="minorHAnsi"/>
          <w:szCs w:val="24"/>
          <w:lang w:val="en-GB"/>
        </w:rPr>
        <w:footnoteReference w:id="32"/>
      </w:r>
      <w:r w:rsidRPr="00A37CAC">
        <w:rPr>
          <w:rStyle w:val="Strong"/>
          <w:rFonts w:cstheme="minorHAnsi"/>
          <w:b w:val="0"/>
          <w:bCs w:val="0"/>
          <w:szCs w:val="24"/>
          <w:lang w:val="en-GB"/>
        </w:rPr>
        <w:t xml:space="preserve">. It is particularly striking </w:t>
      </w:r>
      <w:proofErr w:type="gramStart"/>
      <w:r w:rsidRPr="00A37CAC">
        <w:rPr>
          <w:rStyle w:val="Strong"/>
          <w:rFonts w:cstheme="minorHAnsi"/>
          <w:b w:val="0"/>
          <w:bCs w:val="0"/>
          <w:szCs w:val="24"/>
          <w:lang w:val="en-GB"/>
        </w:rPr>
        <w:t>in the area of</w:t>
      </w:r>
      <w:proofErr w:type="gramEnd"/>
      <w:r w:rsidRPr="00A37CAC">
        <w:rPr>
          <w:rStyle w:val="Strong"/>
          <w:rFonts w:cstheme="minorHAnsi"/>
          <w:b w:val="0"/>
          <w:bCs w:val="0"/>
          <w:szCs w:val="24"/>
          <w:lang w:val="en-GB"/>
        </w:rPr>
        <w:t xml:space="preserve"> new technologies: at EU level, obtaining data on the use of new technologies by people age 74+ is almost impossible. This amounts to making older people invisible and gives the impression that this part of the population is not considered as important: this is very much linked to ageism</w:t>
      </w:r>
      <w:r>
        <w:rPr>
          <w:rStyle w:val="FootnoteReference"/>
          <w:rFonts w:cstheme="minorHAnsi"/>
          <w:szCs w:val="24"/>
          <w:lang w:val="en-GB"/>
        </w:rPr>
        <w:footnoteReference w:id="33"/>
      </w:r>
      <w:r w:rsidRPr="00A37CAC">
        <w:rPr>
          <w:rStyle w:val="Strong"/>
          <w:rFonts w:cstheme="minorHAnsi"/>
          <w:b w:val="0"/>
          <w:bCs w:val="0"/>
          <w:szCs w:val="24"/>
          <w:lang w:val="en-GB"/>
        </w:rPr>
        <w:t xml:space="preserve">. </w:t>
      </w:r>
    </w:p>
    <w:p w:rsidRPr="00A37CAC" w:rsidR="00A37CAC" w:rsidP="00A37CAC" w:rsidRDefault="00A37CAC" w14:paraId="69D76629" w14:textId="77777777">
      <w:pPr>
        <w:spacing w:after="0" w:line="276" w:lineRule="auto"/>
        <w:rPr>
          <w:lang w:val="en-US"/>
        </w:rPr>
      </w:pPr>
      <w:r w:rsidRPr="00A37CAC">
        <w:rPr>
          <w:rStyle w:val="Strong"/>
          <w:rFonts w:cstheme="minorHAnsi"/>
          <w:b w:val="0"/>
          <w:bCs w:val="0"/>
          <w:szCs w:val="24"/>
          <w:lang w:val="en-GB"/>
        </w:rPr>
        <w:t xml:space="preserve">Overlooking the situation of people above the age of 74 may also give a wrong message that there is a generational effect that will somehow close the digital gap: basically, because young people are almost born with a smartphone, they should manage more easily with digitalisation when they will grow old. From our perspective, it is a misleading assumption: first it tends to ignore how fast digitalisation is progressing, meaning that we all need to adapt at every stage of our </w:t>
      </w:r>
      <w:proofErr w:type="gramStart"/>
      <w:r w:rsidRPr="00A37CAC">
        <w:rPr>
          <w:rStyle w:val="Strong"/>
          <w:rFonts w:cstheme="minorHAnsi"/>
          <w:b w:val="0"/>
          <w:bCs w:val="0"/>
          <w:szCs w:val="24"/>
          <w:lang w:val="en-GB"/>
        </w:rPr>
        <w:t>lives</w:t>
      </w:r>
      <w:proofErr w:type="gramEnd"/>
      <w:r w:rsidRPr="00A37CAC">
        <w:rPr>
          <w:rStyle w:val="Strong"/>
          <w:rFonts w:cstheme="minorHAnsi"/>
          <w:b w:val="0"/>
          <w:bCs w:val="0"/>
          <w:szCs w:val="24"/>
          <w:lang w:val="en-GB"/>
        </w:rPr>
        <w:t xml:space="preserve"> and we don’t know what will happen in 60 years </w:t>
      </w:r>
      <w:r w:rsidRPr="00A37CAC">
        <w:rPr>
          <w:rStyle w:val="Strong"/>
          <w:rFonts w:cstheme="minorHAnsi"/>
          <w:b w:val="0"/>
          <w:bCs w:val="0"/>
          <w:strike/>
          <w:szCs w:val="24"/>
          <w:lang w:val="en-GB"/>
        </w:rPr>
        <w:t>of</w:t>
      </w:r>
      <w:r w:rsidRPr="00A37CAC">
        <w:rPr>
          <w:rStyle w:val="Strong"/>
          <w:rFonts w:cstheme="minorHAnsi"/>
          <w:b w:val="0"/>
          <w:bCs w:val="0"/>
          <w:szCs w:val="24"/>
          <w:lang w:val="en-GB"/>
        </w:rPr>
        <w:t xml:space="preserve"> time. Second, it ignores the </w:t>
      </w:r>
      <w:r w:rsidRPr="00A37CAC">
        <w:rPr>
          <w:rStyle w:val="Strong"/>
          <w:rFonts w:cstheme="minorHAnsi"/>
          <w:b w:val="0"/>
          <w:bCs w:val="0"/>
          <w:szCs w:val="24"/>
          <w:lang w:val="en-GB"/>
        </w:rPr>
        <w:t>data showing how many people are digitally excluded in all age groups today, as well as the data showing how much the educational, as well as the socio-economic background, plays a role in the digital gap</w:t>
      </w:r>
      <w:r>
        <w:rPr>
          <w:rStyle w:val="FootnoteReference"/>
          <w:rFonts w:cstheme="minorHAnsi"/>
          <w:szCs w:val="24"/>
          <w:lang w:val="en-GB"/>
        </w:rPr>
        <w:footnoteReference w:id="34"/>
      </w:r>
      <w:r w:rsidRPr="00A37CAC">
        <w:rPr>
          <w:rStyle w:val="Strong"/>
          <w:rFonts w:cstheme="minorHAnsi"/>
          <w:b w:val="0"/>
          <w:bCs w:val="0"/>
          <w:szCs w:val="24"/>
          <w:lang w:val="en-GB"/>
        </w:rPr>
        <w:t>.</w:t>
      </w:r>
    </w:p>
    <w:p w:rsidRPr="00A37CAC" w:rsidR="00A37CAC" w:rsidP="00A37CAC" w:rsidRDefault="00A37CAC" w14:paraId="0B0AE659" w14:textId="77777777">
      <w:pPr>
        <w:spacing w:after="0" w:line="276" w:lineRule="auto"/>
        <w:rPr>
          <w:lang w:val="en-US"/>
        </w:rPr>
      </w:pPr>
      <w:r w:rsidRPr="00A37CAC">
        <w:rPr>
          <w:rStyle w:val="Strong"/>
          <w:rFonts w:cstheme="minorHAnsi"/>
          <w:b w:val="0"/>
          <w:bCs w:val="0"/>
          <w:szCs w:val="24"/>
          <w:lang w:val="en-GB"/>
        </w:rPr>
        <w:t>The data gap has a strong impact not only on the way we depict older people and their relationship</w:t>
      </w:r>
      <w:r w:rsidRPr="00A37CAC">
        <w:rPr>
          <w:rStyle w:val="Strong"/>
          <w:rFonts w:cstheme="minorHAnsi"/>
          <w:b w:val="0"/>
          <w:bCs w:val="0"/>
          <w:strike/>
          <w:szCs w:val="24"/>
          <w:lang w:val="en-GB"/>
        </w:rPr>
        <w:t>s</w:t>
      </w:r>
      <w:r w:rsidRPr="00A37CAC">
        <w:rPr>
          <w:rStyle w:val="Strong"/>
          <w:rFonts w:cstheme="minorHAnsi"/>
          <w:b w:val="0"/>
          <w:bCs w:val="0"/>
          <w:szCs w:val="24"/>
          <w:lang w:val="en-GB"/>
        </w:rPr>
        <w:t xml:space="preserve"> to new technologies but also on a political level. For instance, the Digital Economy and Society Index (DESI)</w:t>
      </w:r>
      <w:r>
        <w:rPr>
          <w:rStyle w:val="FootnoteReference"/>
          <w:rFonts w:cstheme="minorHAnsi"/>
          <w:szCs w:val="24"/>
          <w:lang w:val="en-GB"/>
        </w:rPr>
        <w:footnoteReference w:id="35"/>
      </w:r>
      <w:r w:rsidRPr="00A37CAC">
        <w:rPr>
          <w:rStyle w:val="Strong"/>
          <w:rFonts w:cstheme="minorHAnsi"/>
          <w:b w:val="0"/>
          <w:bCs w:val="0"/>
          <w:szCs w:val="24"/>
          <w:lang w:val="en-GB"/>
        </w:rPr>
        <w:t xml:space="preserve"> used by the European Commission to measure the progress of </w:t>
      </w:r>
      <w:hyperlink r:id="rId15">
        <w:r w:rsidRPr="00A37CAC">
          <w:rPr>
            <w:rStyle w:val="Hyperlink"/>
            <w:rFonts w:cstheme="minorHAnsi"/>
            <w:szCs w:val="24"/>
            <w:lang w:val="en-GB"/>
          </w:rPr>
          <w:t>Europe’s Digital Decade</w:t>
        </w:r>
      </w:hyperlink>
      <w:r w:rsidRPr="00A37CAC">
        <w:rPr>
          <w:rStyle w:val="Hyperlink"/>
          <w:rFonts w:cstheme="minorHAnsi"/>
          <w:szCs w:val="24"/>
          <w:lang w:val="en-GB"/>
        </w:rPr>
        <w:t>,</w:t>
      </w:r>
      <w:r w:rsidRPr="00A37CAC">
        <w:rPr>
          <w:rStyle w:val="Strong"/>
          <w:rFonts w:cstheme="minorHAnsi"/>
          <w:b w:val="0"/>
          <w:bCs w:val="0"/>
          <w:szCs w:val="24"/>
          <w:lang w:val="en-GB"/>
        </w:rPr>
        <w:t xml:space="preserve"> monitors basic digital skills of EU citizens, but only until the age of 74, likewise for </w:t>
      </w:r>
      <w:proofErr w:type="spellStart"/>
      <w:r w:rsidRPr="00A37CAC">
        <w:rPr>
          <w:rStyle w:val="Strong"/>
          <w:rFonts w:cstheme="minorHAnsi"/>
          <w:b w:val="0"/>
          <w:bCs w:val="0"/>
          <w:szCs w:val="24"/>
          <w:lang w:val="en-GB"/>
        </w:rPr>
        <w:t>eGovernement</w:t>
      </w:r>
      <w:proofErr w:type="spellEnd"/>
      <w:r w:rsidRPr="00A37CAC">
        <w:rPr>
          <w:rStyle w:val="Strong"/>
          <w:rFonts w:cstheme="minorHAnsi"/>
          <w:b w:val="0"/>
          <w:bCs w:val="0"/>
          <w:szCs w:val="24"/>
          <w:lang w:val="en-GB"/>
        </w:rPr>
        <w:t xml:space="preserve"> users</w:t>
      </w:r>
      <w:r>
        <w:rPr>
          <w:rStyle w:val="FootnoteReference"/>
          <w:rFonts w:cstheme="minorHAnsi"/>
          <w:szCs w:val="24"/>
          <w:lang w:val="en-GB"/>
        </w:rPr>
        <w:footnoteReference w:id="36"/>
      </w:r>
      <w:r w:rsidRPr="00A37CAC">
        <w:rPr>
          <w:rStyle w:val="Strong"/>
          <w:rFonts w:cstheme="minorHAnsi"/>
          <w:b w:val="0"/>
          <w:bCs w:val="0"/>
          <w:szCs w:val="24"/>
          <w:lang w:val="en-GB"/>
        </w:rPr>
        <w:t xml:space="preserve">. </w:t>
      </w:r>
      <w:r w:rsidRPr="00A37CAC">
        <w:rPr>
          <w:rStyle w:val="Strong"/>
          <w:rFonts w:asciiTheme="minorHAnsi" w:hAnsiTheme="minorHAnsi"/>
          <w:b w:val="0"/>
          <w:bCs w:val="0"/>
          <w:lang w:val="en-GB"/>
        </w:rPr>
        <w:t>As stated by the Fundamental Rights Agency: “Information and disaggregated data for persons aged 75 and older are missing. This makes it impossible to evaluate and monitor the impact and efficiency of the Digital Decade policy programme and national laws and policies on this group. Nor can their equal access to public services undergoing a digital transition be evaluated/monitored”</w:t>
      </w:r>
      <w:r>
        <w:rPr>
          <w:rStyle w:val="FootnoteReference"/>
          <w:rFonts w:asciiTheme="minorHAnsi" w:hAnsiTheme="minorHAnsi"/>
          <w:lang w:val="en-GB"/>
        </w:rPr>
        <w:footnoteReference w:id="37"/>
      </w:r>
    </w:p>
    <w:p w:rsidRPr="00A37CAC" w:rsidR="00A37CAC" w:rsidP="00A37CAC" w:rsidRDefault="00A37CAC" w14:paraId="435BCA19" w14:textId="77777777">
      <w:pPr>
        <w:pStyle w:val="ListParagraph"/>
        <w:numPr>
          <w:ilvl w:val="0"/>
          <w:numId w:val="9"/>
        </w:numPr>
        <w:spacing w:after="0" w:line="276" w:lineRule="auto"/>
        <w:rPr>
          <w:rFonts w:asciiTheme="minorHAnsi" w:hAnsiTheme="minorHAnsi"/>
          <w:lang w:val="en-US"/>
        </w:rPr>
      </w:pPr>
    </w:p>
    <w:p w:rsidRPr="00DD2EA1" w:rsidR="00A50C69" w:rsidRDefault="009868C0" w14:paraId="3D38964D" w14:textId="7DACDA98">
      <w:pPr>
        <w:spacing w:after="0" w:line="276" w:lineRule="auto"/>
        <w:rPr>
          <w:rFonts w:asciiTheme="minorHAnsi" w:hAnsiTheme="minorHAnsi"/>
          <w:i/>
          <w:iCs/>
          <w:lang w:val="en-US"/>
        </w:rPr>
      </w:pPr>
      <w:r w:rsidRPr="00DD2EA1">
        <w:rPr>
          <w:rFonts w:asciiTheme="minorHAnsi" w:hAnsiTheme="minorHAnsi"/>
          <w:i/>
          <w:iCs/>
          <w:lang w:val="en-US"/>
        </w:rPr>
        <w:t>3. What measures are you implementing to protect the right to privacy in the use of digital technologies?</w:t>
      </w:r>
    </w:p>
    <w:p w:rsidR="006C6F58" w:rsidRDefault="006C6F58" w14:paraId="26158E8D" w14:textId="77777777">
      <w:pPr>
        <w:spacing w:after="0" w:line="276" w:lineRule="auto"/>
        <w:rPr>
          <w:rFonts w:asciiTheme="minorHAnsi" w:hAnsiTheme="minorHAnsi"/>
          <w:lang w:val="en-US"/>
        </w:rPr>
      </w:pPr>
    </w:p>
    <w:p w:rsidRPr="00482198" w:rsidR="00482198" w:rsidRDefault="006C6F58" w14:paraId="2F7186A3" w14:textId="77777777">
      <w:pPr>
        <w:spacing w:after="0" w:line="276" w:lineRule="auto"/>
        <w:rPr>
          <w:rFonts w:ascii="Rubik Light" w:hAnsi="Rubik Light" w:eastAsiaTheme="majorEastAsia" w:cstheme="majorBidi"/>
          <w:color w:val="F08016"/>
          <w:sz w:val="36"/>
          <w:szCs w:val="26"/>
          <w:lang w:val="en-GB"/>
        </w:rPr>
      </w:pPr>
      <w:r w:rsidRPr="00482198">
        <w:rPr>
          <w:rFonts w:ascii="Rubik Light" w:hAnsi="Rubik Light" w:eastAsiaTheme="majorEastAsia" w:cstheme="majorBidi"/>
          <w:color w:val="F08016"/>
          <w:sz w:val="36"/>
          <w:szCs w:val="26"/>
          <w:lang w:val="en-GB"/>
        </w:rPr>
        <w:t xml:space="preserve">Digital Technologies as Assistive Technologies </w:t>
      </w:r>
    </w:p>
    <w:p w:rsidRPr="00DD2EA1" w:rsidR="005D7913" w:rsidRDefault="006C6F58" w14:paraId="64EE3EE6" w14:textId="77777777">
      <w:pPr>
        <w:spacing w:after="0" w:line="276" w:lineRule="auto"/>
        <w:rPr>
          <w:rFonts w:asciiTheme="minorHAnsi" w:hAnsiTheme="minorHAnsi"/>
          <w:i/>
          <w:iCs/>
          <w:lang w:val="en-US"/>
        </w:rPr>
      </w:pPr>
      <w:r w:rsidRPr="00DD2EA1">
        <w:rPr>
          <w:rFonts w:asciiTheme="minorHAnsi" w:hAnsiTheme="minorHAnsi"/>
          <w:i/>
          <w:iCs/>
          <w:lang w:val="en-US"/>
        </w:rPr>
        <w:t xml:space="preserve">4. How are digital technologies integrated as assistive technologies in personalized support plans (e.g. Remote sign language interpretation, image reading apps, voice-controlled assistants, screen readers, text-to-speech and speech-to-text applications, eye-tracking technology, adaptive keyboards and mice, AAC devices, navigation aids, wearable technology)? </w:t>
      </w:r>
    </w:p>
    <w:p w:rsidRPr="00DD2EA1" w:rsidR="004D6E2A" w:rsidRDefault="006C6F58" w14:paraId="1C7521D4" w14:textId="2920A888">
      <w:pPr>
        <w:spacing w:after="0" w:line="276" w:lineRule="auto"/>
        <w:rPr>
          <w:rFonts w:asciiTheme="minorHAnsi" w:hAnsiTheme="minorHAnsi"/>
          <w:i/>
          <w:iCs/>
          <w:lang w:val="en-US"/>
        </w:rPr>
      </w:pPr>
      <w:r w:rsidRPr="00DD2EA1">
        <w:rPr>
          <w:rFonts w:asciiTheme="minorHAnsi" w:hAnsiTheme="minorHAnsi"/>
          <w:i/>
          <w:iCs/>
          <w:lang w:val="en-US"/>
        </w:rPr>
        <w:t xml:space="preserve">5. What barriers exist in accessing these digital assistive technologies and how can they be addressed? </w:t>
      </w:r>
    </w:p>
    <w:p w:rsidR="006D4C3E" w:rsidRDefault="006D4C3E" w14:paraId="4EDE8E1A" w14:textId="77777777">
      <w:pPr>
        <w:spacing w:after="0" w:line="276" w:lineRule="auto"/>
        <w:rPr>
          <w:rFonts w:asciiTheme="minorHAnsi" w:hAnsiTheme="minorHAnsi"/>
          <w:lang w:val="en-US"/>
        </w:rPr>
      </w:pPr>
    </w:p>
    <w:p w:rsidR="006D4C3E" w:rsidRDefault="006D4C3E" w14:paraId="39F5DF9D" w14:textId="1874D555">
      <w:pPr>
        <w:spacing w:after="0" w:line="276" w:lineRule="auto"/>
        <w:rPr>
          <w:rFonts w:asciiTheme="minorHAnsi" w:hAnsiTheme="minorHAnsi"/>
          <w:lang w:val="en-US"/>
        </w:rPr>
      </w:pPr>
      <w:r w:rsidRPr="006D4C3E">
        <w:rPr>
          <w:rFonts w:asciiTheme="minorHAnsi" w:hAnsiTheme="minorHAnsi"/>
          <w:lang w:val="en-US"/>
        </w:rPr>
        <w:t>Access to new and emerging technologies is at the crossroads of different rights, notably dignity, equality and non-discrimination, autonomy, participation, adequate standard of living, highest attainable standard of health, social protection, education and independent living.</w:t>
      </w:r>
    </w:p>
    <w:p w:rsidR="006D4C3E" w:rsidRDefault="006D4C3E" w14:paraId="1C81C785" w14:textId="368E6302">
      <w:pPr>
        <w:spacing w:after="0" w:line="276" w:lineRule="auto"/>
        <w:rPr>
          <w:rFonts w:asciiTheme="minorHAnsi" w:hAnsiTheme="minorHAnsi"/>
          <w:lang w:val="en-US"/>
        </w:rPr>
      </w:pPr>
      <w:r w:rsidRPr="006D4C3E">
        <w:rPr>
          <w:rFonts w:asciiTheme="minorHAnsi" w:hAnsiTheme="minorHAnsi"/>
          <w:lang w:val="en-US"/>
        </w:rPr>
        <w:t xml:space="preserve">However, general human rights norms are not fully adapted to respond to the challenges of rapid digitalization. Interpretation of human rights standards needs to take due account of the implication of new technologies. For example, human rights standards have not yet defined whether state obligations to provide social protection, such as long-term care, could be achieved through new technologies and to which extent technologies can substitute human support. Neither are human rights </w:t>
      </w:r>
      <w:r w:rsidRPr="006D4C3E">
        <w:rPr>
          <w:rFonts w:asciiTheme="minorHAnsi" w:hAnsiTheme="minorHAnsi"/>
          <w:lang w:val="en-US"/>
        </w:rPr>
        <w:t>standards sharply aware of the additional risk of inequalities through the introduction of new technologies or threats for individual autonomy, safety and independence among others. Additionally, new and emerging technologies may make existing protection gaps even more pronounced. For example, international human rights law does not provide older people with an automatic right to support neither with the right to choice and control over the type of service they receive</w:t>
      </w:r>
      <w:r>
        <w:rPr>
          <w:rStyle w:val="FootnoteReference"/>
          <w:rFonts w:asciiTheme="minorHAnsi" w:hAnsiTheme="minorHAnsi"/>
          <w:lang w:val="en-US"/>
        </w:rPr>
        <w:footnoteReference w:id="38"/>
      </w:r>
      <w:r w:rsidRPr="006D4C3E">
        <w:rPr>
          <w:rFonts w:asciiTheme="minorHAnsi" w:hAnsiTheme="minorHAnsi"/>
          <w:lang w:val="en-US"/>
        </w:rPr>
        <w:t xml:space="preserve">. The notion of support reflected in General Comment No. 6 on the economic, social and cultural rights of older persons is relatively narrower than the obligation included in the UNCRPD, as it is limited to home adaptations. Moreover, the General Comment puts emphasis on community support and self-help as opposed to a </w:t>
      </w:r>
      <w:proofErr w:type="gramStart"/>
      <w:r w:rsidRPr="006D4C3E">
        <w:rPr>
          <w:rFonts w:asciiTheme="minorHAnsi" w:hAnsiTheme="minorHAnsi"/>
          <w:lang w:val="en-US"/>
        </w:rPr>
        <w:t>State</w:t>
      </w:r>
      <w:proofErr w:type="gramEnd"/>
      <w:r w:rsidRPr="006D4C3E">
        <w:rPr>
          <w:rFonts w:asciiTheme="minorHAnsi" w:hAnsiTheme="minorHAnsi"/>
          <w:lang w:val="en-US"/>
        </w:rPr>
        <w:t xml:space="preserve"> obligation to assist older persons. The UN principle of independence also has a limited scope as it does not explicitly cover all activities of daily living of older persons but is restricted on aspects of food, water, shelter, clothing and health care. Additionally, both the UN principles for older persons</w:t>
      </w:r>
      <w:r w:rsidRPr="006D4C3E">
        <w:rPr>
          <w:lang w:val="en-US"/>
        </w:rPr>
        <w:t xml:space="preserve"> </w:t>
      </w:r>
      <w:r w:rsidRPr="006D4C3E">
        <w:rPr>
          <w:rFonts w:asciiTheme="minorHAnsi" w:hAnsiTheme="minorHAnsi"/>
          <w:lang w:val="en-US"/>
        </w:rPr>
        <w:t>and the general comment state that ‘older persons should be able to reside at home for as long as possible’, which leaves a wide margin of appreciation as to when support at home could no longer be available and whether older people could be forced into institutionalized settings or technological forms of support. Furthermore, unlike for persons with disabilities, States do not have an obligation to ensure access to assistive technologies for older persons to carry out daily activities and participate in society. The use of assistive technologies in residential settings is not mentioned at all. The few references focus on medical technologies, failing to encompass the full range of devices that can help older people fully participate in society on an equal basis with others. Another key protection gap in human rights law is the absence of explicit prohibition of age discrimination</w:t>
      </w:r>
      <w:r>
        <w:rPr>
          <w:rStyle w:val="FootnoteReference"/>
          <w:rFonts w:asciiTheme="minorHAnsi" w:hAnsiTheme="minorHAnsi"/>
          <w:lang w:val="en-US"/>
        </w:rPr>
        <w:footnoteReference w:id="39"/>
      </w:r>
      <w:r w:rsidRPr="006D4C3E">
        <w:rPr>
          <w:rFonts w:asciiTheme="minorHAnsi" w:hAnsiTheme="minorHAnsi"/>
          <w:lang w:val="en-US"/>
        </w:rPr>
        <w:t>. The UN Committee on economic, social and cultural rights accepted that some types of discrimination may be legitimate</w:t>
      </w:r>
      <w:r>
        <w:rPr>
          <w:rStyle w:val="FootnoteReference"/>
          <w:rFonts w:asciiTheme="minorHAnsi" w:hAnsiTheme="minorHAnsi"/>
          <w:lang w:val="en-US"/>
        </w:rPr>
        <w:footnoteReference w:id="40"/>
      </w:r>
      <w:r w:rsidRPr="006D4C3E">
        <w:rPr>
          <w:rFonts w:asciiTheme="minorHAnsi" w:hAnsiTheme="minorHAnsi"/>
          <w:lang w:val="en-US"/>
        </w:rPr>
        <w:t>, and further clarified that that age is a prohibited ground of discrimination, only ‘in several contexts’</w:t>
      </w:r>
      <w:r>
        <w:rPr>
          <w:rStyle w:val="FootnoteReference"/>
          <w:rFonts w:asciiTheme="minorHAnsi" w:hAnsiTheme="minorHAnsi"/>
          <w:lang w:val="en-US"/>
        </w:rPr>
        <w:footnoteReference w:id="41"/>
      </w:r>
      <w:r w:rsidRPr="006D4C3E">
        <w:rPr>
          <w:rFonts w:asciiTheme="minorHAnsi" w:hAnsiTheme="minorHAnsi"/>
          <w:lang w:val="en-US"/>
        </w:rPr>
        <w:t xml:space="preserve">. It is worth noting that the Committee prohibited discrimination based on disability in 1994 in General Comment 5, without setting out any limits to the prohibition. </w:t>
      </w:r>
      <w:proofErr w:type="gramStart"/>
      <w:r w:rsidRPr="006D4C3E">
        <w:rPr>
          <w:rFonts w:asciiTheme="minorHAnsi" w:hAnsiTheme="minorHAnsi"/>
          <w:lang w:val="en-US"/>
        </w:rPr>
        <w:t>So</w:t>
      </w:r>
      <w:proofErr w:type="gramEnd"/>
      <w:r w:rsidRPr="006D4C3E">
        <w:rPr>
          <w:rFonts w:asciiTheme="minorHAnsi" w:hAnsiTheme="minorHAnsi"/>
          <w:lang w:val="en-US"/>
        </w:rPr>
        <w:t xml:space="preserve"> in the eyes </w:t>
      </w:r>
      <w:r w:rsidRPr="006D4C3E">
        <w:rPr>
          <w:rFonts w:asciiTheme="minorHAnsi" w:hAnsiTheme="minorHAnsi"/>
          <w:lang w:val="en-US"/>
        </w:rPr>
        <w:t xml:space="preserve">of the Committee, age is a less suspect or less serious ground of discrimination compared to other forms of inequality. Due to this normative </w:t>
      </w:r>
      <w:proofErr w:type="gramStart"/>
      <w:r w:rsidRPr="006D4C3E">
        <w:rPr>
          <w:rFonts w:asciiTheme="minorHAnsi" w:hAnsiTheme="minorHAnsi"/>
          <w:lang w:val="en-US"/>
        </w:rPr>
        <w:t>gap</w:t>
      </w:r>
      <w:proofErr w:type="gramEnd"/>
      <w:r w:rsidRPr="006D4C3E">
        <w:rPr>
          <w:rFonts w:asciiTheme="minorHAnsi" w:hAnsiTheme="minorHAnsi"/>
          <w:lang w:val="en-US"/>
        </w:rPr>
        <w:t xml:space="preserve"> it could prove difficult to challenge inequalities to access new technologies</w:t>
      </w:r>
      <w:r w:rsidR="00DD2EA1">
        <w:rPr>
          <w:rFonts w:asciiTheme="minorHAnsi" w:hAnsiTheme="minorHAnsi"/>
          <w:lang w:val="en-US"/>
        </w:rPr>
        <w:t>, such as age limits in disability benefits, personal assistance plans or assistive devices</w:t>
      </w:r>
      <w:r w:rsidRPr="006D4C3E">
        <w:rPr>
          <w:rFonts w:asciiTheme="minorHAnsi" w:hAnsiTheme="minorHAnsi"/>
          <w:lang w:val="en-US"/>
        </w:rPr>
        <w:t xml:space="preserve"> or challenge discriminatory treatment by automated algorithm</w:t>
      </w:r>
      <w:r>
        <w:rPr>
          <w:rFonts w:asciiTheme="minorHAnsi" w:hAnsiTheme="minorHAnsi"/>
          <w:lang w:val="en-US"/>
        </w:rPr>
        <w:t>s.</w:t>
      </w:r>
    </w:p>
    <w:p w:rsidRPr="006D4C3E" w:rsidR="006D4C3E" w:rsidRDefault="006D4C3E" w14:paraId="208B0476" w14:textId="2D11EC3F">
      <w:pPr>
        <w:spacing w:after="0" w:line="276" w:lineRule="auto"/>
        <w:rPr>
          <w:rFonts w:asciiTheme="minorHAnsi" w:hAnsiTheme="minorHAnsi"/>
          <w:lang w:val="en-US"/>
        </w:rPr>
      </w:pPr>
      <w:r w:rsidRPr="006D4C3E">
        <w:rPr>
          <w:rFonts w:asciiTheme="minorHAnsi" w:hAnsiTheme="minorHAnsi"/>
          <w:lang w:val="en-US"/>
        </w:rPr>
        <w:t xml:space="preserve">Without a clear prohibition of age discrimination and lacking a </w:t>
      </w:r>
      <w:proofErr w:type="gramStart"/>
      <w:r w:rsidRPr="006D4C3E">
        <w:rPr>
          <w:rFonts w:asciiTheme="minorHAnsi" w:hAnsiTheme="minorHAnsi"/>
          <w:lang w:val="en-US"/>
        </w:rPr>
        <w:t>State</w:t>
      </w:r>
      <w:proofErr w:type="gramEnd"/>
      <w:r w:rsidRPr="006D4C3E">
        <w:rPr>
          <w:rFonts w:asciiTheme="minorHAnsi" w:hAnsiTheme="minorHAnsi"/>
          <w:lang w:val="en-US"/>
        </w:rPr>
        <w:t xml:space="preserve"> obligation to ensure access to support in old age the universality of human rights is at stake. Older people are even more vulnerable than other groups - such as persons with disabilities whose right to support is guaranteed under human rights law - to ill-health, exclusion, </w:t>
      </w:r>
      <w:proofErr w:type="spellStart"/>
      <w:r w:rsidRPr="006D4C3E">
        <w:rPr>
          <w:rFonts w:asciiTheme="minorHAnsi" w:hAnsiTheme="minorHAnsi"/>
          <w:lang w:val="en-US"/>
        </w:rPr>
        <w:t>marginalisation</w:t>
      </w:r>
      <w:proofErr w:type="spellEnd"/>
      <w:r w:rsidRPr="006D4C3E">
        <w:rPr>
          <w:rFonts w:asciiTheme="minorHAnsi" w:hAnsiTheme="minorHAnsi"/>
          <w:lang w:val="en-US"/>
        </w:rPr>
        <w:t xml:space="preserve">, abuse and neglect. They are more likely to be excluded from the benefits of technology or to suffer their negative implications because human rights norms have treated older people’s rights as less serious than the rights of other groups. Against this lack of legal clarity and the increasing use of technologies in the care of older persons it is crucial to discuss their human rights implications and to set </w:t>
      </w:r>
      <w:r w:rsidR="00DD2EA1">
        <w:rPr>
          <w:rFonts w:asciiTheme="minorHAnsi" w:hAnsiTheme="minorHAnsi"/>
          <w:lang w:val="en-US"/>
        </w:rPr>
        <w:t xml:space="preserve">new legally binding </w:t>
      </w:r>
      <w:r w:rsidRPr="006D4C3E">
        <w:rPr>
          <w:rFonts w:asciiTheme="minorHAnsi" w:hAnsiTheme="minorHAnsi"/>
          <w:lang w:val="en-US"/>
        </w:rPr>
        <w:t xml:space="preserve">standards </w:t>
      </w:r>
      <w:proofErr w:type="gramStart"/>
      <w:r w:rsidRPr="006D4C3E">
        <w:rPr>
          <w:rFonts w:asciiTheme="minorHAnsi" w:hAnsiTheme="minorHAnsi"/>
          <w:lang w:val="en-US"/>
        </w:rPr>
        <w:t>in order to</w:t>
      </w:r>
      <w:proofErr w:type="gramEnd"/>
      <w:r w:rsidRPr="006D4C3E">
        <w:rPr>
          <w:rFonts w:asciiTheme="minorHAnsi" w:hAnsiTheme="minorHAnsi"/>
          <w:lang w:val="en-US"/>
        </w:rPr>
        <w:t xml:space="preserve"> ensure the equal enjoyment of all human rights by older persons</w:t>
      </w:r>
      <w:r w:rsidR="00DD2EA1">
        <w:rPr>
          <w:rFonts w:asciiTheme="minorHAnsi" w:hAnsiTheme="minorHAnsi"/>
          <w:lang w:val="en-US"/>
        </w:rPr>
        <w:t>.</w:t>
      </w:r>
    </w:p>
    <w:p w:rsidR="005D7913" w:rsidRDefault="005D7913" w14:paraId="6799DEAE" w14:textId="77777777">
      <w:pPr>
        <w:spacing w:after="0" w:line="276" w:lineRule="auto"/>
        <w:rPr>
          <w:rFonts w:asciiTheme="minorHAnsi" w:hAnsiTheme="minorHAnsi"/>
          <w:lang w:val="en-US"/>
        </w:rPr>
      </w:pPr>
    </w:p>
    <w:p w:rsidRPr="004D6E2A" w:rsidR="004D6E2A" w:rsidRDefault="006C6F58" w14:paraId="0576886C" w14:textId="77777777">
      <w:pPr>
        <w:spacing w:after="0" w:line="276" w:lineRule="auto"/>
        <w:rPr>
          <w:rFonts w:ascii="Rubik Light" w:hAnsi="Rubik Light" w:eastAsiaTheme="majorEastAsia" w:cstheme="majorBidi"/>
          <w:color w:val="F08016"/>
          <w:sz w:val="36"/>
          <w:szCs w:val="26"/>
          <w:lang w:val="en-GB"/>
        </w:rPr>
      </w:pPr>
      <w:r w:rsidRPr="004D6E2A">
        <w:rPr>
          <w:rFonts w:ascii="Rubik Light" w:hAnsi="Rubik Light" w:eastAsiaTheme="majorEastAsia" w:cstheme="majorBidi"/>
          <w:color w:val="F08016"/>
          <w:sz w:val="36"/>
          <w:szCs w:val="26"/>
          <w:lang w:val="en-GB"/>
        </w:rPr>
        <w:t xml:space="preserve">Access and Affordability of Assistive Technologies </w:t>
      </w:r>
    </w:p>
    <w:p w:rsidRPr="00DD2EA1" w:rsidR="001E2B41" w:rsidRDefault="006C6F58" w14:paraId="3D3EC4D0" w14:textId="77777777">
      <w:pPr>
        <w:spacing w:after="0" w:line="276" w:lineRule="auto"/>
        <w:rPr>
          <w:rFonts w:asciiTheme="minorHAnsi" w:hAnsiTheme="minorHAnsi"/>
          <w:i/>
          <w:iCs/>
          <w:lang w:val="en-US"/>
        </w:rPr>
      </w:pPr>
      <w:r w:rsidRPr="00DD2EA1">
        <w:rPr>
          <w:rFonts w:asciiTheme="minorHAnsi" w:hAnsiTheme="minorHAnsi"/>
          <w:i/>
          <w:iCs/>
          <w:lang w:val="en-US"/>
        </w:rPr>
        <w:t xml:space="preserve">6. What is the current state of access to assistive technologies in your country/region, particularly in rural areas and among marginalized groups? </w:t>
      </w:r>
    </w:p>
    <w:p w:rsidRPr="00DD2EA1" w:rsidR="00482198" w:rsidP="66865C20" w:rsidRDefault="006C6F58" w14:paraId="4B403F2D" w14:textId="0BAE6AAA">
      <w:pPr>
        <w:spacing w:after="0" w:line="276" w:lineRule="auto"/>
        <w:rPr>
          <w:rFonts w:ascii="Rubik" w:hAnsi="Rubik" w:asciiTheme="minorAscii" w:hAnsiTheme="minorAscii"/>
          <w:i w:val="1"/>
          <w:iCs w:val="1"/>
          <w:lang w:val="fr-BE"/>
        </w:rPr>
      </w:pPr>
      <w:r w:rsidRPr="66865C20" w:rsidR="66865C20">
        <w:rPr>
          <w:rFonts w:ascii="Rubik" w:hAnsi="Rubik" w:asciiTheme="minorAscii" w:hAnsiTheme="minorAscii"/>
          <w:i w:val="1"/>
          <w:iCs w:val="1"/>
          <w:lang w:val="fr-BE"/>
        </w:rPr>
        <w:t>7. What measures are being taken to improve the affordability and availability of these assistive technologies (</w:t>
      </w:r>
      <w:r w:rsidRPr="66865C20" w:rsidR="66865C20">
        <w:rPr>
          <w:rFonts w:ascii="Rubik" w:hAnsi="Rubik" w:asciiTheme="minorAscii" w:hAnsiTheme="minorAscii"/>
          <w:i w:val="1"/>
          <w:iCs w:val="1"/>
          <w:lang w:val="fr-BE"/>
        </w:rPr>
        <w:t>e.g.</w:t>
      </w:r>
      <w:r w:rsidRPr="66865C20" w:rsidR="66865C20">
        <w:rPr>
          <w:rFonts w:ascii="Rubik" w:hAnsi="Rubik" w:asciiTheme="minorAscii" w:hAnsiTheme="minorAscii"/>
          <w:i w:val="1"/>
          <w:iCs w:val="1"/>
          <w:lang w:val="fr-BE"/>
        </w:rPr>
        <w:t xml:space="preserve"> cash transfers, market shaping to reduce added value chain costs, </w:t>
      </w:r>
      <w:r w:rsidRPr="66865C20" w:rsidR="66865C20">
        <w:rPr>
          <w:rFonts w:ascii="Rubik" w:hAnsi="Rubik" w:asciiTheme="minorAscii" w:hAnsiTheme="minorAscii"/>
          <w:i w:val="1"/>
          <w:iCs w:val="1"/>
          <w:lang w:val="fr-BE"/>
        </w:rPr>
        <w:t>logistics</w:t>
      </w:r>
      <w:r w:rsidRPr="66865C20" w:rsidR="66865C20">
        <w:rPr>
          <w:rFonts w:ascii="Rubik" w:hAnsi="Rubik" w:asciiTheme="minorAscii" w:hAnsiTheme="minorAscii"/>
          <w:i w:val="1"/>
          <w:iCs w:val="1"/>
          <w:lang w:val="fr-BE"/>
        </w:rPr>
        <w:t xml:space="preserve">, </w:t>
      </w:r>
      <w:r w:rsidRPr="66865C20" w:rsidR="66865C20">
        <w:rPr>
          <w:rFonts w:ascii="Rubik" w:hAnsi="Rubik" w:asciiTheme="minorAscii" w:hAnsiTheme="minorAscii"/>
          <w:i w:val="1"/>
          <w:iCs w:val="1"/>
          <w:lang w:val="fr-BE"/>
        </w:rPr>
        <w:t>etc</w:t>
      </w:r>
      <w:r w:rsidRPr="66865C20" w:rsidR="66865C20">
        <w:rPr>
          <w:rFonts w:ascii="Rubik" w:hAnsi="Rubik" w:asciiTheme="minorAscii" w:hAnsiTheme="minorAscii"/>
          <w:i w:val="1"/>
          <w:iCs w:val="1"/>
          <w:lang w:val="fr-BE"/>
        </w:rPr>
        <w:t>)?</w:t>
      </w:r>
      <w:r w:rsidRPr="66865C20" w:rsidR="66865C20">
        <w:rPr>
          <w:rFonts w:ascii="Rubik" w:hAnsi="Rubik" w:asciiTheme="minorAscii" w:hAnsiTheme="minorAscii"/>
          <w:i w:val="1"/>
          <w:iCs w:val="1"/>
          <w:lang w:val="fr-BE"/>
        </w:rPr>
        <w:t xml:space="preserve"> </w:t>
      </w:r>
    </w:p>
    <w:p w:rsidR="001E2B41" w:rsidRDefault="00DD2EA1" w14:paraId="2C668F7F" w14:textId="27C37B8A">
      <w:pPr>
        <w:spacing w:after="0" w:line="276" w:lineRule="auto"/>
        <w:rPr>
          <w:rFonts w:asciiTheme="minorHAnsi" w:hAnsiTheme="minorHAnsi"/>
          <w:lang w:val="en-US"/>
        </w:rPr>
      </w:pPr>
      <w:r>
        <w:rPr>
          <w:rFonts w:asciiTheme="minorHAnsi" w:hAnsiTheme="minorHAnsi"/>
          <w:lang w:val="en-US"/>
        </w:rPr>
        <w:t xml:space="preserve">As indicated above, currently there is no guaranteed right to assistive technologies in old age and no adequate redress in case of lack of access. </w:t>
      </w:r>
    </w:p>
    <w:p w:rsidR="00482198" w:rsidRDefault="00482198" w14:paraId="60184233" w14:textId="77777777">
      <w:pPr>
        <w:spacing w:after="0" w:line="276" w:lineRule="auto"/>
        <w:rPr>
          <w:rFonts w:asciiTheme="minorHAnsi" w:hAnsiTheme="minorHAnsi"/>
          <w:lang w:val="en-US"/>
        </w:rPr>
      </w:pPr>
    </w:p>
    <w:p w:rsidRPr="004D6E2A" w:rsidR="00482198" w:rsidRDefault="006C6F58" w14:paraId="1A7E8C5A" w14:textId="77777777">
      <w:pPr>
        <w:spacing w:after="0" w:line="276" w:lineRule="auto"/>
        <w:rPr>
          <w:rFonts w:ascii="Rubik Light" w:hAnsi="Rubik Light" w:eastAsiaTheme="majorEastAsia" w:cstheme="majorBidi"/>
          <w:color w:val="F08016"/>
          <w:sz w:val="36"/>
          <w:szCs w:val="26"/>
          <w:lang w:val="en-GB"/>
        </w:rPr>
      </w:pPr>
      <w:r w:rsidRPr="004D6E2A">
        <w:rPr>
          <w:rFonts w:ascii="Rubik Light" w:hAnsi="Rubik Light" w:eastAsiaTheme="majorEastAsia" w:cstheme="majorBidi"/>
          <w:color w:val="F08016"/>
          <w:sz w:val="36"/>
          <w:szCs w:val="26"/>
          <w:lang w:val="en-GB"/>
        </w:rPr>
        <w:t xml:space="preserve">Integration and Quality of Assistive Technologies </w:t>
      </w:r>
    </w:p>
    <w:p w:rsidRPr="00DD2EA1" w:rsidR="006C6F58" w:rsidRDefault="006C6F58" w14:paraId="5DF3BA09" w14:textId="11671BED">
      <w:pPr>
        <w:spacing w:after="0" w:line="276" w:lineRule="auto"/>
        <w:rPr>
          <w:rFonts w:asciiTheme="minorHAnsi" w:hAnsiTheme="minorHAnsi"/>
          <w:i/>
          <w:iCs/>
          <w:lang w:val="en-US"/>
        </w:rPr>
      </w:pPr>
      <w:r w:rsidRPr="00DD2EA1">
        <w:rPr>
          <w:rFonts w:asciiTheme="minorHAnsi" w:hAnsiTheme="minorHAnsi"/>
          <w:i/>
          <w:iCs/>
          <w:lang w:val="en-US"/>
        </w:rPr>
        <w:t>8. How are assistive technologies integrated with health and social services in your country/region?</w:t>
      </w:r>
    </w:p>
    <w:p w:rsidRPr="00DD2EA1" w:rsidR="00482198" w:rsidRDefault="006C6F58" w14:paraId="7DFB1C49" w14:textId="77777777">
      <w:pPr>
        <w:spacing w:after="0" w:line="276" w:lineRule="auto"/>
        <w:rPr>
          <w:rFonts w:asciiTheme="minorHAnsi" w:hAnsiTheme="minorHAnsi"/>
          <w:i/>
          <w:iCs/>
          <w:lang w:val="en-US"/>
        </w:rPr>
      </w:pPr>
      <w:r w:rsidRPr="00DD2EA1">
        <w:rPr>
          <w:rFonts w:asciiTheme="minorHAnsi" w:hAnsiTheme="minorHAnsi"/>
          <w:i/>
          <w:iCs/>
          <w:lang w:val="en-US"/>
        </w:rPr>
        <w:t xml:space="preserve">9. What steps are being taken to ensure the quality and cultural relevance of assistive technologies? </w:t>
      </w:r>
    </w:p>
    <w:p w:rsidR="00482198" w:rsidRDefault="00482198" w14:paraId="3449A032" w14:textId="77777777">
      <w:pPr>
        <w:spacing w:after="0" w:line="276" w:lineRule="auto"/>
        <w:rPr>
          <w:rFonts w:asciiTheme="minorHAnsi" w:hAnsiTheme="minorHAnsi"/>
          <w:lang w:val="en-US"/>
        </w:rPr>
      </w:pPr>
    </w:p>
    <w:p w:rsidR="00482198" w:rsidRDefault="006C6F58" w14:paraId="3B33E0CB" w14:textId="77777777">
      <w:pPr>
        <w:spacing w:after="0" w:line="276" w:lineRule="auto"/>
        <w:rPr>
          <w:rFonts w:asciiTheme="minorHAnsi" w:hAnsiTheme="minorHAnsi"/>
          <w:lang w:val="en-US"/>
        </w:rPr>
      </w:pPr>
      <w:r w:rsidRPr="00482198">
        <w:rPr>
          <w:rFonts w:ascii="Rubik Light" w:hAnsi="Rubik Light" w:eastAsiaTheme="majorEastAsia" w:cstheme="majorBidi"/>
          <w:color w:val="F08016"/>
          <w:sz w:val="36"/>
          <w:szCs w:val="26"/>
          <w:lang w:val="en-GB"/>
        </w:rPr>
        <w:t>Policy, Training, and Innovation</w:t>
      </w:r>
      <w:r w:rsidRPr="006C6F58">
        <w:rPr>
          <w:rFonts w:asciiTheme="minorHAnsi" w:hAnsiTheme="minorHAnsi"/>
          <w:lang w:val="en-US"/>
        </w:rPr>
        <w:t xml:space="preserve"> </w:t>
      </w:r>
    </w:p>
    <w:p w:rsidRPr="00DD2EA1" w:rsidR="00A37CAC" w:rsidRDefault="006C6F58" w14:paraId="006AC8CD" w14:textId="77777777">
      <w:pPr>
        <w:spacing w:after="0" w:line="276" w:lineRule="auto"/>
        <w:rPr>
          <w:rFonts w:asciiTheme="minorHAnsi" w:hAnsiTheme="minorHAnsi"/>
          <w:i/>
          <w:iCs/>
          <w:lang w:val="en-US"/>
        </w:rPr>
      </w:pPr>
      <w:r w:rsidRPr="00DD2EA1">
        <w:rPr>
          <w:rFonts w:asciiTheme="minorHAnsi" w:hAnsiTheme="minorHAnsi"/>
          <w:i/>
          <w:iCs/>
          <w:lang w:val="en-US"/>
        </w:rPr>
        <w:t xml:space="preserve">10. What policies and legislation support the use and development of assistive technologies in your country/region, and what improvements would you recommend? </w:t>
      </w:r>
    </w:p>
    <w:p w:rsidR="00DD2EA1" w:rsidRDefault="00DD2EA1" w14:paraId="12F038DA" w14:textId="77777777">
      <w:pPr>
        <w:spacing w:after="0" w:line="276" w:lineRule="auto"/>
        <w:rPr>
          <w:rFonts w:asciiTheme="minorHAnsi" w:hAnsiTheme="minorHAnsi"/>
          <w:lang w:val="en-US"/>
        </w:rPr>
      </w:pPr>
    </w:p>
    <w:p w:rsidRPr="00A37CAC" w:rsidR="00A37CAC" w:rsidRDefault="00A37CAC" w14:paraId="4B611995" w14:textId="2AE6EA06">
      <w:pPr>
        <w:spacing w:after="0" w:line="276" w:lineRule="auto"/>
        <w:rPr>
          <w:rFonts w:asciiTheme="minorHAnsi" w:hAnsiTheme="minorHAnsi"/>
          <w:b/>
          <w:bCs/>
          <w:lang w:val="en-US"/>
        </w:rPr>
      </w:pPr>
      <w:r w:rsidRPr="00A37CAC">
        <w:rPr>
          <w:rFonts w:asciiTheme="minorHAnsi" w:hAnsiTheme="minorHAnsi"/>
          <w:b/>
          <w:bCs/>
          <w:lang w:val="en-US"/>
        </w:rPr>
        <w:t xml:space="preserve">Need for a rights-based approach </w:t>
      </w:r>
    </w:p>
    <w:p w:rsidRPr="00ED206F" w:rsidR="00A37CAC" w:rsidP="00A37CAC" w:rsidRDefault="00A37CAC" w14:paraId="0CF8667D" w14:textId="77777777">
      <w:pPr>
        <w:spacing w:after="0" w:line="276" w:lineRule="auto"/>
        <w:rPr>
          <w:lang w:val="en-US"/>
        </w:rPr>
      </w:pPr>
      <w:r>
        <w:rPr>
          <w:rStyle w:val="Strong"/>
          <w:rFonts w:cstheme="minorHAnsi"/>
          <w:b w:val="0"/>
          <w:bCs w:val="0"/>
          <w:szCs w:val="24"/>
          <w:lang w:val="en-GB"/>
        </w:rPr>
        <w:t xml:space="preserve">We read and hear more and more testimonies from our members concerned by the impact of digitalisation on their daily lives: to buy public transport tickets, to access their bank account, to make an appointment with </w:t>
      </w:r>
      <w:r>
        <w:rPr>
          <w:rStyle w:val="Strong"/>
          <w:rFonts w:cstheme="minorHAnsi"/>
          <w:b w:val="0"/>
          <w:bCs w:val="0"/>
          <w:strike/>
          <w:szCs w:val="24"/>
          <w:lang w:val="en-GB"/>
        </w:rPr>
        <w:t>t</w:t>
      </w:r>
      <w:r>
        <w:rPr>
          <w:rStyle w:val="Strong"/>
          <w:rFonts w:cstheme="minorHAnsi"/>
          <w:b w:val="0"/>
          <w:bCs w:val="0"/>
          <w:szCs w:val="24"/>
          <w:lang w:val="en-GB"/>
        </w:rPr>
        <w:t xml:space="preserve">he doctor, to request the social benefits they are entitled to, to access a car park, to enter their tax declaration, etc. These cannot be done in an analogue manner anymore. While these changes may </w:t>
      </w:r>
      <w:r>
        <w:rPr>
          <w:rStyle w:val="Strong"/>
          <w:rFonts w:cstheme="minorHAnsi"/>
          <w:b w:val="0"/>
          <w:bCs w:val="0"/>
          <w:szCs w:val="24"/>
          <w:lang w:val="en-GB"/>
        </w:rPr>
        <w:t>be convenient, they also put at risk dignity, autonomy and participation. Similar opportunities and challenges are clearly detailed in the 2017 report of the UN Independent Expert on the enjoyment of all human rights by older people on assistive technology and robots</w:t>
      </w:r>
      <w:r>
        <w:rPr>
          <w:rStyle w:val="FootnoteReference"/>
          <w:rFonts w:cstheme="minorHAnsi"/>
          <w:szCs w:val="24"/>
          <w:lang w:val="en-GB"/>
        </w:rPr>
        <w:footnoteReference w:id="42"/>
      </w:r>
      <w:r>
        <w:rPr>
          <w:rStyle w:val="Strong"/>
          <w:rFonts w:cstheme="minorHAnsi"/>
          <w:b w:val="0"/>
          <w:bCs w:val="0"/>
          <w:szCs w:val="24"/>
          <w:lang w:val="en-GB"/>
        </w:rPr>
        <w:t>. More recently, the Fundamental Rights Agency published a report focusing on access to public services in digital societies</w:t>
      </w:r>
      <w:r>
        <w:rPr>
          <w:rStyle w:val="FootnoteReference"/>
          <w:rFonts w:cstheme="minorHAnsi"/>
          <w:szCs w:val="24"/>
          <w:lang w:val="en-GB"/>
        </w:rPr>
        <w:footnoteReference w:id="43"/>
      </w:r>
      <w:r>
        <w:rPr>
          <w:rStyle w:val="Strong"/>
          <w:rFonts w:cstheme="minorHAnsi"/>
          <w:b w:val="0"/>
          <w:bCs w:val="0"/>
          <w:szCs w:val="24"/>
          <w:lang w:val="en-GB"/>
        </w:rPr>
        <w:t xml:space="preserve"> which raises the question of the equal access to these services especially</w:t>
      </w:r>
      <w:r>
        <w:rPr>
          <w:rStyle w:val="Strong"/>
          <w:rFonts w:cstheme="minorHAnsi"/>
          <w:b w:val="0"/>
          <w:bCs w:val="0"/>
          <w:strike/>
          <w:szCs w:val="24"/>
          <w:lang w:val="en-GB"/>
        </w:rPr>
        <w:t xml:space="preserve"> </w:t>
      </w:r>
      <w:r>
        <w:rPr>
          <w:rStyle w:val="Strong"/>
          <w:rFonts w:cstheme="minorHAnsi"/>
          <w:b w:val="0"/>
          <w:bCs w:val="0"/>
          <w:szCs w:val="24"/>
          <w:lang w:val="en-GB"/>
        </w:rPr>
        <w:t xml:space="preserve">for older people. </w:t>
      </w:r>
    </w:p>
    <w:p w:rsidR="00A37CAC" w:rsidP="00A37CAC" w:rsidRDefault="00A37CAC" w14:paraId="308083DB" w14:textId="77777777">
      <w:pPr>
        <w:spacing w:after="0" w:line="276" w:lineRule="auto"/>
        <w:rPr>
          <w:rFonts w:asciiTheme="minorHAnsi" w:hAnsiTheme="minorHAnsi" w:cstheme="minorHAnsi"/>
          <w:szCs w:val="24"/>
          <w:lang w:val="en-GB"/>
        </w:rPr>
      </w:pPr>
    </w:p>
    <w:p w:rsidRPr="00ED206F" w:rsidR="00A37CAC" w:rsidP="00A37CAC" w:rsidRDefault="00A37CAC" w14:paraId="4D4F361C" w14:textId="68A8CBFE">
      <w:pPr>
        <w:spacing w:after="0" w:line="276" w:lineRule="auto"/>
        <w:rPr>
          <w:lang w:val="en-US"/>
        </w:rPr>
      </w:pPr>
      <w:r>
        <w:rPr>
          <w:rStyle w:val="Strong"/>
          <w:rFonts w:cstheme="minorHAnsi"/>
          <w:b w:val="0"/>
          <w:bCs w:val="0"/>
          <w:szCs w:val="24"/>
          <w:lang w:val="en-GB"/>
        </w:rPr>
        <w:t>The denial of the right to education and life-long learning penalises older workers and older people who have fewer opportunities to acquire digital literacy skills</w:t>
      </w:r>
      <w:r>
        <w:rPr>
          <w:rStyle w:val="FootnoteReference"/>
          <w:rFonts w:cstheme="minorHAnsi"/>
          <w:szCs w:val="24"/>
          <w:lang w:val="en-GB"/>
        </w:rPr>
        <w:footnoteReference w:id="44"/>
      </w:r>
      <w:r>
        <w:rPr>
          <w:rStyle w:val="Strong"/>
          <w:rFonts w:cstheme="minorHAnsi"/>
          <w:b w:val="0"/>
          <w:bCs w:val="0"/>
          <w:szCs w:val="24"/>
          <w:lang w:val="en-GB"/>
        </w:rPr>
        <w:t xml:space="preserve">. This has not only an impact on the employability of older workers but also on the possibility for every older person beyond employment to acquire new skills and knowledge. </w:t>
      </w:r>
    </w:p>
    <w:p w:rsidRPr="00ED206F" w:rsidR="00A37CAC" w:rsidP="00A37CAC" w:rsidRDefault="00A37CAC" w14:paraId="72DBA9EF" w14:textId="77777777">
      <w:pPr>
        <w:spacing w:after="0" w:line="276" w:lineRule="auto"/>
        <w:rPr>
          <w:lang w:val="en-US"/>
        </w:rPr>
      </w:pPr>
      <w:r>
        <w:rPr>
          <w:rStyle w:val="Strong"/>
          <w:rFonts w:cstheme="minorHAnsi"/>
          <w:b w:val="0"/>
          <w:bCs w:val="0"/>
          <w:szCs w:val="24"/>
          <w:lang w:val="en-GB"/>
        </w:rPr>
        <w:t>The right to autonomy is also at stake due to digitalisation: older people who could previously manage their tax declaration or their daily banking operations themselves can suddenly become highly dependent on a third person</w:t>
      </w:r>
      <w:r>
        <w:rPr>
          <w:rStyle w:val="FootnoteReference"/>
          <w:rFonts w:cstheme="minorHAnsi"/>
          <w:szCs w:val="24"/>
          <w:lang w:val="en-GB"/>
        </w:rPr>
        <w:footnoteReference w:id="45"/>
      </w:r>
      <w:r>
        <w:rPr>
          <w:rStyle w:val="Strong"/>
          <w:rFonts w:cstheme="minorHAnsi"/>
          <w:b w:val="0"/>
          <w:bCs w:val="0"/>
          <w:szCs w:val="24"/>
          <w:lang w:val="en-GB"/>
        </w:rPr>
        <w:t xml:space="preserve">. This puts an even higher number of older people at risk of financial abuse. </w:t>
      </w:r>
    </w:p>
    <w:p w:rsidRPr="00ED206F" w:rsidR="00A37CAC" w:rsidP="00A37CAC" w:rsidRDefault="00A37CAC" w14:paraId="701326E3" w14:textId="77777777">
      <w:pPr>
        <w:spacing w:after="0" w:line="276" w:lineRule="auto"/>
        <w:rPr>
          <w:lang w:val="en-US"/>
        </w:rPr>
      </w:pPr>
      <w:r>
        <w:rPr>
          <w:rStyle w:val="Strong"/>
          <w:rFonts w:cstheme="minorHAnsi"/>
          <w:b w:val="0"/>
          <w:bCs w:val="0"/>
          <w:szCs w:val="24"/>
          <w:lang w:val="en-GB"/>
        </w:rPr>
        <w:t>Dignity is also one of the big issues raised by our members in relation to health- and long-term care, including when provided at home, where welfare technologies and robots are considered as a solution to the staff and financial resources shortages. While we recognise that digitalisation can provide interesting supportive solutions, we don’t want them to be developed at the expense of human contact</w:t>
      </w:r>
      <w:r>
        <w:rPr>
          <w:rStyle w:val="Strong"/>
          <w:rFonts w:cstheme="minorHAnsi"/>
          <w:b w:val="0"/>
          <w:bCs w:val="0"/>
          <w:strike/>
          <w:szCs w:val="24"/>
          <w:lang w:val="en-GB"/>
        </w:rPr>
        <w:t>s</w:t>
      </w:r>
      <w:r>
        <w:rPr>
          <w:rStyle w:val="FootnoteReference"/>
          <w:rFonts w:cstheme="minorHAnsi"/>
          <w:szCs w:val="24"/>
          <w:lang w:val="en-GB"/>
        </w:rPr>
        <w:footnoteReference w:id="46"/>
      </w:r>
      <w:r>
        <w:rPr>
          <w:rStyle w:val="Strong"/>
          <w:rFonts w:cstheme="minorHAnsi"/>
          <w:b w:val="0"/>
          <w:bCs w:val="0"/>
          <w:szCs w:val="24"/>
          <w:lang w:val="en-GB"/>
        </w:rPr>
        <w:t xml:space="preserve">. </w:t>
      </w:r>
    </w:p>
    <w:p w:rsidR="00A37CAC" w:rsidP="00A37CAC" w:rsidRDefault="00A37CAC" w14:paraId="7DC904F7" w14:textId="77777777">
      <w:pPr>
        <w:spacing w:after="0" w:line="276" w:lineRule="auto"/>
        <w:rPr>
          <w:rFonts w:asciiTheme="minorHAnsi" w:hAnsiTheme="minorHAnsi" w:cstheme="minorHAnsi"/>
          <w:szCs w:val="24"/>
          <w:lang w:val="en-GB"/>
        </w:rPr>
      </w:pPr>
    </w:p>
    <w:p w:rsidRPr="005D01DC" w:rsidR="00A37CAC" w:rsidP="00A37CAC" w:rsidRDefault="00A37CAC" w14:paraId="23D079F5" w14:textId="77777777">
      <w:pPr>
        <w:spacing w:after="0" w:line="276" w:lineRule="auto"/>
        <w:rPr>
          <w:rFonts w:cstheme="minorHAnsi"/>
          <w:szCs w:val="24"/>
          <w:lang w:val="en-GB"/>
        </w:rPr>
      </w:pPr>
      <w:r>
        <w:rPr>
          <w:rStyle w:val="Strong"/>
          <w:rFonts w:cstheme="minorHAnsi"/>
          <w:b w:val="0"/>
          <w:bCs w:val="0"/>
          <w:szCs w:val="24"/>
          <w:lang w:val="en-GB"/>
        </w:rPr>
        <w:t>Among the many other challenges we could name, the right to participation and to access essential services such as transport, banking, energy, social benefits, public administration, voting is critical: digitalisation shall not exclude people, including older people, because no alternative solution is planned: counters, mail and phone lines should continue to exist or be re-established to guarantee equality</w:t>
      </w:r>
      <w:r>
        <w:rPr>
          <w:rStyle w:val="Strong"/>
          <w:rFonts w:cstheme="minorHAnsi"/>
          <w:b w:val="0"/>
          <w:bCs w:val="0"/>
          <w:strike/>
          <w:color w:val="auto"/>
          <w:szCs w:val="24"/>
          <w:lang w:val="en-GB"/>
        </w:rPr>
        <w:t xml:space="preserve"> </w:t>
      </w:r>
      <w:r>
        <w:rPr>
          <w:rStyle w:val="Strong"/>
          <w:rFonts w:cstheme="minorHAnsi"/>
          <w:b w:val="0"/>
          <w:bCs w:val="0"/>
          <w:color w:val="auto"/>
          <w:szCs w:val="24"/>
          <w:lang w:val="en-GB"/>
        </w:rPr>
        <w:t xml:space="preserve">while </w:t>
      </w:r>
      <w:r>
        <w:rPr>
          <w:rFonts w:cstheme="minorHAnsi"/>
          <w:szCs w:val="24"/>
          <w:shd w:val="clear" w:color="auto" w:fill="FFFFFF"/>
          <w:lang w:val="en-GB"/>
        </w:rPr>
        <w:t>40% of Europe’s population still lacks basic digital skills</w:t>
      </w:r>
      <w:r>
        <w:rPr>
          <w:rStyle w:val="FootnoteReference"/>
          <w:rFonts w:cstheme="minorHAnsi"/>
          <w:szCs w:val="24"/>
          <w:shd w:val="clear" w:color="auto" w:fill="FFFFFF"/>
          <w:lang w:val="en-GB"/>
        </w:rPr>
        <w:footnoteReference w:id="47"/>
      </w:r>
      <w:r>
        <w:rPr>
          <w:rFonts w:cstheme="minorHAnsi"/>
          <w:szCs w:val="24"/>
          <w:shd w:val="clear" w:color="auto" w:fill="FFFFFF"/>
          <w:lang w:val="en-GB"/>
        </w:rPr>
        <w:t>.</w:t>
      </w:r>
    </w:p>
    <w:p w:rsidRPr="00DD2EA1" w:rsidR="00A37CAC" w:rsidRDefault="00A37CAC" w14:paraId="39F5277B" w14:textId="77777777">
      <w:pPr>
        <w:spacing w:after="0" w:line="276" w:lineRule="auto"/>
        <w:rPr>
          <w:rFonts w:asciiTheme="minorHAnsi" w:hAnsiTheme="minorHAnsi"/>
          <w:i/>
          <w:iCs/>
          <w:lang w:val="en-GB"/>
        </w:rPr>
      </w:pPr>
    </w:p>
    <w:p w:rsidRPr="00DD2EA1" w:rsidR="00F73D5E" w:rsidRDefault="006C6F58" w14:paraId="210C5F06" w14:textId="1BA606D7">
      <w:pPr>
        <w:spacing w:after="0" w:line="276" w:lineRule="auto"/>
        <w:rPr>
          <w:rFonts w:asciiTheme="minorHAnsi" w:hAnsiTheme="minorHAnsi"/>
          <w:i/>
          <w:iCs/>
          <w:lang w:val="en-US"/>
        </w:rPr>
      </w:pPr>
      <w:r w:rsidRPr="00DD2EA1">
        <w:rPr>
          <w:rFonts w:asciiTheme="minorHAnsi" w:hAnsiTheme="minorHAnsi"/>
          <w:i/>
          <w:iCs/>
          <w:lang w:val="en-US"/>
        </w:rPr>
        <w:t xml:space="preserve">11. What training and awareness programs exist for users and service providers, and what gaps need to be addressed to enhance the effectiveness of these programs? </w:t>
      </w:r>
    </w:p>
    <w:p w:rsidR="00DD2EA1" w:rsidRDefault="00DD2EA1" w14:paraId="3786AAC7" w14:textId="77777777">
      <w:pPr>
        <w:spacing w:after="0" w:line="276" w:lineRule="auto"/>
        <w:rPr>
          <w:rFonts w:asciiTheme="minorHAnsi" w:hAnsiTheme="minorHAnsi"/>
          <w:lang w:val="en-US"/>
        </w:rPr>
      </w:pPr>
    </w:p>
    <w:p w:rsidRPr="00F73D5E" w:rsidR="00F73D5E" w:rsidRDefault="006C6F58" w14:paraId="3A15E307" w14:textId="74B363E6">
      <w:pPr>
        <w:spacing w:after="0" w:line="276" w:lineRule="auto"/>
        <w:rPr>
          <w:rFonts w:ascii="Rubik Light" w:hAnsi="Rubik Light" w:eastAsiaTheme="majorEastAsia" w:cstheme="majorBidi"/>
          <w:color w:val="F08016"/>
          <w:sz w:val="36"/>
          <w:szCs w:val="26"/>
          <w:lang w:val="en-GB"/>
        </w:rPr>
      </w:pPr>
      <w:r w:rsidRPr="00F73D5E">
        <w:rPr>
          <w:rFonts w:ascii="Rubik Light" w:hAnsi="Rubik Light" w:eastAsiaTheme="majorEastAsia" w:cstheme="majorBidi"/>
          <w:color w:val="F08016"/>
          <w:sz w:val="36"/>
          <w:szCs w:val="26"/>
          <w:lang w:val="en-GB"/>
        </w:rPr>
        <w:t xml:space="preserve">General information </w:t>
      </w:r>
    </w:p>
    <w:p w:rsidRPr="00DD2EA1" w:rsidR="00A50C69" w:rsidP="00DD2EA1" w:rsidRDefault="006C6F58" w14:paraId="450C84B4" w14:textId="00C11CCB">
      <w:pPr>
        <w:spacing w:after="0" w:line="276" w:lineRule="auto"/>
        <w:rPr>
          <w:rFonts w:asciiTheme="minorHAnsi" w:hAnsiTheme="minorHAnsi"/>
          <w:i/>
          <w:iCs/>
          <w:lang w:val="en-US"/>
        </w:rPr>
      </w:pPr>
      <w:r w:rsidRPr="00DD2EA1">
        <w:rPr>
          <w:rFonts w:asciiTheme="minorHAnsi" w:hAnsiTheme="minorHAnsi"/>
          <w:i/>
          <w:iCs/>
          <w:lang w:val="en-US"/>
        </w:rPr>
        <w:t xml:space="preserve">12. Please provide any other relevant information and good examples on the use of digital technologies and assistive technologies </w:t>
      </w:r>
      <w:proofErr w:type="gramStart"/>
      <w:r w:rsidRPr="00DD2EA1">
        <w:rPr>
          <w:rFonts w:asciiTheme="minorHAnsi" w:hAnsiTheme="minorHAnsi"/>
          <w:i/>
          <w:iCs/>
          <w:lang w:val="en-US"/>
        </w:rPr>
        <w:t>as a means to</w:t>
      </w:r>
      <w:proofErr w:type="gramEnd"/>
      <w:r w:rsidRPr="00DD2EA1">
        <w:rPr>
          <w:rFonts w:asciiTheme="minorHAnsi" w:hAnsiTheme="minorHAnsi"/>
          <w:i/>
          <w:iCs/>
          <w:lang w:val="en-US"/>
        </w:rPr>
        <w:t xml:space="preserve"> reduce time invested in unpaid care work, including quantification of the impact of these technologies under time use surveys or similar</w:t>
      </w:r>
    </w:p>
    <w:p w:rsidR="006A2A8B" w:rsidP="006A2A8B" w:rsidRDefault="006A2A8B" w14:paraId="304FB3DF" w14:textId="77777777">
      <w:pPr>
        <w:spacing w:after="0" w:line="276" w:lineRule="auto"/>
        <w:outlineLvl w:val="9"/>
        <w:rPr>
          <w:color w:val="auto"/>
          <w:szCs w:val="24"/>
          <w:lang w:val="en-GB"/>
        </w:rPr>
      </w:pPr>
    </w:p>
    <w:p w:rsidRPr="00DD2EA1" w:rsidR="006A2A8B" w:rsidP="00DD2EA1" w:rsidRDefault="00DD2EA1" w14:paraId="08BBDF13" w14:textId="6BAA3516">
      <w:pPr>
        <w:pStyle w:val="ListParagraph"/>
        <w:numPr>
          <w:ilvl w:val="0"/>
          <w:numId w:val="13"/>
        </w:numPr>
        <w:spacing w:after="0" w:line="276" w:lineRule="auto"/>
        <w:outlineLvl w:val="9"/>
        <w:rPr>
          <w:color w:val="auto"/>
          <w:szCs w:val="24"/>
          <w:lang w:val="en-GB"/>
        </w:rPr>
      </w:pPr>
      <w:r w:rsidRPr="00DD2EA1">
        <w:rPr>
          <w:color w:val="auto"/>
          <w:szCs w:val="24"/>
          <w:lang w:val="en-GB"/>
        </w:rPr>
        <w:t xml:space="preserve">Report of the UN Independent Expert on the enjoyment of all human rights by older persons (2017): </w:t>
      </w:r>
      <w:hyperlink w:history="1" r:id="rId16">
        <w:r w:rsidRPr="00DD2EA1">
          <w:rPr>
            <w:rStyle w:val="Hyperlink"/>
            <w:szCs w:val="24"/>
            <w:lang w:val="en-GB"/>
          </w:rPr>
          <w:t>https://www.age-platform.eu/sites/default/files/Report%20of%20the%20UN%20Independent%20Expert%20on%20digitalisation%20and%20use%20of%20robots_2017.pdf</w:t>
        </w:r>
      </w:hyperlink>
    </w:p>
    <w:p w:rsidRPr="00DD2EA1" w:rsidR="00DD2EA1" w:rsidP="00DD2EA1" w:rsidRDefault="00DD2EA1" w14:paraId="0103712D" w14:textId="77777777">
      <w:pPr>
        <w:numPr>
          <w:ilvl w:val="0"/>
          <w:numId w:val="12"/>
        </w:numPr>
        <w:spacing w:after="0" w:line="276" w:lineRule="auto"/>
        <w:outlineLvl w:val="9"/>
        <w:rPr>
          <w:color w:val="auto"/>
          <w:szCs w:val="24"/>
        </w:rPr>
      </w:pPr>
      <w:r w:rsidRPr="00DD2EA1">
        <w:rPr>
          <w:color w:val="auto"/>
          <w:szCs w:val="24"/>
        </w:rPr>
        <w:t xml:space="preserve">AGE </w:t>
      </w:r>
      <w:proofErr w:type="spellStart"/>
      <w:r w:rsidRPr="00DD2EA1">
        <w:rPr>
          <w:color w:val="auto"/>
          <w:szCs w:val="24"/>
        </w:rPr>
        <w:t>recent</w:t>
      </w:r>
      <w:proofErr w:type="spellEnd"/>
      <w:r w:rsidRPr="00DD2EA1">
        <w:rPr>
          <w:color w:val="auto"/>
          <w:szCs w:val="24"/>
        </w:rPr>
        <w:t xml:space="preserve"> positions and contributions on new </w:t>
      </w:r>
      <w:proofErr w:type="gramStart"/>
      <w:r w:rsidRPr="00DD2EA1">
        <w:rPr>
          <w:color w:val="auto"/>
          <w:szCs w:val="24"/>
        </w:rPr>
        <w:t>technologies:</w:t>
      </w:r>
      <w:proofErr w:type="gramEnd"/>
    </w:p>
    <w:p w:rsidRPr="00DD2EA1" w:rsidR="00DD2EA1" w:rsidP="00DD2EA1" w:rsidRDefault="00DD2EA1" w14:paraId="7C198DF5" w14:textId="77777777">
      <w:pPr>
        <w:numPr>
          <w:ilvl w:val="1"/>
          <w:numId w:val="12"/>
        </w:numPr>
        <w:spacing w:after="0" w:line="276" w:lineRule="auto"/>
        <w:outlineLvl w:val="9"/>
        <w:rPr>
          <w:color w:val="auto"/>
          <w:szCs w:val="24"/>
          <w:lang w:val="en-US"/>
        </w:rPr>
      </w:pPr>
      <w:hyperlink w:history="1" r:id="rId17">
        <w:r w:rsidRPr="00DD2EA1">
          <w:rPr>
            <w:rStyle w:val="Hyperlink"/>
            <w:szCs w:val="24"/>
            <w:lang w:val="en-US"/>
          </w:rPr>
          <w:t>our contribution to the report of the UN on human rights and new technologies</w:t>
        </w:r>
      </w:hyperlink>
    </w:p>
    <w:p w:rsidRPr="00DD2EA1" w:rsidR="00DD2EA1" w:rsidP="00DD2EA1" w:rsidRDefault="00DD2EA1" w14:paraId="7B67DC33" w14:textId="77777777">
      <w:pPr>
        <w:numPr>
          <w:ilvl w:val="1"/>
          <w:numId w:val="12"/>
        </w:numPr>
        <w:spacing w:after="0" w:line="276" w:lineRule="auto"/>
        <w:outlineLvl w:val="9"/>
        <w:rPr>
          <w:color w:val="auto"/>
          <w:szCs w:val="24"/>
          <w:lang w:val="en-US"/>
        </w:rPr>
      </w:pPr>
      <w:hyperlink w:history="1" r:id="rId18">
        <w:r w:rsidRPr="00DD2EA1">
          <w:rPr>
            <w:rStyle w:val="Hyperlink"/>
            <w:szCs w:val="24"/>
            <w:lang w:val="en-US"/>
          </w:rPr>
          <w:t>our position on the report of the UN Independent Experts on assistive technologies and robots</w:t>
        </w:r>
      </w:hyperlink>
    </w:p>
    <w:p w:rsidRPr="00DD2EA1" w:rsidR="00DD2EA1" w:rsidP="00DD2EA1" w:rsidRDefault="00DD2EA1" w14:paraId="5A7780FE" w14:textId="77777777">
      <w:pPr>
        <w:numPr>
          <w:ilvl w:val="1"/>
          <w:numId w:val="12"/>
        </w:numPr>
        <w:spacing w:after="0" w:line="276" w:lineRule="auto"/>
        <w:outlineLvl w:val="9"/>
        <w:rPr>
          <w:color w:val="auto"/>
          <w:szCs w:val="24"/>
          <w:lang w:val="en-US"/>
        </w:rPr>
      </w:pPr>
      <w:hyperlink w:history="1" r:id="rId19">
        <w:r w:rsidRPr="00DD2EA1">
          <w:rPr>
            <w:rStyle w:val="Hyperlink"/>
            <w:szCs w:val="24"/>
            <w:lang w:val="en-US"/>
          </w:rPr>
          <w:t xml:space="preserve">our Press Release on the Conclusions of the European Council on human rights and </w:t>
        </w:r>
        <w:proofErr w:type="spellStart"/>
        <w:r w:rsidRPr="00DD2EA1">
          <w:rPr>
            <w:rStyle w:val="Hyperlink"/>
            <w:szCs w:val="24"/>
            <w:lang w:val="en-US"/>
          </w:rPr>
          <w:t>digitalisation</w:t>
        </w:r>
        <w:proofErr w:type="spellEnd"/>
      </w:hyperlink>
    </w:p>
    <w:p w:rsidRPr="00DD2EA1" w:rsidR="00DD2EA1" w:rsidP="00DD2EA1" w:rsidRDefault="00DD2EA1" w14:paraId="359C82D7" w14:textId="3FC72EF7">
      <w:pPr>
        <w:numPr>
          <w:ilvl w:val="0"/>
          <w:numId w:val="12"/>
        </w:numPr>
        <w:spacing w:after="0" w:line="276" w:lineRule="auto"/>
        <w:outlineLvl w:val="9"/>
        <w:rPr>
          <w:color w:val="auto"/>
          <w:szCs w:val="24"/>
        </w:rPr>
      </w:pPr>
      <w:proofErr w:type="spellStart"/>
      <w:r w:rsidRPr="00DD2EA1">
        <w:rPr>
          <w:color w:val="auto"/>
          <w:szCs w:val="24"/>
        </w:rPr>
        <w:t>Other</w:t>
      </w:r>
      <w:proofErr w:type="spellEnd"/>
      <w:r w:rsidRPr="00DD2EA1">
        <w:rPr>
          <w:color w:val="auto"/>
          <w:szCs w:val="24"/>
        </w:rPr>
        <w:t xml:space="preserve"> </w:t>
      </w:r>
      <w:proofErr w:type="spellStart"/>
      <w:proofErr w:type="gramStart"/>
      <w:r w:rsidRPr="00DD2EA1">
        <w:rPr>
          <w:color w:val="auto"/>
          <w:szCs w:val="24"/>
        </w:rPr>
        <w:t>resources</w:t>
      </w:r>
      <w:proofErr w:type="spellEnd"/>
      <w:r w:rsidRPr="00DD2EA1">
        <w:rPr>
          <w:color w:val="auto"/>
          <w:szCs w:val="24"/>
        </w:rPr>
        <w:t>:</w:t>
      </w:r>
      <w:proofErr w:type="gramEnd"/>
    </w:p>
    <w:p w:rsidRPr="00DD2EA1" w:rsidR="00DD2EA1" w:rsidP="00DD2EA1" w:rsidRDefault="00DD2EA1" w14:paraId="50544187" w14:textId="77777777">
      <w:pPr>
        <w:numPr>
          <w:ilvl w:val="1"/>
          <w:numId w:val="12"/>
        </w:numPr>
        <w:spacing w:after="0" w:line="276" w:lineRule="auto"/>
        <w:outlineLvl w:val="9"/>
        <w:rPr>
          <w:color w:val="auto"/>
          <w:szCs w:val="24"/>
          <w:lang w:val="en-US"/>
        </w:rPr>
      </w:pPr>
      <w:hyperlink w:tgtFrame="_blank" w:history="1" r:id="rId20">
        <w:r w:rsidRPr="00DD2EA1">
          <w:rPr>
            <w:rStyle w:val="Hyperlink"/>
            <w:szCs w:val="24"/>
            <w:lang w:val="en-US"/>
          </w:rPr>
          <w:t>Council of Europe, the Digital Era, also my era</w:t>
        </w:r>
      </w:hyperlink>
    </w:p>
    <w:p w:rsidR="00DD2EA1" w:rsidP="00DD2EA1" w:rsidRDefault="00DD2EA1" w14:paraId="0CC2F061" w14:textId="77777777">
      <w:pPr>
        <w:numPr>
          <w:ilvl w:val="1"/>
          <w:numId w:val="12"/>
        </w:numPr>
        <w:spacing w:after="0" w:line="276" w:lineRule="auto"/>
        <w:outlineLvl w:val="9"/>
        <w:rPr>
          <w:color w:val="auto"/>
          <w:szCs w:val="24"/>
          <w:lang w:val="en-US"/>
        </w:rPr>
      </w:pPr>
      <w:hyperlink w:tgtFrame="_blank" w:history="1" r:id="rId21">
        <w:proofErr w:type="spellStart"/>
        <w:r w:rsidRPr="00DD2EA1">
          <w:rPr>
            <w:rStyle w:val="Hyperlink"/>
            <w:szCs w:val="24"/>
            <w:lang w:val="en-US"/>
          </w:rPr>
          <w:t>Euroageism</w:t>
        </w:r>
        <w:proofErr w:type="spellEnd"/>
        <w:r w:rsidRPr="00DD2EA1">
          <w:rPr>
            <w:rStyle w:val="Hyperlink"/>
            <w:szCs w:val="24"/>
            <w:lang w:val="en-US"/>
          </w:rPr>
          <w:t xml:space="preserve"> policy brief on new technologies and ageism</w:t>
        </w:r>
      </w:hyperlink>
    </w:p>
    <w:p w:rsidRPr="00DD2EA1" w:rsidR="00A50C69" w:rsidP="00DD2EA1" w:rsidRDefault="00DD2EA1" w14:paraId="5C1C9A1F" w14:textId="5DB0F133">
      <w:pPr>
        <w:numPr>
          <w:ilvl w:val="1"/>
          <w:numId w:val="12"/>
        </w:numPr>
        <w:spacing w:after="0" w:line="276" w:lineRule="auto"/>
        <w:outlineLvl w:val="9"/>
        <w:rPr>
          <w:color w:val="auto"/>
          <w:szCs w:val="24"/>
          <w:lang w:val="en-US"/>
        </w:rPr>
      </w:pPr>
      <w:r w:rsidRPr="00DD2EA1">
        <w:rPr>
          <w:color w:val="auto"/>
          <w:szCs w:val="24"/>
          <w:lang w:val="en-GB"/>
        </w:rPr>
        <w:t xml:space="preserve">University of Essex report ‘A digital cage is still a cage’ (2022): </w:t>
      </w:r>
      <w:hyperlink w:history="1" r:id="rId22">
        <w:r w:rsidRPr="00DD2EA1">
          <w:rPr>
            <w:rStyle w:val="Hyperlink"/>
            <w:szCs w:val="24"/>
            <w:lang w:val="en-GB"/>
          </w:rPr>
          <w:t>https://www.essex.ac.uk/news/2022/06/22/digital-technologies-pose-a-threat-to-human-rights-of-older-people</w:t>
        </w:r>
      </w:hyperlink>
      <w:r w:rsidRPr="00DD2EA1">
        <w:rPr>
          <w:color w:val="auto"/>
          <w:szCs w:val="24"/>
          <w:lang w:val="en-GB"/>
        </w:rPr>
        <w:t xml:space="preserve">  </w:t>
      </w:r>
    </w:p>
    <w:p w:rsidRPr="006A2A8B" w:rsidR="00A50C69" w:rsidRDefault="00A50C69" w14:paraId="50516E67" w14:textId="77777777">
      <w:pPr>
        <w:spacing w:after="0" w:line="276" w:lineRule="auto"/>
        <w:outlineLvl w:val="9"/>
        <w:rPr>
          <w:rFonts w:asciiTheme="minorHAnsi" w:hAnsiTheme="minorHAnsi" w:eastAsiaTheme="majorEastAsia" w:cstheme="minorHAnsi"/>
          <w:color w:val="auto"/>
          <w:spacing w:val="-10"/>
          <w:szCs w:val="24"/>
          <w:lang w:val="en-GB"/>
        </w:rPr>
      </w:pPr>
    </w:p>
    <w:p w:rsidRPr="006A2A8B" w:rsidR="00A50C69" w:rsidRDefault="00A50C69" w14:paraId="5F0548C5" w14:textId="77777777">
      <w:pPr>
        <w:spacing w:after="0" w:line="276" w:lineRule="auto"/>
        <w:outlineLvl w:val="9"/>
        <w:rPr>
          <w:rFonts w:asciiTheme="minorHAnsi" w:hAnsiTheme="minorHAnsi" w:eastAsiaTheme="majorEastAsia" w:cstheme="minorHAnsi"/>
          <w:color w:val="auto"/>
          <w:spacing w:val="-10"/>
          <w:szCs w:val="24"/>
          <w:lang w:val="en-GB"/>
        </w:rPr>
      </w:pPr>
    </w:p>
    <w:p w:rsidR="00A50C69" w:rsidRDefault="00412529" w14:paraId="28F4D1A4" w14:textId="77777777">
      <w:pPr>
        <w:pStyle w:val="Title"/>
        <w:rPr>
          <w:lang w:val="en-GB"/>
        </w:rPr>
      </w:pPr>
      <w:r>
        <w:rPr>
          <w:lang w:val="en-GB"/>
        </w:rPr>
        <w:t>About AGE Platform Europe</w:t>
      </w:r>
    </w:p>
    <w:p w:rsidR="00A50C69" w:rsidRDefault="00412529" w14:paraId="531B5972" w14:textId="77777777">
      <w:pPr>
        <w:rPr>
          <w:lang w:val="en-GB"/>
        </w:rPr>
      </w:pPr>
      <w:r>
        <w:rPr>
          <w:lang w:val="en-GB"/>
        </w:rPr>
        <w:t xml:space="preserve">AGE Platform Europe is the largest </w:t>
      </w:r>
      <w:r>
        <w:rPr>
          <w:lang w:val="en-GB"/>
        </w:rPr>
        <w:t>European network of non-profit organizations of and for older people. We elevate older people’s voice, bringing their experience and aspirations to the table to celebrate ageing and fight for equality at all ages.</w:t>
      </w:r>
    </w:p>
    <w:p w:rsidR="00A50C69" w:rsidRDefault="00412529" w14:paraId="5B43453A" w14:textId="77777777">
      <w:pPr>
        <w:pStyle w:val="Title"/>
        <w:rPr>
          <w:lang w:val="en-GB"/>
        </w:rPr>
      </w:pPr>
      <w:r>
        <w:rPr>
          <w:lang w:val="en-GB"/>
        </w:rPr>
        <w:t xml:space="preserve">Contact </w:t>
      </w:r>
    </w:p>
    <w:p w:rsidR="00C62D84" w:rsidRDefault="00412529" w14:paraId="31DB0E42" w14:textId="77777777">
      <w:pPr>
        <w:rPr>
          <w:lang w:val="en-GB"/>
        </w:rPr>
      </w:pPr>
      <w:r>
        <w:rPr>
          <w:lang w:val="en-GB"/>
        </w:rPr>
        <w:t>For more information</w:t>
      </w:r>
      <w:r w:rsidR="00C62D84">
        <w:rPr>
          <w:lang w:val="en-GB"/>
        </w:rPr>
        <w:t>:</w:t>
      </w:r>
    </w:p>
    <w:p w:rsidRPr="00DD2EA1" w:rsidR="00C62D84" w:rsidP="00DD2EA1" w:rsidRDefault="00C62D84" w14:paraId="513801A5" w14:textId="6942514F">
      <w:pPr>
        <w:pStyle w:val="ListParagraph"/>
        <w:numPr>
          <w:ilvl w:val="0"/>
          <w:numId w:val="14"/>
        </w:numPr>
        <w:rPr>
          <w:lang w:val="en-GB"/>
        </w:rPr>
      </w:pPr>
      <w:r w:rsidRPr="00DD2EA1">
        <w:rPr>
          <w:lang w:val="en-GB"/>
        </w:rPr>
        <w:t xml:space="preserve">Nena Georgantzi, Human Rights Manager – </w:t>
      </w:r>
      <w:hyperlink w:history="1" r:id="rId23">
        <w:r w:rsidRPr="00DD2EA1">
          <w:rPr>
            <w:rStyle w:val="Hyperlink"/>
            <w:lang w:val="en-GB"/>
          </w:rPr>
          <w:t>nena.georgantzi@age-platform.eu</w:t>
        </w:r>
      </w:hyperlink>
      <w:r w:rsidRPr="00DD2EA1">
        <w:rPr>
          <w:lang w:val="en-GB"/>
        </w:rPr>
        <w:t xml:space="preserve"> </w:t>
      </w:r>
    </w:p>
    <w:p w:rsidRPr="00DD2EA1" w:rsidR="00A50C69" w:rsidP="00DD2EA1" w:rsidRDefault="00412529" w14:paraId="3EC3A19B" w14:textId="5E89380C">
      <w:pPr>
        <w:pStyle w:val="ListParagraph"/>
        <w:numPr>
          <w:ilvl w:val="0"/>
          <w:numId w:val="14"/>
        </w:numPr>
        <w:rPr>
          <w:lang w:val="en-US"/>
        </w:rPr>
      </w:pPr>
      <w:r w:rsidRPr="00DD2EA1">
        <w:rPr>
          <w:rFonts w:cstheme="minorHAnsi"/>
          <w:lang w:val="en-GB"/>
        </w:rPr>
        <w:t xml:space="preserve">Julia Wadoux, Policy Manager on healthy ageing and accessibility – </w:t>
      </w:r>
      <w:hyperlink r:id="rId24">
        <w:r w:rsidRPr="00DD2EA1">
          <w:rPr>
            <w:rStyle w:val="Hyperlink"/>
            <w:rFonts w:cstheme="minorHAnsi"/>
            <w:lang w:val="en-GB"/>
          </w:rPr>
          <w:t>julia.wadoux@age-platform.eu</w:t>
        </w:r>
      </w:hyperlink>
    </w:p>
    <w:tbl>
      <w:tblPr>
        <w:tblStyle w:val="TableGrid"/>
        <w:tblW w:w="9016" w:type="dxa"/>
        <w:tblLayout w:type="fixed"/>
        <w:tblLook w:val="04A0" w:firstRow="1" w:lastRow="0" w:firstColumn="1" w:lastColumn="0" w:noHBand="0" w:noVBand="1"/>
      </w:tblPr>
      <w:tblGrid>
        <w:gridCol w:w="2510"/>
        <w:gridCol w:w="3784"/>
        <w:gridCol w:w="2722"/>
      </w:tblGrid>
      <w:tr w:rsidR="00A50C69" w14:paraId="364CDB08" w14:textId="77777777">
        <w:tc>
          <w:tcPr>
            <w:tcW w:w="2510" w:type="dxa"/>
            <w:tcBorders>
              <w:top w:val="nil"/>
              <w:left w:val="nil"/>
              <w:bottom w:val="nil"/>
              <w:right w:val="nil"/>
            </w:tcBorders>
          </w:tcPr>
          <w:p w:rsidR="00A50C69" w:rsidRDefault="00A50C69" w14:paraId="721B817C" w14:textId="77777777">
            <w:pPr>
              <w:tabs>
                <w:tab w:val="right" w:pos="2747"/>
              </w:tabs>
              <w:spacing w:after="0" w:line="240" w:lineRule="auto"/>
              <w:rPr>
                <w:color w:val="104C61"/>
                <w:sz w:val="20"/>
                <w:szCs w:val="20"/>
                <w:lang w:val="en-GB"/>
              </w:rPr>
            </w:pPr>
          </w:p>
          <w:p w:rsidR="00A50C69" w:rsidRDefault="00412529" w14:paraId="24436B82" w14:textId="77777777">
            <w:pPr>
              <w:pStyle w:val="Footer"/>
              <w:rPr>
                <w:lang w:val="en-GB"/>
              </w:rPr>
            </w:pPr>
            <w:r>
              <w:rPr>
                <w:noProof/>
              </w:rPr>
              <w:drawing>
                <wp:inline distT="0" distB="0" distL="0" distR="0" wp14:anchorId="73A2B29F" wp14:editId="43AB6B9B">
                  <wp:extent cx="1082040" cy="694690"/>
                  <wp:effectExtent l="0" t="0" r="0" b="0"/>
                  <wp:docPr id="12" name="Picture 1051313394" descr="Logo AGE Platform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051313394" descr="Logo AGE Platform Europe"/>
                          <pic:cNvPicPr>
                            <a:picLocks noChangeAspect="1" noChangeArrowheads="1"/>
                          </pic:cNvPicPr>
                        </pic:nvPicPr>
                        <pic:blipFill>
                          <a:blip r:embed="rId13"/>
                          <a:stretch>
                            <a:fillRect/>
                          </a:stretch>
                        </pic:blipFill>
                        <pic:spPr bwMode="auto">
                          <a:xfrm>
                            <a:off x="0" y="0"/>
                            <a:ext cx="1082040" cy="694690"/>
                          </a:xfrm>
                          <a:prstGeom prst="rect">
                            <a:avLst/>
                          </a:prstGeom>
                        </pic:spPr>
                      </pic:pic>
                    </a:graphicData>
                  </a:graphic>
                </wp:inline>
              </w:drawing>
            </w:r>
          </w:p>
        </w:tc>
        <w:tc>
          <w:tcPr>
            <w:tcW w:w="3784" w:type="dxa"/>
            <w:tcBorders>
              <w:top w:val="nil"/>
              <w:left w:val="nil"/>
              <w:bottom w:val="nil"/>
              <w:right w:val="nil"/>
            </w:tcBorders>
          </w:tcPr>
          <w:p w:rsidR="00A50C69" w:rsidRDefault="00A50C69" w14:paraId="49801EA3" w14:textId="77777777">
            <w:pPr>
              <w:spacing w:after="0" w:line="240" w:lineRule="auto"/>
              <w:rPr>
                <w:color w:val="104C61"/>
                <w:sz w:val="20"/>
                <w:szCs w:val="20"/>
                <w:lang w:val="en-GB"/>
              </w:rPr>
            </w:pPr>
          </w:p>
          <w:p w:rsidR="00A50C69" w:rsidRDefault="00412529" w14:paraId="532426D5" w14:textId="77777777">
            <w:pPr>
              <w:spacing w:after="0" w:line="276" w:lineRule="auto"/>
              <w:rPr>
                <w:lang w:val="en-GB"/>
              </w:rPr>
            </w:pPr>
            <w:r>
              <w:rPr>
                <w:color w:val="104C61"/>
                <w:sz w:val="20"/>
                <w:szCs w:val="20"/>
                <w:lang w:val="en-GB"/>
              </w:rPr>
              <w:t xml:space="preserve">Av de </w:t>
            </w:r>
            <w:proofErr w:type="spellStart"/>
            <w:r>
              <w:rPr>
                <w:color w:val="104C61"/>
                <w:sz w:val="20"/>
                <w:szCs w:val="20"/>
                <w:lang w:val="en-GB"/>
              </w:rPr>
              <w:t>Tervueren</w:t>
            </w:r>
            <w:proofErr w:type="spellEnd"/>
            <w:r>
              <w:rPr>
                <w:color w:val="104C61"/>
                <w:sz w:val="20"/>
                <w:szCs w:val="20"/>
                <w:lang w:val="en-GB"/>
              </w:rPr>
              <w:t xml:space="preserve">, </w:t>
            </w:r>
            <w:proofErr w:type="spellStart"/>
            <w:r>
              <w:rPr>
                <w:color w:val="104C61"/>
                <w:sz w:val="20"/>
                <w:szCs w:val="20"/>
                <w:lang w:val="en-GB"/>
              </w:rPr>
              <w:t>Tervurenlaan</w:t>
            </w:r>
            <w:proofErr w:type="spellEnd"/>
            <w:r>
              <w:rPr>
                <w:color w:val="104C61"/>
                <w:sz w:val="20"/>
                <w:szCs w:val="20"/>
                <w:lang w:val="en-GB"/>
              </w:rPr>
              <w:t xml:space="preserve"> 168, box 2 - 1150 Brussels, Belgium</w:t>
            </w:r>
            <w:r>
              <w:rPr>
                <w:color w:val="104C61"/>
                <w:sz w:val="20"/>
                <w:szCs w:val="20"/>
                <w:lang w:val="en-GB"/>
              </w:rPr>
              <w:br/>
            </w:r>
            <w:r>
              <w:rPr>
                <w:color w:val="104C61"/>
                <w:sz w:val="20"/>
                <w:szCs w:val="20"/>
                <w:lang w:val="en-GB"/>
              </w:rPr>
              <w:t>Tel: +32.2.280.14.70</w:t>
            </w:r>
          </w:p>
          <w:p w:rsidR="00A50C69" w:rsidRDefault="00412529" w14:paraId="2CF2AE7E" w14:textId="77777777">
            <w:pPr>
              <w:spacing w:after="0" w:line="276" w:lineRule="auto"/>
              <w:rPr>
                <w:lang w:val="en-GB"/>
              </w:rPr>
            </w:pPr>
            <w:r>
              <w:rPr>
                <w:color w:val="F08016"/>
                <w:sz w:val="20"/>
                <w:szCs w:val="20"/>
                <w:lang w:val="en-GB"/>
              </w:rPr>
              <w:t>info@age-platform.eu</w:t>
            </w:r>
          </w:p>
          <w:p w:rsidR="00A50C69" w:rsidRDefault="00A50C69" w14:paraId="751CEDF0" w14:textId="77777777">
            <w:pPr>
              <w:spacing w:after="0" w:line="240" w:lineRule="auto"/>
              <w:rPr>
                <w:color w:val="104C61"/>
                <w:sz w:val="20"/>
                <w:szCs w:val="20"/>
                <w:lang w:val="en-GB"/>
              </w:rPr>
            </w:pPr>
          </w:p>
          <w:p w:rsidR="00A50C69" w:rsidRDefault="00A50C69" w14:paraId="71E10C0B" w14:textId="77777777">
            <w:pPr>
              <w:spacing w:after="0" w:line="240" w:lineRule="auto"/>
              <w:rPr>
                <w:color w:val="104C61"/>
                <w:sz w:val="20"/>
                <w:szCs w:val="20"/>
                <w:lang w:val="en-GB"/>
              </w:rPr>
            </w:pPr>
          </w:p>
        </w:tc>
        <w:tc>
          <w:tcPr>
            <w:tcW w:w="2722" w:type="dxa"/>
            <w:tcBorders>
              <w:top w:val="nil"/>
              <w:left w:val="nil"/>
              <w:bottom w:val="nil"/>
              <w:right w:val="nil"/>
            </w:tcBorders>
          </w:tcPr>
          <w:p w:rsidR="00A50C69" w:rsidRDefault="00A50C69" w14:paraId="6197E593" w14:textId="77777777">
            <w:pPr>
              <w:spacing w:after="0" w:line="276" w:lineRule="auto"/>
              <w:jc w:val="right"/>
              <w:rPr>
                <w:color w:val="104C61"/>
                <w:sz w:val="20"/>
                <w:szCs w:val="20"/>
                <w:lang w:val="en-GB"/>
              </w:rPr>
            </w:pPr>
          </w:p>
          <w:p w:rsidR="00A50C69" w:rsidRDefault="00A50C69" w14:paraId="1B4F21AE" w14:textId="77777777">
            <w:pPr>
              <w:spacing w:after="0" w:line="276" w:lineRule="auto"/>
              <w:jc w:val="right"/>
              <w:rPr>
                <w:color w:val="F08016"/>
                <w:sz w:val="20"/>
                <w:szCs w:val="20"/>
                <w:lang w:val="en-GB"/>
              </w:rPr>
            </w:pPr>
          </w:p>
          <w:p w:rsidR="00A50C69" w:rsidRDefault="00412529" w14:paraId="45CBCB8E" w14:textId="77777777">
            <w:pPr>
              <w:pStyle w:val="Footer"/>
              <w:jc w:val="right"/>
              <w:rPr>
                <w:lang w:val="en-GB"/>
              </w:rPr>
            </w:pPr>
            <w:r>
              <w:rPr>
                <w:noProof/>
              </w:rPr>
              <mc:AlternateContent>
                <mc:Choice Requires="wps">
                  <w:drawing>
                    <wp:anchor distT="3175" distB="3175" distL="635" distR="0" simplePos="0" relativeHeight="251658242" behindDoc="0" locked="0" layoutInCell="1" allowOverlap="1" wp14:anchorId="224BFE3D" wp14:editId="58653756">
                      <wp:simplePos x="0" y="0"/>
                      <wp:positionH relativeFrom="column">
                        <wp:posOffset>-3983990</wp:posOffset>
                      </wp:positionH>
                      <wp:positionV relativeFrom="paragraph">
                        <wp:posOffset>799465</wp:posOffset>
                      </wp:positionV>
                      <wp:extent cx="5565775" cy="635"/>
                      <wp:effectExtent l="635" t="3175" r="0" b="3175"/>
                      <wp:wrapNone/>
                      <wp:docPr id="13" name="Straight Connector 4"/>
                      <wp:cNvGraphicFramePr/>
                      <a:graphic xmlns:a="http://schemas.openxmlformats.org/drawingml/2006/main">
                        <a:graphicData uri="http://schemas.microsoft.com/office/word/2010/wordprocessingShape">
                          <wps:wsp>
                            <wps:cNvCnPr/>
                            <wps:spPr>
                              <a:xfrm>
                                <a:off x="0" y="0"/>
                                <a:ext cx="5565600" cy="720"/>
                              </a:xfrm>
                              <a:prstGeom prst="line">
                                <a:avLst/>
                              </a:prstGeom>
                              <a:ln>
                                <a:solidFill>
                                  <a:srgbClr val="6DC8E4"/>
                                </a:solidFill>
                              </a:ln>
                            </wps:spPr>
                            <wps:style>
                              <a:lnRef idx="1">
                                <a:schemeClr val="accent1"/>
                              </a:lnRef>
                              <a:fillRef idx="0">
                                <a:schemeClr val="accent1"/>
                              </a:fillRef>
                              <a:effectRef idx="0">
                                <a:schemeClr val="accent1"/>
                              </a:effectRef>
                              <a:fontRef idx="minor"/>
                            </wps:style>
                            <wps:bodyPr/>
                          </wps:wsp>
                        </a:graphicData>
                      </a:graphic>
                    </wp:anchor>
                  </w:drawing>
                </mc:Choice>
                <mc:Fallback>
                  <w:pict w14:anchorId="34431E8F">
                    <v:line id="Straight Connector 4" style="position:absolute;z-index:251658242;visibility:visible;mso-wrap-style:square;mso-wrap-distance-left:.05pt;mso-wrap-distance-top:.25pt;mso-wrap-distance-right:0;mso-wrap-distance-bottom:.25pt;mso-position-horizontal:absolute;mso-position-horizontal-relative:text;mso-position-vertical:absolute;mso-position-vertical-relative:text" o:spid="_x0000_s1026" strokecolor="#6dc8e4" strokeweight=".5pt" from="-313.7pt,62.95pt" to="124.55pt,63pt" w14:anchorId="6116A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">
                      <v:stroke joinstyle="miter"/>
                    </v:line>
                  </w:pict>
                </mc:Fallback>
              </mc:AlternateContent>
            </w:r>
            <w:r>
              <w:rPr>
                <w:noProof/>
              </w:rPr>
              <w:drawing>
                <wp:inline distT="0" distB="0" distL="0" distR="0" wp14:anchorId="3E08BB87" wp14:editId="700F0959">
                  <wp:extent cx="1365250" cy="229235"/>
                  <wp:effectExtent l="0" t="0" r="0" b="0"/>
                  <wp:docPr id="14" name="Picture 509529227" descr="www.age-platfor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09529227" descr="www.age-platform.eu"/>
                          <pic:cNvPicPr>
                            <a:picLocks noChangeAspect="1" noChangeArrowheads="1"/>
                          </pic:cNvPicPr>
                        </pic:nvPicPr>
                        <pic:blipFill>
                          <a:blip r:embed="rId14"/>
                          <a:stretch>
                            <a:fillRect/>
                          </a:stretch>
                        </pic:blipFill>
                        <pic:spPr bwMode="auto">
                          <a:xfrm>
                            <a:off x="0" y="0"/>
                            <a:ext cx="1365250" cy="229235"/>
                          </a:xfrm>
                          <a:prstGeom prst="rect">
                            <a:avLst/>
                          </a:prstGeom>
                        </pic:spPr>
                      </pic:pic>
                    </a:graphicData>
                  </a:graphic>
                </wp:inline>
              </w:drawing>
            </w:r>
          </w:p>
        </w:tc>
      </w:tr>
    </w:tbl>
    <w:p w:rsidR="00A50C69" w:rsidRDefault="00A50C69" w14:paraId="3D7B9095" w14:textId="77777777">
      <w:pPr>
        <w:pStyle w:val="Footer"/>
        <w:rPr>
          <w:lang w:val="en-GB"/>
        </w:rPr>
      </w:pPr>
    </w:p>
    <w:tbl>
      <w:tblPr>
        <w:tblStyle w:val="TableGrid"/>
        <w:tblW w:w="9016" w:type="dxa"/>
        <w:tblInd w:w="-5" w:type="dxa"/>
        <w:tblLayout w:type="fixed"/>
        <w:tblLook w:val="04A0" w:firstRow="1" w:lastRow="0" w:firstColumn="1" w:lastColumn="0" w:noHBand="0" w:noVBand="1"/>
      </w:tblPr>
      <w:tblGrid>
        <w:gridCol w:w="1438"/>
        <w:gridCol w:w="7578"/>
      </w:tblGrid>
      <w:tr w:rsidR="00A50C69" w14:paraId="0246D01F" w14:textId="77777777">
        <w:trPr>
          <w:trHeight w:val="1607"/>
        </w:trPr>
        <w:tc>
          <w:tcPr>
            <w:tcW w:w="1438" w:type="dxa"/>
            <w:tcBorders>
              <w:top w:val="nil"/>
              <w:left w:val="nil"/>
              <w:bottom w:val="nil"/>
              <w:right w:val="nil"/>
            </w:tcBorders>
          </w:tcPr>
          <w:p w:rsidR="00A50C69" w:rsidRDefault="00412529" w14:paraId="48667354" w14:textId="77777777">
            <w:pPr>
              <w:spacing w:after="0"/>
              <w:rPr>
                <w:lang w:val="en-GB"/>
              </w:rPr>
            </w:pPr>
            <w:r>
              <w:rPr>
                <w:noProof/>
                <w:lang w:val="en-GB"/>
              </w:rPr>
              <w:drawing>
                <wp:anchor distT="0" distB="0" distL="0" distR="0" simplePos="0" relativeHeight="251658243" behindDoc="0" locked="0" layoutInCell="1" allowOverlap="1" wp14:anchorId="0BE69D56" wp14:editId="292EA56A">
                  <wp:simplePos x="0" y="0"/>
                  <wp:positionH relativeFrom="column">
                    <wp:posOffset>10795</wp:posOffset>
                  </wp:positionH>
                  <wp:positionV relativeFrom="paragraph">
                    <wp:posOffset>28575</wp:posOffset>
                  </wp:positionV>
                  <wp:extent cx="771525" cy="810260"/>
                  <wp:effectExtent l="0" t="0" r="0" b="0"/>
                  <wp:wrapNone/>
                  <wp:docPr id="15" name="Picture 3" descr="European Union Flag - Co-funded by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European Union Flag - Co-funded by the European Union"/>
                          <pic:cNvPicPr>
                            <a:picLocks noChangeAspect="1" noChangeArrowheads="1"/>
                          </pic:cNvPicPr>
                        </pic:nvPicPr>
                        <pic:blipFill>
                          <a:blip r:embed="rId25"/>
                          <a:stretch>
                            <a:fillRect/>
                          </a:stretch>
                        </pic:blipFill>
                        <pic:spPr bwMode="auto">
                          <a:xfrm>
                            <a:off x="0" y="0"/>
                            <a:ext cx="771525" cy="810260"/>
                          </a:xfrm>
                          <a:prstGeom prst="rect">
                            <a:avLst/>
                          </a:prstGeom>
                        </pic:spPr>
                      </pic:pic>
                    </a:graphicData>
                  </a:graphic>
                </wp:anchor>
              </w:drawing>
            </w:r>
          </w:p>
        </w:tc>
        <w:tc>
          <w:tcPr>
            <w:tcW w:w="7577" w:type="dxa"/>
            <w:tcBorders>
              <w:top w:val="nil"/>
              <w:left w:val="nil"/>
              <w:bottom w:val="nil"/>
              <w:right w:val="nil"/>
            </w:tcBorders>
          </w:tcPr>
          <w:p w:rsidR="00A50C69" w:rsidRDefault="00412529" w14:paraId="1D633722" w14:textId="77777777">
            <w:pPr>
              <w:spacing w:after="0" w:line="240" w:lineRule="auto"/>
              <w:rPr>
                <w:lang w:val="en-GB"/>
              </w:rPr>
            </w:pPr>
            <w:r>
              <w:rPr>
                <w:rFonts w:cstheme="minorHAnsi"/>
                <w:sz w:val="18"/>
                <w:szCs w:val="18"/>
                <w:lang w:val="en-GB"/>
              </w:rPr>
              <w:br/>
            </w:r>
            <w:r>
              <w:rPr>
                <w:rFonts w:cstheme="minorHAnsi"/>
                <w:sz w:val="16"/>
                <w:szCs w:val="16"/>
                <w:lang w:val="en-GB"/>
              </w:rPr>
              <w:t xml:space="preserve">Co-funded by the European Union. Views and </w:t>
            </w:r>
            <w:r>
              <w:rPr>
                <w:rFonts w:cstheme="minorHAnsi"/>
                <w:sz w:val="16"/>
                <w:szCs w:val="16"/>
                <w:lang w:val="en-GB"/>
              </w:rPr>
              <w:t>opinions expressed are however those of the author(s) only and do not necessarily reflect those of the European Union. Neither the European Union nor the granting authority can be held responsible for them.</w:t>
            </w:r>
            <w:r>
              <w:rPr>
                <w:rFonts w:cstheme="minorHAnsi"/>
                <w:sz w:val="16"/>
                <w:szCs w:val="16"/>
                <w:lang w:val="en-GB"/>
              </w:rPr>
              <w:br/>
            </w:r>
            <w:r>
              <w:rPr>
                <w:rFonts w:cstheme="minorHAnsi"/>
                <w:sz w:val="16"/>
                <w:szCs w:val="16"/>
                <w:lang w:val="en-GB"/>
              </w:rPr>
              <w:br/>
            </w:r>
            <w:r>
              <w:rPr>
                <w:rFonts w:cstheme="minorHAnsi"/>
                <w:sz w:val="16"/>
                <w:szCs w:val="16"/>
                <w:lang w:val="en-GB"/>
              </w:rPr>
              <w:t>Transparency Register ID: 16549972091-86</w:t>
            </w:r>
          </w:p>
        </w:tc>
      </w:tr>
    </w:tbl>
    <w:p w:rsidRPr="00A36F76" w:rsidR="00A50C69" w:rsidRDefault="00A50C69" w14:paraId="71AAF4A6" w14:textId="77777777">
      <w:pPr>
        <w:pStyle w:val="Heading3"/>
        <w:rPr>
          <w:color w:val="auto"/>
          <w:sz w:val="24"/>
          <w:lang w:val="en-GB"/>
        </w:rPr>
      </w:pPr>
    </w:p>
    <w:sectPr w:rsidRPr="00A36F76" w:rsidR="00A50C69">
      <w:headerReference w:type="even" r:id="rId26"/>
      <w:headerReference w:type="default" r:id="rId27"/>
      <w:footerReference w:type="even" r:id="rId28"/>
      <w:footerReference w:type="default" r:id="rId29"/>
      <w:headerReference w:type="first" r:id="rId30"/>
      <w:footerReference w:type="first" r:id="rId31"/>
      <w:pgSz w:w="11906" w:h="16838" w:orient="portrait"/>
      <w:pgMar w:top="57" w:right="1440" w:bottom="1440" w:left="1440" w:header="0" w:footer="708" w:gutter="0"/>
      <w:pgNumType w:start="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92405" w:rsidRDefault="00792405" w14:paraId="744E43E4" w14:textId="77777777">
      <w:pPr>
        <w:spacing w:after="0" w:line="240" w:lineRule="auto"/>
      </w:pPr>
      <w:r>
        <w:separator/>
      </w:r>
    </w:p>
  </w:endnote>
  <w:endnote w:type="continuationSeparator" w:id="0">
    <w:p w:rsidR="00792405" w:rsidRDefault="00792405" w14:paraId="103D2CF0" w14:textId="77777777">
      <w:pPr>
        <w:spacing w:after="0" w:line="240" w:lineRule="auto"/>
      </w:pPr>
      <w:r>
        <w:continuationSeparator/>
      </w:r>
    </w:p>
  </w:endnote>
  <w:endnote w:type="continuationNotice" w:id="1">
    <w:p w:rsidR="00792405" w:rsidRDefault="00792405" w14:paraId="72151F1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ubik">
    <w:altName w:val="Arial"/>
    <w:charset w:val="00"/>
    <w:family w:val="auto"/>
    <w:pitch w:val="variable"/>
    <w:sig w:usb0="A0002A6F" w:usb1="C000205B" w:usb2="00000000" w:usb3="00000000" w:csb0="000000F7"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ubik Light">
    <w:altName w:val="Arial"/>
    <w:charset w:val="00"/>
    <w:family w:val="auto"/>
    <w:pitch w:val="variable"/>
    <w:sig w:usb0="A0002A6F" w:usb1="C000205B" w:usb2="00000000" w:usb3="00000000" w:csb0="000000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C69" w:rsidRDefault="00A50C69" w14:paraId="4A1533B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Layout w:type="fixed"/>
      <w:tblCellMar>
        <w:left w:w="115" w:type="dxa"/>
        <w:right w:w="115" w:type="dxa"/>
      </w:tblCellMar>
      <w:tblLook w:val="04A0" w:firstRow="1" w:lastRow="0" w:firstColumn="1" w:lastColumn="0" w:noHBand="0" w:noVBand="1"/>
    </w:tblPr>
    <w:tblGrid>
      <w:gridCol w:w="4536"/>
      <w:gridCol w:w="4490"/>
    </w:tblGrid>
    <w:tr w:rsidR="00A50C69" w14:paraId="7CFD064E" w14:textId="77777777">
      <w:trPr>
        <w:trHeight w:val="115" w:hRule="exact"/>
        <w:jc w:val="center"/>
      </w:trPr>
      <w:tc>
        <w:tcPr>
          <w:tcW w:w="4535" w:type="dxa"/>
          <w:shd w:val="clear" w:color="auto" w:fill="F08016" w:themeFill="accent1"/>
        </w:tcPr>
        <w:p w:rsidR="00A50C69" w:rsidRDefault="00A50C69" w14:paraId="34A0600E" w14:textId="77777777">
          <w:pPr>
            <w:pStyle w:val="Header"/>
            <w:rPr>
              <w:caps/>
              <w:sz w:val="18"/>
              <w:lang w:val="en-GB"/>
            </w:rPr>
          </w:pPr>
        </w:p>
      </w:tc>
      <w:tc>
        <w:tcPr>
          <w:tcW w:w="4490" w:type="dxa"/>
          <w:shd w:val="clear" w:color="auto" w:fill="F08016" w:themeFill="accent1"/>
        </w:tcPr>
        <w:p w:rsidR="00A50C69" w:rsidRDefault="00A50C69" w14:paraId="0791BC9A" w14:textId="77777777">
          <w:pPr>
            <w:pStyle w:val="Header"/>
            <w:jc w:val="right"/>
            <w:rPr>
              <w:caps/>
              <w:sz w:val="18"/>
            </w:rPr>
          </w:pPr>
        </w:p>
      </w:tc>
    </w:tr>
    <w:tr w:rsidR="00A50C69" w14:paraId="4F270918" w14:textId="77777777">
      <w:trPr>
        <w:jc w:val="center"/>
      </w:trPr>
      <w:tc>
        <w:tcPr>
          <w:tcW w:w="4535" w:type="dxa"/>
          <w:shd w:val="clear" w:color="auto" w:fill="auto"/>
          <w:tcMar>
            <w:top w:w="144" w:type="dxa"/>
            <w:bottom w:w="144" w:type="dxa"/>
          </w:tcMar>
          <w:vAlign w:val="center"/>
        </w:tcPr>
        <w:p w:rsidR="00A50C69" w:rsidRDefault="00412529" w14:paraId="11E7DE8B" w14:textId="77777777">
          <w:pPr>
            <w:pStyle w:val="Footer"/>
            <w:rPr>
              <w:lang w:val="en-GB"/>
            </w:rPr>
          </w:pPr>
          <w:r>
            <w:rPr>
              <w:caps/>
              <w:color w:val="808080" w:themeColor="background1" w:themeShade="80"/>
              <w:sz w:val="18"/>
              <w:szCs w:val="18"/>
              <w:lang w:val="en-GB"/>
            </w:rPr>
            <w:t>AGE PLATFORM EUROPE</w:t>
          </w:r>
        </w:p>
      </w:tc>
      <w:tc>
        <w:tcPr>
          <w:tcW w:w="4490" w:type="dxa"/>
          <w:shd w:val="clear" w:color="auto" w:fill="auto"/>
          <w:tcMar>
            <w:top w:w="144" w:type="dxa"/>
            <w:bottom w:w="144" w:type="dxa"/>
          </w:tcMar>
          <w:vAlign w:val="center"/>
        </w:tcPr>
        <w:p w:rsidR="00A50C69" w:rsidRDefault="00412529" w14:paraId="075125E2" w14:textId="77777777">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w:instrText>
          </w:r>
          <w:r>
            <w:rPr>
              <w:caps/>
              <w:color w:val="808080" w:themeColor="background1" w:themeShade="80"/>
              <w:sz w:val="18"/>
              <w:szCs w:val="18"/>
            </w:rPr>
            <w:fldChar w:fldCharType="separate"/>
          </w:r>
          <w:r>
            <w:rPr>
              <w:caps/>
              <w:color w:val="808080" w:themeColor="background1" w:themeShade="80"/>
              <w:sz w:val="18"/>
              <w:szCs w:val="18"/>
            </w:rPr>
            <w:t>15</w:t>
          </w:r>
          <w:r>
            <w:rPr>
              <w:caps/>
              <w:color w:val="808080" w:themeColor="background1" w:themeShade="80"/>
              <w:sz w:val="18"/>
              <w:szCs w:val="18"/>
            </w:rPr>
            <w:fldChar w:fldCharType="end"/>
          </w:r>
        </w:p>
      </w:tc>
    </w:tr>
  </w:tbl>
  <w:p w:rsidR="00A50C69" w:rsidRDefault="00A50C69" w14:paraId="2794CE3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C69" w:rsidRDefault="00A50C69" w14:paraId="39B6C4E2" w14:textId="77777777">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92405" w:rsidRDefault="00792405" w14:paraId="19BF7AA3" w14:textId="77777777">
      <w:pPr>
        <w:rPr>
          <w:sz w:val="12"/>
        </w:rPr>
      </w:pPr>
      <w:r>
        <w:separator/>
      </w:r>
    </w:p>
  </w:footnote>
  <w:footnote w:type="continuationSeparator" w:id="0">
    <w:p w:rsidR="00792405" w:rsidRDefault="00792405" w14:paraId="18283B4F" w14:textId="77777777">
      <w:pPr>
        <w:rPr>
          <w:sz w:val="12"/>
        </w:rPr>
      </w:pPr>
      <w:r>
        <w:continuationSeparator/>
      </w:r>
    </w:p>
  </w:footnote>
  <w:footnote w:type="continuationNotice" w:id="1">
    <w:p w:rsidR="00792405" w:rsidRDefault="00792405" w14:paraId="46DE6DAF" w14:textId="77777777">
      <w:pPr>
        <w:spacing w:after="0" w:line="240" w:lineRule="auto"/>
      </w:pPr>
    </w:p>
  </w:footnote>
  <w:footnote w:id="2">
    <w:p w:rsidRPr="003D39D1" w:rsidR="003D39D1" w:rsidRDefault="003D39D1" w14:paraId="006E27BD" w14:textId="28411811">
      <w:pPr>
        <w:pStyle w:val="FootnoteText"/>
        <w:rPr>
          <w:lang w:val="en-US"/>
        </w:rPr>
      </w:pPr>
      <w:r>
        <w:rPr>
          <w:rStyle w:val="FootnoteReference"/>
        </w:rPr>
        <w:footnoteRef/>
      </w:r>
      <w:r w:rsidRPr="003D39D1">
        <w:rPr>
          <w:lang w:val="en-US"/>
        </w:rPr>
        <w:t xml:space="preserve"> World Health </w:t>
      </w:r>
      <w:proofErr w:type="spellStart"/>
      <w:r w:rsidRPr="003D39D1">
        <w:rPr>
          <w:lang w:val="en-US"/>
        </w:rPr>
        <w:t>Organisation</w:t>
      </w:r>
      <w:proofErr w:type="spellEnd"/>
      <w:r w:rsidRPr="003D39D1">
        <w:rPr>
          <w:lang w:val="en-US"/>
        </w:rPr>
        <w:t xml:space="preserve">. Assistive devices and technologies [Internet]. 2015; Peek STM, Wouters EJM, van Hoof J, </w:t>
      </w:r>
      <w:proofErr w:type="spellStart"/>
      <w:r w:rsidRPr="003D39D1">
        <w:rPr>
          <w:lang w:val="en-US"/>
        </w:rPr>
        <w:t>Luijkx</w:t>
      </w:r>
      <w:proofErr w:type="spellEnd"/>
      <w:r w:rsidRPr="003D39D1">
        <w:rPr>
          <w:lang w:val="en-US"/>
        </w:rPr>
        <w:t xml:space="preserve"> KG, Boeije HR, </w:t>
      </w:r>
      <w:proofErr w:type="spellStart"/>
      <w:r w:rsidRPr="003D39D1">
        <w:rPr>
          <w:lang w:val="en-US"/>
        </w:rPr>
        <w:t>Vrijhoef</w:t>
      </w:r>
      <w:proofErr w:type="spellEnd"/>
      <w:r w:rsidRPr="003D39D1">
        <w:rPr>
          <w:lang w:val="en-US"/>
        </w:rPr>
        <w:t xml:space="preserve"> HJM. Factors influencing acceptance of technology for aging in place: a systematic review. </w:t>
      </w:r>
      <w:r w:rsidRPr="00A37CAC">
        <w:rPr>
          <w:lang w:val="en-US"/>
        </w:rPr>
        <w:t>Int J Med Inform [Internet]. 2014 Apr;83(4):235–48.</w:t>
      </w:r>
    </w:p>
  </w:footnote>
  <w:footnote w:id="3">
    <w:p w:rsidRPr="006248DC" w:rsidR="006248DC" w:rsidRDefault="006248DC" w14:paraId="139DBD2B" w14:textId="700339E9">
      <w:pPr>
        <w:pStyle w:val="FootnoteText"/>
        <w:rPr>
          <w:lang w:val="en-US"/>
        </w:rPr>
      </w:pPr>
      <w:r>
        <w:rPr>
          <w:rStyle w:val="FootnoteReference"/>
        </w:rPr>
        <w:footnoteRef/>
      </w:r>
      <w:r w:rsidRPr="00A37CAC">
        <w:rPr>
          <w:lang w:val="en-US"/>
        </w:rPr>
        <w:t xml:space="preserve"> </w:t>
      </w:r>
      <w:proofErr w:type="spellStart"/>
      <w:r w:rsidRPr="00A37CAC" w:rsidR="00A37CAC">
        <w:rPr>
          <w:lang w:val="en-US"/>
        </w:rPr>
        <w:t>Sorell</w:t>
      </w:r>
      <w:proofErr w:type="spellEnd"/>
      <w:r w:rsidRPr="00A37CAC" w:rsidR="00A37CAC">
        <w:rPr>
          <w:lang w:val="en-US"/>
        </w:rPr>
        <w:t>, T., &amp; Draper, H. (2014). Robot carers, ethics, and older people. Ethics Inf Technol, 16, 183-195</w:t>
      </w:r>
    </w:p>
  </w:footnote>
  <w:footnote w:id="4">
    <w:p w:rsidRPr="00A37CAC" w:rsidR="006248DC" w:rsidRDefault="006248DC" w14:paraId="60894053" w14:textId="6518B1B8">
      <w:pPr>
        <w:pStyle w:val="FootnoteText"/>
        <w:rPr>
          <w:lang w:val="en-US"/>
        </w:rPr>
      </w:pPr>
      <w:r>
        <w:rPr>
          <w:rStyle w:val="FootnoteReference"/>
        </w:rPr>
        <w:footnoteRef/>
      </w:r>
      <w:r w:rsidRPr="00A37CAC">
        <w:rPr>
          <w:lang w:val="en-US"/>
        </w:rPr>
        <w:t xml:space="preserve"> </w:t>
      </w:r>
      <w:r w:rsidRPr="00A37CAC" w:rsidR="00A37CAC">
        <w:rPr>
          <w:lang w:val="en-US"/>
        </w:rPr>
        <w:t>See for example: https://ec.europa.eu/digital-single-market/en/content/rgs-reaching-out-brain-recoverythrough-serious-gaming and http://www.i-prognosis.eu</w:t>
      </w:r>
    </w:p>
  </w:footnote>
  <w:footnote w:id="5">
    <w:p w:rsidRPr="006248DC" w:rsidR="006248DC" w:rsidRDefault="006248DC" w14:paraId="7DC79641" w14:textId="2C7F4798">
      <w:pPr>
        <w:pStyle w:val="FootnoteText"/>
        <w:rPr>
          <w:lang w:val="en-US"/>
        </w:rPr>
      </w:pPr>
      <w:r>
        <w:rPr>
          <w:rStyle w:val="FootnoteReference"/>
        </w:rPr>
        <w:footnoteRef/>
      </w:r>
      <w:r w:rsidRPr="00A37CAC">
        <w:rPr>
          <w:lang w:val="en-US"/>
        </w:rPr>
        <w:t xml:space="preserve"> </w:t>
      </w:r>
      <w:proofErr w:type="spellStart"/>
      <w:r w:rsidRPr="00A37CAC" w:rsidR="00A37CAC">
        <w:rPr>
          <w:lang w:val="en-US"/>
        </w:rPr>
        <w:t>Flandorfer</w:t>
      </w:r>
      <w:proofErr w:type="spellEnd"/>
      <w:r w:rsidRPr="00A37CAC" w:rsidR="00A37CAC">
        <w:rPr>
          <w:lang w:val="en-US"/>
        </w:rPr>
        <w:t>, P. (2012). Population Ageing and Socially Assistive Robots for Elderly Persons: The Importance of Sociodemographic Factors for User Acceptance. International Journal of Population Research, 2012.</w:t>
      </w:r>
    </w:p>
  </w:footnote>
  <w:footnote w:id="6">
    <w:p w:rsidRPr="006248DC" w:rsidR="006248DC" w:rsidRDefault="006248DC" w14:paraId="4A75F6A0" w14:textId="5C3C92F4">
      <w:pPr>
        <w:pStyle w:val="FootnoteText"/>
        <w:rPr>
          <w:lang w:val="en-US"/>
        </w:rPr>
      </w:pPr>
      <w:r>
        <w:rPr>
          <w:rStyle w:val="FootnoteReference"/>
        </w:rPr>
        <w:footnoteRef/>
      </w:r>
      <w:r w:rsidRPr="00A37CAC">
        <w:rPr>
          <w:lang w:val="en-US"/>
        </w:rPr>
        <w:t xml:space="preserve"> </w:t>
      </w:r>
      <w:r w:rsidRPr="00A37CAC" w:rsidR="00A37CAC">
        <w:rPr>
          <w:lang w:val="en-US"/>
        </w:rPr>
        <w:t xml:space="preserve">https://www.euronews.com/2019/09/23/are-videogames-the-future-of-parkinson-s-disease-diagnosis </w:t>
      </w:r>
    </w:p>
  </w:footnote>
  <w:footnote w:id="7">
    <w:p w:rsidRPr="006248DC" w:rsidR="006248DC" w:rsidRDefault="006248DC" w14:paraId="798E604F" w14:textId="3E846D83">
      <w:pPr>
        <w:pStyle w:val="FootnoteText"/>
        <w:rPr>
          <w:lang w:val="en-US"/>
        </w:rPr>
      </w:pPr>
      <w:r>
        <w:rPr>
          <w:rStyle w:val="FootnoteReference"/>
        </w:rPr>
        <w:footnoteRef/>
      </w:r>
      <w:r w:rsidRPr="00A37CAC">
        <w:rPr>
          <w:lang w:val="en-US"/>
        </w:rPr>
        <w:t xml:space="preserve"> </w:t>
      </w:r>
      <w:proofErr w:type="spellStart"/>
      <w:r w:rsidRPr="00A37CAC" w:rsidR="00A37CAC">
        <w:rPr>
          <w:lang w:val="en-US"/>
        </w:rPr>
        <w:t>Wolbring</w:t>
      </w:r>
      <w:proofErr w:type="spellEnd"/>
      <w:r w:rsidRPr="00A37CAC" w:rsidR="00A37CAC">
        <w:rPr>
          <w:lang w:val="en-US"/>
        </w:rPr>
        <w:t xml:space="preserve"> G, </w:t>
      </w:r>
      <w:proofErr w:type="spellStart"/>
      <w:r w:rsidRPr="00A37CAC" w:rsidR="00A37CAC">
        <w:rPr>
          <w:lang w:val="en-US"/>
        </w:rPr>
        <w:t>Lashewicz</w:t>
      </w:r>
      <w:proofErr w:type="spellEnd"/>
      <w:r w:rsidRPr="00A37CAC" w:rsidR="00A37CAC">
        <w:rPr>
          <w:lang w:val="en-US"/>
        </w:rPr>
        <w:t xml:space="preserve"> B. Home Care Technology Through an Ability Expectation Lens. </w:t>
      </w:r>
      <w:r w:rsidRPr="00232131" w:rsidR="00A37CAC">
        <w:rPr>
          <w:lang w:val="en-US"/>
        </w:rPr>
        <w:t>J Med Internet Res</w:t>
      </w:r>
      <w:r w:rsidRPr="00232131" w:rsidR="00232131">
        <w:rPr>
          <w:sz w:val="24"/>
          <w:szCs w:val="22"/>
          <w:lang w:val="en-US"/>
        </w:rPr>
        <w:t xml:space="preserve"> </w:t>
      </w:r>
      <w:r w:rsidRPr="00232131" w:rsidR="00232131">
        <w:rPr>
          <w:lang w:val="en-US"/>
        </w:rPr>
        <w:t>[Internet]. 2014;16(6):1. e</w:t>
      </w:r>
    </w:p>
  </w:footnote>
  <w:footnote w:id="8">
    <w:p w:rsidRPr="006248DC" w:rsidR="006248DC" w:rsidRDefault="006248DC" w14:paraId="074061FF" w14:textId="66B50370">
      <w:pPr>
        <w:pStyle w:val="FootnoteText"/>
        <w:rPr>
          <w:lang w:val="en-US"/>
        </w:rPr>
      </w:pPr>
      <w:r>
        <w:rPr>
          <w:rStyle w:val="FootnoteReference"/>
        </w:rPr>
        <w:footnoteRef/>
      </w:r>
      <w:r w:rsidRPr="00A37CAC">
        <w:rPr>
          <w:lang w:val="en-US"/>
        </w:rPr>
        <w:t xml:space="preserve"> </w:t>
      </w:r>
      <w:r w:rsidRPr="00232131" w:rsidR="00232131">
        <w:rPr>
          <w:lang w:val="en-US"/>
        </w:rPr>
        <w:t xml:space="preserve">Siegel C, Dorner TE. Information technologies for active and assisted living-Influences </w:t>
      </w:r>
      <w:proofErr w:type="gramStart"/>
      <w:r w:rsidRPr="00232131" w:rsidR="00232131">
        <w:rPr>
          <w:lang w:val="en-US"/>
        </w:rPr>
        <w:t>to</w:t>
      </w:r>
      <w:proofErr w:type="gramEnd"/>
      <w:r w:rsidRPr="00232131" w:rsidR="00232131">
        <w:rPr>
          <w:lang w:val="en-US"/>
        </w:rPr>
        <w:t xml:space="preserve"> the quality of life of an ageing society. Int J Med Inform [Internet]. </w:t>
      </w:r>
      <w:proofErr w:type="gramStart"/>
      <w:r w:rsidRPr="00232131" w:rsidR="00232131">
        <w:rPr>
          <w:lang w:val="en-US"/>
        </w:rPr>
        <w:t>2017;100:32</w:t>
      </w:r>
      <w:proofErr w:type="gramEnd"/>
      <w:r w:rsidRPr="00232131" w:rsidR="00232131">
        <w:rPr>
          <w:lang w:val="en-US"/>
        </w:rPr>
        <w:t>–45.</w:t>
      </w:r>
    </w:p>
  </w:footnote>
  <w:footnote w:id="9">
    <w:p w:rsidRPr="006248DC" w:rsidR="006248DC" w:rsidRDefault="006248DC" w14:paraId="77906510" w14:textId="306736EA">
      <w:pPr>
        <w:pStyle w:val="FootnoteText"/>
        <w:rPr>
          <w:lang w:val="en-US"/>
        </w:rPr>
      </w:pPr>
      <w:r>
        <w:rPr>
          <w:rStyle w:val="FootnoteReference"/>
        </w:rPr>
        <w:footnoteRef/>
      </w:r>
      <w:r w:rsidRPr="00A37CAC">
        <w:rPr>
          <w:lang w:val="en-US"/>
        </w:rPr>
        <w:t xml:space="preserve"> </w:t>
      </w:r>
      <w:r w:rsidRPr="00232131" w:rsidR="00232131">
        <w:rPr>
          <w:lang w:val="en-US"/>
        </w:rPr>
        <w:t>Baisch, S., Kolling, T., Schall, A., Rühl, S., Selic, S., Kim, Z., et al. (2017). Acceptance of Social Robots by Elder People: Does Psychosocial Functioning Matter? International Journal of Social Robotics, 9(2), 293-307.</w:t>
      </w:r>
    </w:p>
  </w:footnote>
  <w:footnote w:id="10">
    <w:p w:rsidRPr="006248DC" w:rsidR="006248DC" w:rsidRDefault="006248DC" w14:paraId="4D8A6A43" w14:textId="2AA99A4B">
      <w:pPr>
        <w:pStyle w:val="FootnoteText"/>
        <w:rPr>
          <w:lang w:val="en-US"/>
        </w:rPr>
      </w:pPr>
      <w:r>
        <w:rPr>
          <w:rStyle w:val="FootnoteReference"/>
        </w:rPr>
        <w:footnoteRef/>
      </w:r>
      <w:r w:rsidRPr="00A37CAC">
        <w:rPr>
          <w:lang w:val="en-US"/>
        </w:rPr>
        <w:t xml:space="preserve"> </w:t>
      </w:r>
      <w:r w:rsidRPr="00232131" w:rsidR="00232131">
        <w:t>Ibid.</w:t>
      </w:r>
    </w:p>
  </w:footnote>
  <w:footnote w:id="11">
    <w:p w:rsidR="00A37CAC" w:rsidP="00A37CAC" w:rsidRDefault="00A37CAC" w14:paraId="6F3BD0A9" w14:textId="77777777">
      <w:pPr>
        <w:pStyle w:val="FootnoteText"/>
        <w:rPr>
          <w:lang w:val="en-US"/>
        </w:rPr>
      </w:pPr>
      <w:r>
        <w:rPr>
          <w:rStyle w:val="FootnoteCharacters1"/>
        </w:rPr>
        <w:footnoteRef/>
      </w:r>
      <w:r>
        <w:rPr>
          <w:lang w:val="en-US"/>
        </w:rPr>
        <w:t xml:space="preserve"> </w:t>
      </w:r>
      <w:hyperlink r:id="rId1">
        <w:r>
          <w:rPr>
            <w:rStyle w:val="Hyperlink"/>
            <w:lang w:val="en-US"/>
          </w:rPr>
          <w:t>Global Report on Ageism</w:t>
        </w:r>
      </w:hyperlink>
      <w:r>
        <w:rPr>
          <w:lang w:val="en-US"/>
        </w:rPr>
        <w:t>, WHO, 2021</w:t>
      </w:r>
    </w:p>
  </w:footnote>
  <w:footnote w:id="12">
    <w:p w:rsidR="00A37CAC" w:rsidP="00A37CAC" w:rsidRDefault="00A37CAC" w14:paraId="64C0DDD3" w14:textId="77777777">
      <w:pPr>
        <w:pStyle w:val="FootnoteText"/>
        <w:rPr>
          <w:lang w:val="en-US"/>
        </w:rPr>
      </w:pPr>
      <w:r>
        <w:rPr>
          <w:rStyle w:val="FootnoteCharacters1"/>
        </w:rPr>
        <w:footnoteRef/>
      </w:r>
      <w:r>
        <w:rPr>
          <w:lang w:val="en-US"/>
        </w:rPr>
        <w:t xml:space="preserve"> </w:t>
      </w:r>
      <w:proofErr w:type="spellStart"/>
      <w:r>
        <w:rPr>
          <w:lang w:val="en-US"/>
        </w:rPr>
        <w:t>Euroageism</w:t>
      </w:r>
      <w:proofErr w:type="spellEnd"/>
      <w:r>
        <w:rPr>
          <w:lang w:val="en-US"/>
        </w:rPr>
        <w:t xml:space="preserve"> Policy Brief (2021), </w:t>
      </w:r>
      <w:hyperlink r:id="rId2">
        <w:r>
          <w:rPr>
            <w:rStyle w:val="Hyperlink"/>
            <w:lang w:val="en-US"/>
          </w:rPr>
          <w:t>Ageism and digital technology</w:t>
        </w:r>
      </w:hyperlink>
    </w:p>
  </w:footnote>
  <w:footnote w:id="13">
    <w:p w:rsidR="00A37CAC" w:rsidP="00A37CAC" w:rsidRDefault="00A37CAC" w14:paraId="7A4E1B29" w14:textId="77777777">
      <w:pPr>
        <w:pStyle w:val="FootnoteText"/>
        <w:rPr>
          <w:lang w:val="en-US"/>
        </w:rPr>
      </w:pPr>
      <w:r>
        <w:rPr>
          <w:rStyle w:val="FootnoteCharacters1"/>
        </w:rPr>
        <w:footnoteRef/>
      </w:r>
      <w:r>
        <w:rPr>
          <w:lang w:val="en-US"/>
        </w:rPr>
        <w:t xml:space="preserve"> </w:t>
      </w:r>
      <w:proofErr w:type="spellStart"/>
      <w:r>
        <w:rPr>
          <w:lang w:val="en-US"/>
        </w:rPr>
        <w:t>Euroageism</w:t>
      </w:r>
      <w:proofErr w:type="spellEnd"/>
      <w:r>
        <w:rPr>
          <w:lang w:val="en-US"/>
        </w:rPr>
        <w:t xml:space="preserve"> Policy Brief (2021), </w:t>
      </w:r>
      <w:hyperlink r:id="rId3">
        <w:r>
          <w:rPr>
            <w:rStyle w:val="Hyperlink"/>
            <w:lang w:val="en-US"/>
          </w:rPr>
          <w:t>Ageism and digital technology</w:t>
        </w:r>
      </w:hyperlink>
    </w:p>
  </w:footnote>
  <w:footnote w:id="14">
    <w:p w:rsidR="00A37CAC" w:rsidP="00A37CAC" w:rsidRDefault="00A37CAC" w14:paraId="2174E9C2" w14:textId="77777777">
      <w:pPr>
        <w:pStyle w:val="FootnoteText"/>
        <w:rPr>
          <w:lang w:val="en-US"/>
        </w:rPr>
      </w:pPr>
      <w:r>
        <w:rPr>
          <w:rStyle w:val="FootnoteCharacters1"/>
        </w:rPr>
        <w:footnoteRef/>
      </w:r>
      <w:r>
        <w:rPr>
          <w:lang w:val="en-US"/>
        </w:rPr>
        <w:t xml:space="preserve"> McDonough, C.C.: The Effect of Ageism on the Digital Divide Among Older Adults. </w:t>
      </w:r>
      <w:proofErr w:type="spellStart"/>
      <w:r>
        <w:rPr>
          <w:lang w:val="en-US"/>
        </w:rPr>
        <w:t>Gerontol</w:t>
      </w:r>
      <w:proofErr w:type="spellEnd"/>
      <w:r>
        <w:rPr>
          <w:lang w:val="en-US"/>
        </w:rPr>
        <w:t xml:space="preserve">. </w:t>
      </w:r>
      <w:proofErr w:type="spellStart"/>
      <w:r>
        <w:rPr>
          <w:lang w:val="en-US"/>
        </w:rPr>
        <w:t>Geriatr</w:t>
      </w:r>
      <w:proofErr w:type="spellEnd"/>
      <w:r>
        <w:rPr>
          <w:lang w:val="en-US"/>
        </w:rPr>
        <w:t xml:space="preserve">. Med. 2, 1–7 (2016). </w:t>
      </w:r>
      <w:hyperlink r:id="rId4">
        <w:r>
          <w:rPr>
            <w:rStyle w:val="Hyperlink"/>
            <w:lang w:val="en-US"/>
          </w:rPr>
          <w:t>https://doi.org/10.24966/ggm-8662/100008</w:t>
        </w:r>
      </w:hyperlink>
    </w:p>
  </w:footnote>
  <w:footnote w:id="15">
    <w:p w:rsidR="00A37CAC" w:rsidP="00A37CAC" w:rsidRDefault="00A37CAC" w14:paraId="1D3886AE" w14:textId="77777777">
      <w:pPr>
        <w:pStyle w:val="FootnoteText"/>
        <w:rPr>
          <w:rFonts w:asciiTheme="minorHAnsi" w:hAnsiTheme="minorHAnsi" w:cstheme="minorHAnsi"/>
          <w:lang w:val="en-US"/>
        </w:rPr>
      </w:pPr>
      <w:r>
        <w:rPr>
          <w:rStyle w:val="FootnoteCharacters1"/>
        </w:rPr>
        <w:footnoteRef/>
      </w:r>
      <w:r>
        <w:rPr>
          <w:rFonts w:cstheme="minorHAnsi"/>
          <w:lang w:val="en-US"/>
        </w:rPr>
        <w:t xml:space="preserve"> </w:t>
      </w:r>
      <w:r>
        <w:rPr>
          <w:rFonts w:cstheme="minorHAnsi"/>
          <w:color w:val="212121"/>
          <w:shd w:val="clear" w:color="auto" w:fill="FFFFFF"/>
          <w:lang w:val="en-US"/>
        </w:rPr>
        <w:t xml:space="preserve">Ungar A, Cherubini A, </w:t>
      </w:r>
      <w:proofErr w:type="spellStart"/>
      <w:r>
        <w:rPr>
          <w:rFonts w:cstheme="minorHAnsi"/>
          <w:color w:val="212121"/>
          <w:shd w:val="clear" w:color="auto" w:fill="FFFFFF"/>
          <w:lang w:val="en-US"/>
        </w:rPr>
        <w:t>Fratiglioni</w:t>
      </w:r>
      <w:proofErr w:type="spellEnd"/>
      <w:r>
        <w:rPr>
          <w:rFonts w:cstheme="minorHAnsi"/>
          <w:color w:val="212121"/>
          <w:shd w:val="clear" w:color="auto" w:fill="FFFFFF"/>
          <w:lang w:val="en-US"/>
        </w:rPr>
        <w:t xml:space="preserve"> L, de la Fuente-Núñez V, Fried L, </w:t>
      </w:r>
      <w:proofErr w:type="spellStart"/>
      <w:r>
        <w:rPr>
          <w:rFonts w:cstheme="minorHAnsi"/>
          <w:color w:val="212121"/>
          <w:shd w:val="clear" w:color="auto" w:fill="FFFFFF"/>
          <w:lang w:val="en-US"/>
        </w:rPr>
        <w:t>Krasovitsky</w:t>
      </w:r>
      <w:proofErr w:type="spellEnd"/>
      <w:r>
        <w:rPr>
          <w:rFonts w:cstheme="minorHAnsi"/>
          <w:color w:val="212121"/>
          <w:shd w:val="clear" w:color="auto" w:fill="FFFFFF"/>
          <w:lang w:val="en-US"/>
        </w:rPr>
        <w:t xml:space="preserve"> MS, Tinetti M, Officer A, Vellas B, Ferrucci L. </w:t>
      </w:r>
      <w:hyperlink r:id="rId5">
        <w:r>
          <w:rPr>
            <w:rStyle w:val="Hyperlink"/>
            <w:rFonts w:cstheme="minorHAnsi"/>
            <w:shd w:val="clear" w:color="auto" w:fill="FFFFFF"/>
            <w:lang w:val="en-US"/>
          </w:rPr>
          <w:t>Carta of Florence against ageism. No place for ageism in health care</w:t>
        </w:r>
      </w:hyperlink>
      <w:r>
        <w:rPr>
          <w:rFonts w:cstheme="minorHAnsi"/>
          <w:color w:val="212121"/>
          <w:shd w:val="clear" w:color="auto" w:fill="FFFFFF"/>
          <w:lang w:val="en-US"/>
        </w:rPr>
        <w:t xml:space="preserve">. </w:t>
      </w:r>
      <w:proofErr w:type="spellStart"/>
      <w:r>
        <w:rPr>
          <w:rFonts w:cstheme="minorHAnsi"/>
          <w:color w:val="212121"/>
          <w:shd w:val="clear" w:color="auto" w:fill="FFFFFF"/>
          <w:lang w:val="en-US"/>
        </w:rPr>
        <w:t>Eur</w:t>
      </w:r>
      <w:proofErr w:type="spellEnd"/>
      <w:r>
        <w:rPr>
          <w:rFonts w:cstheme="minorHAnsi"/>
          <w:color w:val="212121"/>
          <w:shd w:val="clear" w:color="auto" w:fill="FFFFFF"/>
          <w:lang w:val="en-US"/>
        </w:rPr>
        <w:t xml:space="preserve"> </w:t>
      </w:r>
      <w:proofErr w:type="spellStart"/>
      <w:r>
        <w:rPr>
          <w:rFonts w:cstheme="minorHAnsi"/>
          <w:color w:val="212121"/>
          <w:shd w:val="clear" w:color="auto" w:fill="FFFFFF"/>
          <w:lang w:val="en-US"/>
        </w:rPr>
        <w:t>Geriatr</w:t>
      </w:r>
      <w:proofErr w:type="spellEnd"/>
      <w:r>
        <w:rPr>
          <w:rFonts w:cstheme="minorHAnsi"/>
          <w:color w:val="212121"/>
          <w:shd w:val="clear" w:color="auto" w:fill="FFFFFF"/>
          <w:lang w:val="en-US"/>
        </w:rPr>
        <w:t xml:space="preserve"> Med. 2024 Apr;15(2):285-290. </w:t>
      </w:r>
      <w:proofErr w:type="spellStart"/>
      <w:r>
        <w:rPr>
          <w:rFonts w:cstheme="minorHAnsi"/>
          <w:color w:val="212121"/>
          <w:shd w:val="clear" w:color="auto" w:fill="FFFFFF"/>
          <w:lang w:val="en-US"/>
        </w:rPr>
        <w:t>doi</w:t>
      </w:r>
      <w:proofErr w:type="spellEnd"/>
      <w:r>
        <w:rPr>
          <w:rFonts w:cstheme="minorHAnsi"/>
          <w:color w:val="212121"/>
          <w:shd w:val="clear" w:color="auto" w:fill="FFFFFF"/>
          <w:lang w:val="en-US"/>
        </w:rPr>
        <w:t>: 10.1007/s41999-024-00938-7. PMID: 38418711; PMCID: PMC10997702.</w:t>
      </w:r>
    </w:p>
  </w:footnote>
  <w:footnote w:id="16">
    <w:p w:rsidR="00A37CAC" w:rsidP="00A37CAC" w:rsidRDefault="00A37CAC" w14:paraId="1C937477" w14:textId="77777777">
      <w:pPr>
        <w:pStyle w:val="FootnoteText"/>
        <w:rPr>
          <w:lang w:val="en-US"/>
        </w:rPr>
      </w:pPr>
      <w:r>
        <w:rPr>
          <w:rStyle w:val="FootnoteCharacters1"/>
        </w:rPr>
        <w:footnoteRef/>
      </w:r>
      <w:r>
        <w:rPr>
          <w:lang w:val="en-US"/>
        </w:rPr>
        <w:t xml:space="preserve"> </w:t>
      </w:r>
      <w:proofErr w:type="spellStart"/>
      <w:r>
        <w:rPr>
          <w:lang w:val="en-US"/>
        </w:rPr>
        <w:t>Stypinka</w:t>
      </w:r>
      <w:proofErr w:type="spellEnd"/>
      <w:r>
        <w:rPr>
          <w:lang w:val="en-US"/>
        </w:rPr>
        <w:t xml:space="preserve"> J, </w:t>
      </w:r>
      <w:proofErr w:type="spellStart"/>
      <w:r>
        <w:rPr>
          <w:lang w:val="en-US"/>
        </w:rPr>
        <w:t>Roselas</w:t>
      </w:r>
      <w:proofErr w:type="spellEnd"/>
      <w:r>
        <w:rPr>
          <w:lang w:val="en-US"/>
        </w:rPr>
        <w:t xml:space="preserve"> A, Svensson J, </w:t>
      </w:r>
      <w:hyperlink r:id="rId6">
        <w:r>
          <w:rPr>
            <w:rStyle w:val="Hyperlink"/>
            <w:lang w:val="en-US"/>
          </w:rPr>
          <w:t>“Silicon Valley Ageism – ideologies and practices of expulsion in the technology industry</w:t>
        </w:r>
      </w:hyperlink>
      <w:r>
        <w:rPr>
          <w:lang w:val="en-US"/>
        </w:rPr>
        <w:t>” in Technological Ageism, Routledge.</w:t>
      </w:r>
    </w:p>
  </w:footnote>
  <w:footnote w:id="17">
    <w:p w:rsidR="00A37CAC" w:rsidP="00A37CAC" w:rsidRDefault="00A37CAC" w14:paraId="5FE7B5FF" w14:textId="77777777">
      <w:pPr>
        <w:spacing w:after="0" w:line="240" w:lineRule="auto"/>
        <w:outlineLvl w:val="9"/>
        <w:rPr>
          <w:rFonts w:asciiTheme="minorHAnsi" w:hAnsiTheme="minorHAnsi" w:cstheme="minorHAnsi"/>
          <w:i/>
          <w:iCs/>
          <w:color w:val="auto"/>
          <w:kern w:val="0"/>
          <w:sz w:val="20"/>
          <w:szCs w:val="20"/>
          <w:lang w:val="en-US"/>
        </w:rPr>
      </w:pPr>
      <w:r>
        <w:rPr>
          <w:rStyle w:val="FootnoteCharacters1"/>
        </w:rPr>
        <w:footnoteRef/>
      </w:r>
      <w:r w:rsidRPr="009868C0">
        <w:rPr>
          <w:sz w:val="20"/>
          <w:szCs w:val="20"/>
          <w:lang w:val="en-US"/>
        </w:rPr>
        <w:t xml:space="preserve"> </w:t>
      </w:r>
      <w:r w:rsidRPr="009868C0">
        <w:rPr>
          <w:rFonts w:cstheme="minorHAnsi"/>
          <w:color w:val="auto"/>
          <w:kern w:val="0"/>
          <w:sz w:val="20"/>
          <w:szCs w:val="20"/>
          <w:lang w:val="en-US"/>
        </w:rPr>
        <w:t>Rosales, A. &amp; Fernández-</w:t>
      </w:r>
      <w:proofErr w:type="spellStart"/>
      <w:r w:rsidRPr="009868C0">
        <w:rPr>
          <w:rFonts w:cstheme="minorHAnsi"/>
          <w:color w:val="auto"/>
          <w:kern w:val="0"/>
          <w:sz w:val="20"/>
          <w:szCs w:val="20"/>
          <w:lang w:val="en-US"/>
        </w:rPr>
        <w:t>Ardèvol</w:t>
      </w:r>
      <w:proofErr w:type="spellEnd"/>
      <w:r w:rsidRPr="009868C0">
        <w:rPr>
          <w:rFonts w:cstheme="minorHAnsi"/>
          <w:color w:val="auto"/>
          <w:kern w:val="0"/>
          <w:sz w:val="20"/>
          <w:szCs w:val="20"/>
          <w:lang w:val="en-US"/>
        </w:rPr>
        <w:t xml:space="preserve">, M. (2019). </w:t>
      </w:r>
      <w:r>
        <w:rPr>
          <w:rFonts w:cstheme="minorHAnsi"/>
          <w:color w:val="auto"/>
          <w:kern w:val="0"/>
          <w:sz w:val="20"/>
          <w:szCs w:val="20"/>
          <w:lang w:val="en-US"/>
        </w:rPr>
        <w:t xml:space="preserve">Structural ageism in big data approaches. </w:t>
      </w:r>
      <w:proofErr w:type="spellStart"/>
      <w:r>
        <w:rPr>
          <w:rFonts w:cstheme="minorHAnsi"/>
          <w:i/>
          <w:iCs/>
          <w:color w:val="auto"/>
          <w:kern w:val="0"/>
          <w:sz w:val="20"/>
          <w:szCs w:val="20"/>
          <w:lang w:val="en-US"/>
        </w:rPr>
        <w:t>Nordicom</w:t>
      </w:r>
      <w:proofErr w:type="spellEnd"/>
      <w:r>
        <w:rPr>
          <w:rFonts w:cstheme="minorHAnsi"/>
          <w:i/>
          <w:iCs/>
          <w:color w:val="auto"/>
          <w:kern w:val="0"/>
          <w:sz w:val="20"/>
          <w:szCs w:val="20"/>
          <w:lang w:val="en-US"/>
        </w:rPr>
        <w:t xml:space="preserve"> Review, </w:t>
      </w:r>
      <w:r>
        <w:rPr>
          <w:rFonts w:cstheme="minorHAnsi"/>
          <w:color w:val="auto"/>
          <w:kern w:val="0"/>
          <w:sz w:val="20"/>
          <w:szCs w:val="20"/>
          <w:lang w:val="en-US"/>
        </w:rPr>
        <w:t>40 (Special Issue 1): 51-64. doi:10.2478/nor-2019-0013.</w:t>
      </w:r>
    </w:p>
  </w:footnote>
  <w:footnote w:id="18">
    <w:p w:rsidR="00A37CAC" w:rsidP="00A37CAC" w:rsidRDefault="00A37CAC" w14:paraId="573DDD63" w14:textId="77777777">
      <w:pPr>
        <w:spacing w:after="0" w:line="240" w:lineRule="auto"/>
        <w:outlineLvl w:val="9"/>
        <w:rPr>
          <w:rFonts w:asciiTheme="minorHAnsi" w:hAnsiTheme="minorHAnsi" w:cstheme="minorHAnsi"/>
          <w:color w:val="auto"/>
          <w:kern w:val="0"/>
          <w:sz w:val="20"/>
          <w:szCs w:val="20"/>
          <w:lang w:val="en-US"/>
        </w:rPr>
      </w:pPr>
      <w:r>
        <w:rPr>
          <w:rStyle w:val="FootnoteCharacters1"/>
        </w:rPr>
        <w:footnoteRef/>
      </w:r>
      <w:r>
        <w:rPr>
          <w:sz w:val="20"/>
          <w:szCs w:val="20"/>
          <w:lang w:val="en-US"/>
        </w:rPr>
        <w:t xml:space="preserve"> </w:t>
      </w:r>
      <w:r>
        <w:rPr>
          <w:rFonts w:cstheme="minorHAnsi"/>
          <w:color w:val="auto"/>
          <w:kern w:val="0"/>
          <w:sz w:val="20"/>
          <w:szCs w:val="20"/>
          <w:lang w:val="en-US"/>
        </w:rPr>
        <w:t xml:space="preserve">Stypinska J and Franke A (2023) AI revolution in healthcare and medicine and the (re)emergence of inequalities and disadvantages for </w:t>
      </w:r>
      <w:r w:rsidRPr="007934EA">
        <w:rPr>
          <w:rFonts w:cstheme="minorHAnsi"/>
          <w:color w:val="auto"/>
          <w:kern w:val="0"/>
          <w:sz w:val="20"/>
          <w:szCs w:val="20"/>
          <w:lang w:val="en-US"/>
        </w:rPr>
        <w:t>ageing</w:t>
      </w:r>
      <w:r>
        <w:rPr>
          <w:rFonts w:cstheme="minorHAnsi"/>
          <w:color w:val="auto"/>
          <w:kern w:val="0"/>
          <w:sz w:val="20"/>
          <w:szCs w:val="20"/>
          <w:lang w:val="en-US"/>
        </w:rPr>
        <w:t xml:space="preserve"> population. </w:t>
      </w:r>
      <w:r>
        <w:rPr>
          <w:rFonts w:cstheme="minorHAnsi"/>
          <w:i/>
          <w:iCs/>
          <w:color w:val="auto"/>
          <w:kern w:val="0"/>
          <w:sz w:val="20"/>
          <w:szCs w:val="20"/>
          <w:lang w:val="en-US"/>
        </w:rPr>
        <w:t xml:space="preserve">Front. </w:t>
      </w:r>
      <w:proofErr w:type="spellStart"/>
      <w:r>
        <w:rPr>
          <w:rFonts w:cstheme="minorHAnsi"/>
          <w:i/>
          <w:iCs/>
          <w:color w:val="auto"/>
          <w:kern w:val="0"/>
          <w:sz w:val="20"/>
          <w:szCs w:val="20"/>
          <w:lang w:val="en-US"/>
        </w:rPr>
        <w:t>Sociol</w:t>
      </w:r>
      <w:proofErr w:type="spellEnd"/>
      <w:r>
        <w:rPr>
          <w:rFonts w:cstheme="minorHAnsi"/>
          <w:i/>
          <w:iCs/>
          <w:color w:val="auto"/>
          <w:kern w:val="0"/>
          <w:sz w:val="20"/>
          <w:szCs w:val="20"/>
          <w:lang w:val="en-US"/>
        </w:rPr>
        <w:t xml:space="preserve">. </w:t>
      </w:r>
      <w:r>
        <w:rPr>
          <w:rFonts w:cstheme="minorHAnsi"/>
          <w:color w:val="auto"/>
          <w:kern w:val="0"/>
          <w:sz w:val="20"/>
          <w:szCs w:val="20"/>
          <w:lang w:val="en-US"/>
        </w:rPr>
        <w:t>7:1038854.</w:t>
      </w:r>
    </w:p>
    <w:p w:rsidR="00A37CAC" w:rsidP="00A37CAC" w:rsidRDefault="00A37CAC" w14:paraId="7B63126D" w14:textId="77777777">
      <w:pPr>
        <w:pStyle w:val="FootnoteText"/>
        <w:rPr>
          <w:lang w:val="en-US"/>
        </w:rPr>
      </w:pPr>
      <w:proofErr w:type="spellStart"/>
      <w:r>
        <w:rPr>
          <w:rFonts w:cstheme="minorHAnsi"/>
          <w:color w:val="auto"/>
          <w:kern w:val="0"/>
          <w:lang w:val="en-US"/>
        </w:rPr>
        <w:t>doi</w:t>
      </w:r>
      <w:proofErr w:type="spellEnd"/>
      <w:r>
        <w:rPr>
          <w:rFonts w:cstheme="minorHAnsi"/>
          <w:color w:val="auto"/>
          <w:kern w:val="0"/>
          <w:lang w:val="en-US"/>
        </w:rPr>
        <w:t>: 10.3389/fsoc.2022.1038854</w:t>
      </w:r>
    </w:p>
  </w:footnote>
  <w:footnote w:id="19">
    <w:p w:rsidR="00A37CAC" w:rsidP="00A37CAC" w:rsidRDefault="00A37CAC" w14:paraId="22C6DC48" w14:textId="418E0D1C">
      <w:pPr>
        <w:spacing w:after="0" w:line="240" w:lineRule="auto"/>
        <w:outlineLvl w:val="9"/>
        <w:rPr>
          <w:rFonts w:asciiTheme="minorHAnsi" w:hAnsiTheme="minorHAnsi" w:cstheme="minorHAnsi"/>
          <w:color w:val="auto"/>
          <w:kern w:val="0"/>
          <w:sz w:val="20"/>
          <w:szCs w:val="20"/>
          <w:lang w:val="en-US"/>
        </w:rPr>
      </w:pPr>
      <w:r>
        <w:rPr>
          <w:rStyle w:val="FootnoteCharacters1"/>
        </w:rPr>
        <w:footnoteRef/>
      </w:r>
      <w:r>
        <w:rPr>
          <w:sz w:val="20"/>
          <w:szCs w:val="20"/>
          <w:lang w:val="en-US"/>
        </w:rPr>
        <w:t xml:space="preserve"> </w:t>
      </w:r>
      <w:hyperlink w:history="1" r:id="rId7">
        <w:r w:rsidRPr="000F7AFD" w:rsidR="00232131">
          <w:rPr>
            <w:rStyle w:val="Hyperlink"/>
            <w:sz w:val="20"/>
            <w:szCs w:val="20"/>
            <w:lang w:val="en-US"/>
          </w:rPr>
          <w:t>https://www.age-platform.eu/sites/default/files/UN_questionnaire_digital_technologies_2019-AGE_reply.pdf</w:t>
        </w:r>
      </w:hyperlink>
      <w:r w:rsidR="00232131">
        <w:rPr>
          <w:sz w:val="20"/>
          <w:szCs w:val="20"/>
          <w:lang w:val="en-US"/>
        </w:rPr>
        <w:t xml:space="preserve"> </w:t>
      </w:r>
      <w:r w:rsidRPr="00232131" w:rsidR="00232131">
        <w:rPr>
          <w:sz w:val="20"/>
          <w:szCs w:val="20"/>
          <w:lang w:val="en-US"/>
        </w:rPr>
        <w:t xml:space="preserve"> </w:t>
      </w:r>
      <w:r w:rsidR="00232131">
        <w:rPr>
          <w:sz w:val="20"/>
          <w:szCs w:val="20"/>
          <w:lang w:val="en-US"/>
        </w:rPr>
        <w:t xml:space="preserve">; </w:t>
      </w:r>
      <w:r>
        <w:rPr>
          <w:rFonts w:cstheme="minorHAnsi"/>
          <w:color w:val="auto"/>
          <w:kern w:val="0"/>
          <w:sz w:val="20"/>
          <w:szCs w:val="20"/>
          <w:lang w:val="en-US"/>
        </w:rPr>
        <w:t xml:space="preserve">Stypinska J and Franke A (2023) AI revolution in healthcare and medicine and the (re)emergence of inequalities and disadvantages for </w:t>
      </w:r>
      <w:r w:rsidRPr="007934EA">
        <w:rPr>
          <w:rFonts w:cstheme="minorHAnsi"/>
          <w:color w:val="auto"/>
          <w:kern w:val="0"/>
          <w:sz w:val="20"/>
          <w:szCs w:val="20"/>
          <w:lang w:val="en-US"/>
        </w:rPr>
        <w:t>ageing</w:t>
      </w:r>
      <w:r>
        <w:rPr>
          <w:rFonts w:cstheme="minorHAnsi"/>
          <w:color w:val="auto"/>
          <w:kern w:val="0"/>
          <w:sz w:val="20"/>
          <w:szCs w:val="20"/>
          <w:lang w:val="en-US"/>
        </w:rPr>
        <w:t xml:space="preserve"> population. </w:t>
      </w:r>
      <w:r>
        <w:rPr>
          <w:rFonts w:cstheme="minorHAnsi"/>
          <w:i/>
          <w:iCs/>
          <w:color w:val="auto"/>
          <w:kern w:val="0"/>
          <w:sz w:val="20"/>
          <w:szCs w:val="20"/>
          <w:lang w:val="en-US"/>
        </w:rPr>
        <w:t xml:space="preserve">Front. </w:t>
      </w:r>
      <w:proofErr w:type="spellStart"/>
      <w:r>
        <w:rPr>
          <w:rFonts w:cstheme="minorHAnsi"/>
          <w:i/>
          <w:iCs/>
          <w:color w:val="auto"/>
          <w:kern w:val="0"/>
          <w:sz w:val="20"/>
          <w:szCs w:val="20"/>
          <w:lang w:val="en-US"/>
        </w:rPr>
        <w:t>Sociol</w:t>
      </w:r>
      <w:proofErr w:type="spellEnd"/>
      <w:r>
        <w:rPr>
          <w:rFonts w:cstheme="minorHAnsi"/>
          <w:i/>
          <w:iCs/>
          <w:color w:val="auto"/>
          <w:kern w:val="0"/>
          <w:sz w:val="20"/>
          <w:szCs w:val="20"/>
          <w:lang w:val="en-US"/>
        </w:rPr>
        <w:t xml:space="preserve">. </w:t>
      </w:r>
      <w:r>
        <w:rPr>
          <w:rFonts w:cstheme="minorHAnsi"/>
          <w:color w:val="auto"/>
          <w:kern w:val="0"/>
          <w:sz w:val="20"/>
          <w:szCs w:val="20"/>
          <w:lang w:val="en-US"/>
        </w:rPr>
        <w:t xml:space="preserve">7:1038854. </w:t>
      </w:r>
      <w:proofErr w:type="spellStart"/>
      <w:r>
        <w:rPr>
          <w:rFonts w:cstheme="minorHAnsi"/>
          <w:color w:val="auto"/>
          <w:kern w:val="0"/>
          <w:sz w:val="20"/>
          <w:szCs w:val="20"/>
          <w:lang w:val="en-US"/>
        </w:rPr>
        <w:t>doi</w:t>
      </w:r>
      <w:proofErr w:type="spellEnd"/>
      <w:r>
        <w:rPr>
          <w:rFonts w:cstheme="minorHAnsi"/>
          <w:color w:val="auto"/>
          <w:kern w:val="0"/>
          <w:sz w:val="20"/>
          <w:szCs w:val="20"/>
          <w:lang w:val="en-US"/>
        </w:rPr>
        <w:t>: 10.3389/fsoc.2022.1038854</w:t>
      </w:r>
    </w:p>
  </w:footnote>
  <w:footnote w:id="20">
    <w:p w:rsidR="00A37CAC" w:rsidP="00A37CAC" w:rsidRDefault="00A37CAC" w14:paraId="41FD7339" w14:textId="77777777">
      <w:pPr>
        <w:spacing w:after="0" w:line="240" w:lineRule="auto"/>
        <w:rPr>
          <w:sz w:val="20"/>
          <w:szCs w:val="20"/>
          <w:lang w:val="en-US"/>
        </w:rPr>
      </w:pPr>
      <w:r>
        <w:rPr>
          <w:rStyle w:val="FootnoteCharacters1"/>
        </w:rPr>
        <w:footnoteRef/>
      </w:r>
      <w:r>
        <w:rPr>
          <w:sz w:val="20"/>
          <w:szCs w:val="20"/>
          <w:lang w:val="en-US"/>
        </w:rPr>
        <w:t xml:space="preserve"> </w:t>
      </w:r>
      <w:proofErr w:type="spellStart"/>
      <w:r>
        <w:rPr>
          <w:sz w:val="20"/>
          <w:szCs w:val="20"/>
          <w:lang w:val="en-US"/>
        </w:rPr>
        <w:t>Equinet</w:t>
      </w:r>
      <w:proofErr w:type="spellEnd"/>
      <w:r>
        <w:rPr>
          <w:sz w:val="20"/>
          <w:szCs w:val="20"/>
          <w:lang w:val="en-US"/>
        </w:rPr>
        <w:t>, report by Robin Allen and Dee Masters, “</w:t>
      </w:r>
      <w:hyperlink r:id="rId8">
        <w:r>
          <w:rPr>
            <w:rStyle w:val="Hyperlink"/>
            <w:sz w:val="20"/>
            <w:szCs w:val="20"/>
            <w:lang w:val="en-US"/>
          </w:rPr>
          <w:t xml:space="preserve">Meeting the new challenges to equality and non-discrimination from increased </w:t>
        </w:r>
        <w:proofErr w:type="spellStart"/>
        <w:r>
          <w:rPr>
            <w:rStyle w:val="Hyperlink"/>
            <w:sz w:val="20"/>
            <w:szCs w:val="20"/>
            <w:lang w:val="en-US"/>
          </w:rPr>
          <w:t>digitisation</w:t>
        </w:r>
        <w:proofErr w:type="spellEnd"/>
        <w:r>
          <w:rPr>
            <w:rStyle w:val="Hyperlink"/>
            <w:sz w:val="20"/>
            <w:szCs w:val="20"/>
            <w:lang w:val="en-US"/>
          </w:rPr>
          <w:t xml:space="preserve"> and the use of Artificial Intelligence</w:t>
        </w:r>
      </w:hyperlink>
      <w:r>
        <w:rPr>
          <w:sz w:val="20"/>
          <w:szCs w:val="20"/>
          <w:lang w:val="en-US"/>
        </w:rPr>
        <w:t>”, 2020.</w:t>
      </w:r>
    </w:p>
  </w:footnote>
  <w:footnote w:id="21">
    <w:p w:rsidRPr="00A37CAC" w:rsidR="00A37CAC" w:rsidP="00A37CAC" w:rsidRDefault="00A37CAC" w14:paraId="333A2CF9" w14:textId="77777777">
      <w:pPr>
        <w:spacing w:after="0" w:line="240" w:lineRule="auto"/>
        <w:outlineLvl w:val="9"/>
        <w:rPr>
          <w:rFonts w:asciiTheme="minorHAnsi" w:hAnsiTheme="minorHAnsi" w:cstheme="minorHAnsi"/>
          <w:color w:val="auto"/>
          <w:kern w:val="0"/>
          <w:sz w:val="20"/>
          <w:szCs w:val="20"/>
        </w:rPr>
      </w:pPr>
      <w:r>
        <w:rPr>
          <w:rStyle w:val="FootnoteCharacters1"/>
        </w:rPr>
        <w:footnoteRef/>
      </w:r>
      <w:r>
        <w:rPr>
          <w:sz w:val="20"/>
          <w:szCs w:val="20"/>
          <w:lang w:val="en-US"/>
        </w:rPr>
        <w:t xml:space="preserve"> </w:t>
      </w:r>
      <w:r>
        <w:rPr>
          <w:rFonts w:cstheme="minorHAnsi"/>
          <w:color w:val="auto"/>
          <w:kern w:val="0"/>
          <w:sz w:val="20"/>
          <w:szCs w:val="20"/>
          <w:lang w:val="en-US"/>
        </w:rPr>
        <w:t xml:space="preserve">Stypinska J and Franke A (2023) AI revolution in healthcare and medicine and the (re)emergence of inequalities and disadvantages for </w:t>
      </w:r>
      <w:r w:rsidRPr="007934EA">
        <w:rPr>
          <w:rFonts w:cstheme="minorHAnsi"/>
          <w:color w:val="auto"/>
          <w:kern w:val="0"/>
          <w:sz w:val="20"/>
          <w:szCs w:val="20"/>
          <w:lang w:val="en-US"/>
        </w:rPr>
        <w:t>ageing</w:t>
      </w:r>
      <w:r>
        <w:rPr>
          <w:rFonts w:cstheme="minorHAnsi"/>
          <w:color w:val="auto"/>
          <w:kern w:val="0"/>
          <w:sz w:val="20"/>
          <w:szCs w:val="20"/>
          <w:lang w:val="en-US"/>
        </w:rPr>
        <w:t xml:space="preserve"> population. </w:t>
      </w:r>
      <w:r w:rsidRPr="00A37CAC">
        <w:rPr>
          <w:rFonts w:cstheme="minorHAnsi"/>
          <w:i/>
          <w:iCs/>
          <w:color w:val="auto"/>
          <w:kern w:val="0"/>
          <w:sz w:val="20"/>
          <w:szCs w:val="20"/>
        </w:rPr>
        <w:t xml:space="preserve">Front. </w:t>
      </w:r>
      <w:proofErr w:type="spellStart"/>
      <w:r w:rsidRPr="00A37CAC">
        <w:rPr>
          <w:rFonts w:cstheme="minorHAnsi"/>
          <w:i/>
          <w:iCs/>
          <w:color w:val="auto"/>
          <w:kern w:val="0"/>
          <w:sz w:val="20"/>
          <w:szCs w:val="20"/>
        </w:rPr>
        <w:t>Sociol</w:t>
      </w:r>
      <w:proofErr w:type="spellEnd"/>
      <w:r w:rsidRPr="00A37CAC">
        <w:rPr>
          <w:rFonts w:cstheme="minorHAnsi"/>
          <w:i/>
          <w:iCs/>
          <w:color w:val="auto"/>
          <w:kern w:val="0"/>
          <w:sz w:val="20"/>
          <w:szCs w:val="20"/>
        </w:rPr>
        <w:t xml:space="preserve">. </w:t>
      </w:r>
      <w:proofErr w:type="gramStart"/>
      <w:r w:rsidRPr="00A37CAC">
        <w:rPr>
          <w:rFonts w:cstheme="minorHAnsi"/>
          <w:color w:val="auto"/>
          <w:kern w:val="0"/>
          <w:sz w:val="20"/>
          <w:szCs w:val="20"/>
        </w:rPr>
        <w:t>7:</w:t>
      </w:r>
      <w:proofErr w:type="gramEnd"/>
      <w:r w:rsidRPr="00A37CAC">
        <w:rPr>
          <w:rFonts w:cstheme="minorHAnsi"/>
          <w:color w:val="auto"/>
          <w:kern w:val="0"/>
          <w:sz w:val="20"/>
          <w:szCs w:val="20"/>
        </w:rPr>
        <w:t>1038854.</w:t>
      </w:r>
    </w:p>
    <w:p w:rsidRPr="00A37CAC" w:rsidR="00A37CAC" w:rsidP="00A37CAC" w:rsidRDefault="00A37CAC" w14:paraId="59DC0913" w14:textId="77777777">
      <w:pPr>
        <w:pStyle w:val="FootnoteText"/>
        <w:rPr>
          <w:rFonts w:asciiTheme="minorHAnsi" w:hAnsiTheme="minorHAnsi" w:cstheme="minorHAnsi"/>
        </w:rPr>
      </w:pPr>
      <w:proofErr w:type="spellStart"/>
      <w:proofErr w:type="gramStart"/>
      <w:r w:rsidRPr="00A37CAC">
        <w:rPr>
          <w:rFonts w:cstheme="minorHAnsi"/>
          <w:color w:val="auto"/>
          <w:kern w:val="0"/>
        </w:rPr>
        <w:t>doi</w:t>
      </w:r>
      <w:proofErr w:type="spellEnd"/>
      <w:r w:rsidRPr="00A37CAC">
        <w:rPr>
          <w:rFonts w:cstheme="minorHAnsi"/>
          <w:color w:val="auto"/>
          <w:kern w:val="0"/>
        </w:rPr>
        <w:t>:</w:t>
      </w:r>
      <w:proofErr w:type="gramEnd"/>
      <w:r w:rsidRPr="00A37CAC">
        <w:rPr>
          <w:rFonts w:cstheme="minorHAnsi"/>
          <w:color w:val="auto"/>
          <w:kern w:val="0"/>
        </w:rPr>
        <w:t xml:space="preserve"> 10.3389/fsoc.2022.1038854</w:t>
      </w:r>
    </w:p>
  </w:footnote>
  <w:footnote w:id="22">
    <w:p w:rsidRPr="00232131" w:rsidR="00232131" w:rsidRDefault="00232131" w14:paraId="7BF37173" w14:textId="334813FA">
      <w:pPr>
        <w:pStyle w:val="FootnoteText"/>
        <w:rPr>
          <w:lang w:val="en-US"/>
        </w:rPr>
      </w:pPr>
      <w:r>
        <w:rPr>
          <w:rStyle w:val="FootnoteReference"/>
        </w:rPr>
        <w:footnoteRef/>
      </w:r>
      <w:r w:rsidRPr="00232131">
        <w:rPr>
          <w:lang w:val="en-US"/>
        </w:rPr>
        <w:t xml:space="preserve"> </w:t>
      </w:r>
      <w:r w:rsidRPr="00232131">
        <w:rPr>
          <w:lang w:val="en-US"/>
        </w:rPr>
        <w:t xml:space="preserve">Neves B, Amaro F. Too Old </w:t>
      </w:r>
      <w:proofErr w:type="gramStart"/>
      <w:r w:rsidRPr="00232131">
        <w:rPr>
          <w:lang w:val="en-US"/>
        </w:rPr>
        <w:t>For</w:t>
      </w:r>
      <w:proofErr w:type="gramEnd"/>
      <w:r w:rsidRPr="00232131">
        <w:rPr>
          <w:lang w:val="en-US"/>
        </w:rPr>
        <w:t xml:space="preserve"> Technology? How The Elderly </w:t>
      </w:r>
      <w:proofErr w:type="gramStart"/>
      <w:r w:rsidRPr="00232131">
        <w:rPr>
          <w:lang w:val="en-US"/>
        </w:rPr>
        <w:t>Of</w:t>
      </w:r>
      <w:proofErr w:type="gramEnd"/>
      <w:r w:rsidRPr="00232131">
        <w:rPr>
          <w:lang w:val="en-US"/>
        </w:rPr>
        <w:t xml:space="preserve"> Lisbon Use And Perceive ICT. J Community Informatics [Internet]. 2012 Mar 8;8(1 SE-Articles)</w:t>
      </w:r>
      <w:proofErr w:type="gramStart"/>
      <w:r w:rsidRPr="00232131">
        <w:rPr>
          <w:lang w:val="en-US"/>
        </w:rPr>
        <w:t>. ;</w:t>
      </w:r>
      <w:proofErr w:type="gramEnd"/>
      <w:r w:rsidRPr="00232131">
        <w:rPr>
          <w:lang w:val="en-US"/>
        </w:rPr>
        <w:t xml:space="preserve"> Hauk N, </w:t>
      </w:r>
      <w:proofErr w:type="spellStart"/>
      <w:r w:rsidRPr="00232131">
        <w:rPr>
          <w:lang w:val="en-US"/>
        </w:rPr>
        <w:t>Hüffmeier</w:t>
      </w:r>
      <w:proofErr w:type="spellEnd"/>
      <w:r w:rsidRPr="00232131">
        <w:rPr>
          <w:lang w:val="en-US"/>
        </w:rPr>
        <w:t xml:space="preserve"> J, Krumm S. Ready to be a Silver Surfer? A Meta-analysis on the Relationship Between Chronological Age and Technology Acceptance. </w:t>
      </w:r>
      <w:proofErr w:type="spellStart"/>
      <w:r w:rsidRPr="00232131">
        <w:rPr>
          <w:lang w:val="en-US"/>
        </w:rPr>
        <w:t>Comput</w:t>
      </w:r>
      <w:proofErr w:type="spellEnd"/>
      <w:r w:rsidRPr="00232131">
        <w:rPr>
          <w:lang w:val="en-US"/>
        </w:rPr>
        <w:t xml:space="preserve"> Human </w:t>
      </w:r>
      <w:proofErr w:type="spellStart"/>
      <w:r w:rsidRPr="00232131">
        <w:rPr>
          <w:lang w:val="en-US"/>
        </w:rPr>
        <w:t>Behav</w:t>
      </w:r>
      <w:proofErr w:type="spellEnd"/>
      <w:r w:rsidRPr="00232131">
        <w:rPr>
          <w:lang w:val="en-US"/>
        </w:rPr>
        <w:t xml:space="preserve">. </w:t>
      </w:r>
      <w:proofErr w:type="gramStart"/>
      <w:r w:rsidRPr="00232131">
        <w:rPr>
          <w:lang w:val="en-US"/>
        </w:rPr>
        <w:t>2018;84:304</w:t>
      </w:r>
      <w:proofErr w:type="gramEnd"/>
      <w:r w:rsidRPr="00232131">
        <w:rPr>
          <w:lang w:val="en-US"/>
        </w:rPr>
        <w:t>–19.</w:t>
      </w:r>
    </w:p>
  </w:footnote>
  <w:footnote w:id="23">
    <w:p w:rsidRPr="00232131" w:rsidR="00232131" w:rsidRDefault="00232131" w14:paraId="028DA3F2" w14:textId="69F4A678">
      <w:pPr>
        <w:pStyle w:val="FootnoteText"/>
        <w:rPr>
          <w:lang w:val="en-US"/>
        </w:rPr>
      </w:pPr>
      <w:r>
        <w:rPr>
          <w:rStyle w:val="FootnoteReference"/>
        </w:rPr>
        <w:footnoteRef/>
      </w:r>
      <w:r w:rsidRPr="00232131">
        <w:rPr>
          <w:lang w:val="en-US"/>
        </w:rPr>
        <w:t xml:space="preserve"> </w:t>
      </w:r>
      <w:r w:rsidRPr="00232131">
        <w:rPr>
          <w:lang w:val="en-US"/>
        </w:rPr>
        <w:t xml:space="preserve">Hudson, J., </w:t>
      </w:r>
      <w:proofErr w:type="spellStart"/>
      <w:r w:rsidRPr="00232131">
        <w:rPr>
          <w:lang w:val="en-US"/>
        </w:rPr>
        <w:t>Orviska</w:t>
      </w:r>
      <w:proofErr w:type="spellEnd"/>
      <w:r w:rsidRPr="00232131">
        <w:rPr>
          <w:lang w:val="en-US"/>
        </w:rPr>
        <w:t xml:space="preserve">, M., &amp; </w:t>
      </w:r>
      <w:proofErr w:type="spellStart"/>
      <w:r w:rsidRPr="00232131">
        <w:rPr>
          <w:lang w:val="en-US"/>
        </w:rPr>
        <w:t>Hunady</w:t>
      </w:r>
      <w:proofErr w:type="spellEnd"/>
      <w:r w:rsidRPr="00232131">
        <w:rPr>
          <w:lang w:val="en-US"/>
        </w:rPr>
        <w:t xml:space="preserve">, J. (2016). People’s Attitudes to Robots in Caring for the Elderly. International Journal of Social Robotics, 1-12, </w:t>
      </w:r>
      <w:proofErr w:type="spellStart"/>
      <w:r w:rsidRPr="00232131">
        <w:rPr>
          <w:lang w:val="en-US"/>
        </w:rPr>
        <w:t>Sorell</w:t>
      </w:r>
      <w:proofErr w:type="spellEnd"/>
      <w:r w:rsidRPr="00232131">
        <w:rPr>
          <w:lang w:val="en-US"/>
        </w:rPr>
        <w:t>, T., &amp; Draper, H. (2014). Robot carers, ethics, and older people. Ethics Inf Technol, 16, 183-195, Yusif, S., Soar, J., &amp; Hafeez-Baig, A. (2016). Older people, assistive technologies, and the barriers to adoption: A systematic review. International journal of medical informatics, 94, 112-116</w:t>
      </w:r>
    </w:p>
  </w:footnote>
  <w:footnote w:id="24">
    <w:p w:rsidRPr="00232131" w:rsidR="00232131" w:rsidRDefault="00232131" w14:paraId="2D1DF3D6" w14:textId="5F59A366">
      <w:pPr>
        <w:pStyle w:val="FootnoteText"/>
        <w:rPr>
          <w:lang w:val="en-US"/>
        </w:rPr>
      </w:pPr>
      <w:r>
        <w:rPr>
          <w:rStyle w:val="FootnoteReference"/>
        </w:rPr>
        <w:footnoteRef/>
      </w:r>
      <w:r w:rsidRPr="00232131">
        <w:rPr>
          <w:lang w:val="en-US"/>
        </w:rPr>
        <w:t xml:space="preserve"> </w:t>
      </w:r>
      <w:r w:rsidRPr="00232131">
        <w:rPr>
          <w:lang w:val="en-US"/>
        </w:rPr>
        <w:t>Astell, A. (2006). Technology and personhood in dementia care. Quality in Ageing and Older Adults, 7(1), 15-25.</w:t>
      </w:r>
    </w:p>
  </w:footnote>
  <w:footnote w:id="25">
    <w:p w:rsidRPr="00232131" w:rsidR="00232131" w:rsidRDefault="00232131" w14:paraId="77912333" w14:textId="0A2D5917">
      <w:pPr>
        <w:pStyle w:val="FootnoteText"/>
        <w:rPr>
          <w:lang w:val="en-US"/>
        </w:rPr>
      </w:pPr>
      <w:r>
        <w:rPr>
          <w:rStyle w:val="FootnoteReference"/>
        </w:rPr>
        <w:footnoteRef/>
      </w:r>
      <w:r w:rsidRPr="00232131">
        <w:rPr>
          <w:lang w:val="en-US"/>
        </w:rPr>
        <w:t xml:space="preserve"> </w:t>
      </w:r>
      <w:r w:rsidRPr="00232131">
        <w:rPr>
          <w:lang w:val="en-US"/>
        </w:rPr>
        <w:t xml:space="preserve">See Peek, S. T. M., Wouters, E. J. M., van Hoof, J., </w:t>
      </w:r>
      <w:proofErr w:type="spellStart"/>
      <w:r w:rsidRPr="00232131">
        <w:rPr>
          <w:lang w:val="en-US"/>
        </w:rPr>
        <w:t>Luijkx</w:t>
      </w:r>
      <w:proofErr w:type="spellEnd"/>
      <w:r w:rsidRPr="00232131">
        <w:rPr>
          <w:lang w:val="en-US"/>
        </w:rPr>
        <w:t xml:space="preserve">, K. G., Boeije, H. R., &amp; </w:t>
      </w:r>
      <w:proofErr w:type="spellStart"/>
      <w:r w:rsidRPr="00232131">
        <w:rPr>
          <w:lang w:val="en-US"/>
        </w:rPr>
        <w:t>Vrijhoef</w:t>
      </w:r>
      <w:proofErr w:type="spellEnd"/>
      <w:r w:rsidRPr="00232131">
        <w:rPr>
          <w:lang w:val="en-US"/>
        </w:rPr>
        <w:t>, H. J. M. (2014). Factors influencing acceptance of technology for aging in place: A systematic review international Journal of Medical Informatics, 83, 235-248.</w:t>
      </w:r>
    </w:p>
  </w:footnote>
  <w:footnote w:id="26">
    <w:p w:rsidR="00A37CAC" w:rsidP="00A37CAC" w:rsidRDefault="00A37CAC" w14:paraId="35119AB7" w14:textId="77777777">
      <w:pPr>
        <w:pStyle w:val="FootnoteText"/>
        <w:rPr>
          <w:lang w:val="en-US"/>
        </w:rPr>
      </w:pPr>
      <w:r>
        <w:rPr>
          <w:rStyle w:val="FootnoteCharacters1"/>
        </w:rPr>
        <w:footnoteRef/>
      </w:r>
      <w:r>
        <w:rPr>
          <w:lang w:val="en-US"/>
        </w:rPr>
        <w:t xml:space="preserve"> Ref. to </w:t>
      </w:r>
      <w:hyperlink r:id="rId9">
        <w:r>
          <w:rPr>
            <w:rStyle w:val="Hyperlink"/>
            <w:lang w:val="en-US"/>
          </w:rPr>
          <w:t>art. 9 of the UNCRPD</w:t>
        </w:r>
      </w:hyperlink>
    </w:p>
  </w:footnote>
  <w:footnote w:id="27">
    <w:p w:rsidR="00A37CAC" w:rsidP="00A37CAC" w:rsidRDefault="00A37CAC" w14:paraId="2D15323A" w14:textId="77777777">
      <w:pPr>
        <w:spacing w:after="0" w:line="240" w:lineRule="auto"/>
        <w:jc w:val="both"/>
        <w:outlineLvl w:val="9"/>
        <w:rPr>
          <w:lang w:val="en-GB"/>
        </w:rPr>
      </w:pPr>
      <w:r>
        <w:rPr>
          <w:rStyle w:val="FootnoteCharacters1"/>
        </w:rPr>
        <w:footnoteRef/>
      </w:r>
      <w:r>
        <w:rPr>
          <w:sz w:val="20"/>
          <w:szCs w:val="20"/>
          <w:lang w:val="en-GB"/>
        </w:rPr>
        <w:t xml:space="preserve"> </w:t>
      </w:r>
      <w:r>
        <w:rPr>
          <w:rFonts w:cstheme="minorHAnsi"/>
          <w:sz w:val="20"/>
          <w:szCs w:val="20"/>
          <w:lang w:val="en-GB"/>
        </w:rPr>
        <w:t>The issue of the constant need for recent equipment to be able to use key applications also raises the issue of environmental sustainability which is not covered by this policy paper.</w:t>
      </w:r>
    </w:p>
  </w:footnote>
  <w:footnote w:id="28">
    <w:p w:rsidRPr="00EB212A" w:rsidR="00EB212A" w:rsidRDefault="00EB212A" w14:paraId="4D703EE3" w14:textId="6F1E62ED">
      <w:pPr>
        <w:pStyle w:val="FootnoteText"/>
        <w:rPr>
          <w:lang w:val="en-US"/>
        </w:rPr>
      </w:pPr>
      <w:r>
        <w:rPr>
          <w:rStyle w:val="FootnoteReference"/>
        </w:rPr>
        <w:footnoteRef/>
      </w:r>
      <w:r w:rsidRPr="00EB212A">
        <w:rPr>
          <w:lang w:val="en-US"/>
        </w:rPr>
        <w:t xml:space="preserve"> </w:t>
      </w:r>
      <w:r w:rsidRPr="00EB212A">
        <w:rPr>
          <w:lang w:val="en-US"/>
        </w:rPr>
        <w:t xml:space="preserve">Czaja SJ, Boot WR, </w:t>
      </w:r>
      <w:proofErr w:type="spellStart"/>
      <w:r w:rsidRPr="00EB212A">
        <w:rPr>
          <w:lang w:val="en-US"/>
        </w:rPr>
        <w:t>Charness</w:t>
      </w:r>
      <w:proofErr w:type="spellEnd"/>
      <w:r w:rsidRPr="00EB212A">
        <w:rPr>
          <w:lang w:val="en-US"/>
        </w:rPr>
        <w:t xml:space="preserve"> N, Rogers WA, Sharit J. Improving Social Support for Older Adults Through Technology: Findings </w:t>
      </w:r>
      <w:proofErr w:type="gramStart"/>
      <w:r w:rsidRPr="00EB212A">
        <w:rPr>
          <w:lang w:val="en-US"/>
        </w:rPr>
        <w:t>From</w:t>
      </w:r>
      <w:proofErr w:type="gramEnd"/>
      <w:r w:rsidRPr="00EB212A">
        <w:rPr>
          <w:lang w:val="en-US"/>
        </w:rPr>
        <w:t xml:space="preserve"> the PRISM Randomized Controlled Trial. Gerontologist [Internet]. 2018;58(3):467–77; </w:t>
      </w:r>
      <w:proofErr w:type="spellStart"/>
      <w:r w:rsidRPr="00EB212A">
        <w:rPr>
          <w:lang w:val="en-US"/>
        </w:rPr>
        <w:t>Mcdonough</w:t>
      </w:r>
      <w:proofErr w:type="spellEnd"/>
      <w:r w:rsidRPr="00EB212A">
        <w:rPr>
          <w:lang w:val="en-US"/>
        </w:rPr>
        <w:t xml:space="preserve"> CC, Kingsley D. The Impact of Mobile Broadband on the Digital Divide Affecting Older Adults. Int </w:t>
      </w:r>
      <w:proofErr w:type="spellStart"/>
      <w:r w:rsidRPr="00EB212A">
        <w:rPr>
          <w:lang w:val="en-US"/>
        </w:rPr>
        <w:t>Telecommun</w:t>
      </w:r>
      <w:proofErr w:type="spellEnd"/>
      <w:r w:rsidRPr="00EB212A">
        <w:rPr>
          <w:lang w:val="en-US"/>
        </w:rPr>
        <w:t xml:space="preserve"> Policy Rev [Internet]. 2015;22(2):27–42; Larsson E, Larsson-</w:t>
      </w:r>
      <w:proofErr w:type="spellStart"/>
      <w:r w:rsidRPr="00EB212A">
        <w:rPr>
          <w:lang w:val="en-US"/>
        </w:rPr>
        <w:t>lund</w:t>
      </w:r>
      <w:proofErr w:type="spellEnd"/>
      <w:r w:rsidRPr="00EB212A">
        <w:rPr>
          <w:lang w:val="en-US"/>
        </w:rPr>
        <w:t xml:space="preserve"> M, Nilsson I, Larsson-</w:t>
      </w:r>
      <w:proofErr w:type="spellStart"/>
      <w:r w:rsidRPr="00EB212A">
        <w:rPr>
          <w:lang w:val="en-US"/>
        </w:rPr>
        <w:t>lund</w:t>
      </w:r>
      <w:proofErr w:type="spellEnd"/>
      <w:r w:rsidRPr="00EB212A">
        <w:rPr>
          <w:lang w:val="en-US"/>
        </w:rPr>
        <w:t xml:space="preserve"> M, Nilsson I. Internet Based Activities </w:t>
      </w:r>
      <w:proofErr w:type="gramStart"/>
      <w:r w:rsidRPr="00EB212A">
        <w:rPr>
          <w:lang w:val="en-US"/>
        </w:rPr>
        <w:t>( IBAs</w:t>
      </w:r>
      <w:proofErr w:type="gramEnd"/>
      <w:r w:rsidRPr="00EB212A">
        <w:rPr>
          <w:lang w:val="en-US"/>
        </w:rPr>
        <w:t xml:space="preserve"> ): Seniors ’ Experiences of the Conditions Required for the Performance of and the Influence of these Conditions on their Own Participation in Society Internet Based Activities ( IBAs ): Seniors ’</w:t>
      </w:r>
      <w:r w:rsidRPr="00EB212A">
        <w:rPr>
          <w:sz w:val="24"/>
          <w:szCs w:val="22"/>
          <w:lang w:val="en-US"/>
        </w:rPr>
        <w:t xml:space="preserve"> </w:t>
      </w:r>
      <w:r w:rsidRPr="00EB212A">
        <w:rPr>
          <w:lang w:val="en-US"/>
        </w:rPr>
        <w:t>Experiences of the Condit. 2013;1277(November 2015)</w:t>
      </w:r>
    </w:p>
  </w:footnote>
  <w:footnote w:id="29">
    <w:p w:rsidRPr="00EB212A" w:rsidR="00EB212A" w:rsidRDefault="00EB212A" w14:paraId="6E68E9D2" w14:textId="63462218">
      <w:pPr>
        <w:pStyle w:val="FootnoteText"/>
        <w:rPr>
          <w:lang w:val="en-US"/>
        </w:rPr>
      </w:pPr>
      <w:r>
        <w:rPr>
          <w:rStyle w:val="FootnoteReference"/>
        </w:rPr>
        <w:footnoteRef/>
      </w:r>
      <w:r w:rsidRPr="00EB212A">
        <w:rPr>
          <w:lang w:val="en-US"/>
        </w:rPr>
        <w:t xml:space="preserve"> </w:t>
      </w:r>
      <w:r w:rsidRPr="00EB212A">
        <w:rPr>
          <w:lang w:val="en-US"/>
        </w:rPr>
        <w:t>Human Rights Council (11--</w:t>
      </w:r>
      <w:r w:rsidRPr="00EB212A">
        <w:rPr>
          <w:rFonts w:ascii="Cambria Math" w:hAnsi="Cambria Math" w:cs="Cambria Math"/>
          <w:lang w:val="en-US"/>
        </w:rPr>
        <w:t>‐</w:t>
      </w:r>
      <w:r w:rsidRPr="00EB212A">
        <w:rPr>
          <w:lang w:val="en-US"/>
        </w:rPr>
        <w:t xml:space="preserve">29 September </w:t>
      </w:r>
      <w:proofErr w:type="gramStart"/>
      <w:r w:rsidRPr="00EB212A">
        <w:rPr>
          <w:lang w:val="en-US"/>
        </w:rPr>
        <w:t>2017)Report</w:t>
      </w:r>
      <w:proofErr w:type="gramEnd"/>
      <w:r w:rsidRPr="00EB212A">
        <w:rPr>
          <w:lang w:val="en-US"/>
        </w:rPr>
        <w:t xml:space="preserve"> of the Independent Expert on the enjoyment of all human rights by older persons</w:t>
      </w:r>
    </w:p>
  </w:footnote>
  <w:footnote w:id="30">
    <w:p w:rsidRPr="009868C0" w:rsidR="00A37CAC" w:rsidP="00A37CAC" w:rsidRDefault="00A37CAC" w14:paraId="2134A241" w14:textId="77777777">
      <w:pPr>
        <w:pStyle w:val="FootnoteText"/>
        <w:rPr>
          <w:lang w:val="en-US"/>
        </w:rPr>
      </w:pPr>
      <w:r>
        <w:rPr>
          <w:rStyle w:val="FootnoteCharacters1"/>
        </w:rPr>
        <w:footnoteRef/>
      </w:r>
      <w:r>
        <w:rPr>
          <w:lang w:val="en-GB"/>
        </w:rPr>
        <w:t xml:space="preserve"> These dimensions were already listed in our publication: </w:t>
      </w:r>
      <w:hyperlink r:id="rId10">
        <w:r>
          <w:rPr>
            <w:rStyle w:val="Hyperlink"/>
            <w:lang w:val="en-GB"/>
          </w:rPr>
          <w:t>“ICT for Ageing Well: listen to what older people think!”</w:t>
        </w:r>
      </w:hyperlink>
      <w:r>
        <w:rPr>
          <w:lang w:val="en-GB"/>
        </w:rPr>
        <w:t xml:space="preserve"> (February 2014)</w:t>
      </w:r>
    </w:p>
  </w:footnote>
  <w:footnote w:id="31">
    <w:p w:rsidRPr="00EB212A" w:rsidR="00EB212A" w:rsidRDefault="00EB212A" w14:paraId="43DC4346" w14:textId="12201C7E">
      <w:pPr>
        <w:pStyle w:val="FootnoteText"/>
        <w:rPr>
          <w:lang w:val="en-US"/>
        </w:rPr>
      </w:pPr>
      <w:r>
        <w:rPr>
          <w:rStyle w:val="FootnoteReference"/>
        </w:rPr>
        <w:footnoteRef/>
      </w:r>
      <w:r w:rsidRPr="00EB212A">
        <w:rPr>
          <w:lang w:val="en-US"/>
        </w:rPr>
        <w:t xml:space="preserve"> </w:t>
      </w:r>
      <w:r w:rsidRPr="00EB212A">
        <w:rPr>
          <w:lang w:val="en-US"/>
        </w:rPr>
        <w:t>Art 19 UNCRPD</w:t>
      </w:r>
    </w:p>
  </w:footnote>
  <w:footnote w:id="32">
    <w:p w:rsidRPr="00A37CAC" w:rsidR="00A37CAC" w:rsidP="00A37CAC" w:rsidRDefault="00A37CAC" w14:paraId="3C3390D8" w14:textId="77777777">
      <w:pPr>
        <w:pStyle w:val="FootnoteText"/>
        <w:rPr>
          <w:rStyle w:val="Hyperlink"/>
          <w:lang w:val="en-US"/>
        </w:rPr>
      </w:pPr>
      <w:r>
        <w:rPr>
          <w:rStyle w:val="FootnoteCharacters1"/>
        </w:rPr>
        <w:footnoteRef/>
      </w:r>
      <w:r w:rsidRPr="00A37CAC">
        <w:rPr>
          <w:lang w:val="en-US"/>
        </w:rPr>
        <w:t xml:space="preserve"> </w:t>
      </w:r>
      <w:hyperlink r:id="rId11">
        <w:r w:rsidRPr="00A37CAC">
          <w:rPr>
            <w:rStyle w:val="Hyperlink"/>
            <w:lang w:val="en-US"/>
          </w:rPr>
          <w:t>https://www.ohchr.org/en/special-procedures/ie-older-persons</w:t>
        </w:r>
      </w:hyperlink>
      <w:r w:rsidRPr="00A37CAC">
        <w:rPr>
          <w:lang w:val="en-US"/>
        </w:rPr>
        <w:t xml:space="preserve">, </w:t>
      </w:r>
      <w:hyperlink r:id="rId12">
        <w:r w:rsidRPr="00A37CAC">
          <w:rPr>
            <w:rStyle w:val="Hyperlink"/>
            <w:lang w:val="en-US"/>
          </w:rPr>
          <w:t>https://www.ohchr.org/en/documents/thematic-reports/data-gap</w:t>
        </w:r>
      </w:hyperlink>
    </w:p>
  </w:footnote>
  <w:footnote w:id="33">
    <w:p w:rsidR="00A37CAC" w:rsidP="00A37CAC" w:rsidRDefault="00A37CAC" w14:paraId="214874E5" w14:textId="77777777">
      <w:pPr>
        <w:spacing w:after="0" w:line="240" w:lineRule="auto"/>
        <w:rPr>
          <w:sz w:val="20"/>
          <w:szCs w:val="20"/>
        </w:rPr>
      </w:pPr>
      <w:r>
        <w:rPr>
          <w:rStyle w:val="FootnoteCharacters1"/>
        </w:rPr>
        <w:footnoteRef/>
      </w:r>
      <w:r>
        <w:rPr>
          <w:sz w:val="20"/>
          <w:szCs w:val="20"/>
        </w:rPr>
        <w:t xml:space="preserve"> AGO, Constellations, </w:t>
      </w:r>
      <w:hyperlink r:id="rId13">
        <w:r>
          <w:rPr>
            <w:rStyle w:val="Hyperlink"/>
            <w:sz w:val="20"/>
            <w:szCs w:val="20"/>
          </w:rPr>
          <w:t>« Vieillir dans notre société numérisée »</w:t>
        </w:r>
      </w:hyperlink>
      <w:r>
        <w:rPr>
          <w:sz w:val="20"/>
          <w:szCs w:val="20"/>
        </w:rPr>
        <w:t xml:space="preserve"> (Jan. 2024)</w:t>
      </w:r>
    </w:p>
  </w:footnote>
  <w:footnote w:id="34">
    <w:p w:rsidR="00A37CAC" w:rsidP="00A37CAC" w:rsidRDefault="00A37CAC" w14:paraId="73B935DA" w14:textId="77777777">
      <w:pPr>
        <w:pStyle w:val="FootnoteText"/>
        <w:rPr>
          <w:lang w:val="en-US"/>
        </w:rPr>
      </w:pPr>
      <w:r>
        <w:rPr>
          <w:rStyle w:val="FootnoteCharacters1"/>
        </w:rPr>
        <w:footnoteRef/>
      </w:r>
      <w:r>
        <w:rPr>
          <w:lang w:val="en-US"/>
        </w:rPr>
        <w:t xml:space="preserve"> Fundamental Rights Agency, “</w:t>
      </w:r>
      <w:hyperlink w:history="1" w:anchor="read-online" r:id="rId14">
        <w:r>
          <w:rPr>
            <w:rStyle w:val="Hyperlink"/>
            <w:lang w:val="en-US"/>
          </w:rPr>
          <w:t>Fundamental Rights of Older Persons: Ensuring Access to Public Services in Digital Societies</w:t>
        </w:r>
      </w:hyperlink>
      <w:r>
        <w:rPr>
          <w:lang w:val="en-US"/>
        </w:rPr>
        <w:t>”, 2023</w:t>
      </w:r>
    </w:p>
  </w:footnote>
  <w:footnote w:id="35">
    <w:p w:rsidR="00A37CAC" w:rsidP="00A37CAC" w:rsidRDefault="00A37CAC" w14:paraId="0DFE825F" w14:textId="77777777">
      <w:pPr>
        <w:pStyle w:val="FootnoteText"/>
        <w:rPr>
          <w:lang w:val="en-US"/>
        </w:rPr>
      </w:pPr>
      <w:r>
        <w:rPr>
          <w:rStyle w:val="FootnoteCharacters1"/>
        </w:rPr>
        <w:footnoteRef/>
      </w:r>
      <w:r>
        <w:rPr>
          <w:lang w:val="en-US"/>
        </w:rPr>
        <w:t xml:space="preserve"> Digital Economy and Society Index - </w:t>
      </w:r>
      <w:hyperlink r:id="rId15">
        <w:r>
          <w:rPr>
            <w:rStyle w:val="Hyperlink"/>
            <w:lang w:val="en-US"/>
          </w:rPr>
          <w:t>https://digital-strategy.ec.europa.eu/en/policies/desi</w:t>
        </w:r>
      </w:hyperlink>
    </w:p>
  </w:footnote>
  <w:footnote w:id="36">
    <w:p w:rsidR="00A37CAC" w:rsidP="00A37CAC" w:rsidRDefault="00A37CAC" w14:paraId="77DC3406" w14:textId="77777777">
      <w:pPr>
        <w:spacing w:after="0" w:line="240" w:lineRule="auto"/>
        <w:rPr>
          <w:rFonts w:asciiTheme="minorHAnsi" w:hAnsiTheme="minorHAnsi" w:cstheme="minorHAnsi"/>
          <w:sz w:val="20"/>
          <w:szCs w:val="20"/>
          <w:lang w:val="en-US"/>
        </w:rPr>
      </w:pPr>
      <w:r>
        <w:rPr>
          <w:rStyle w:val="FootnoteCharacters1"/>
        </w:rPr>
        <w:footnoteRef/>
      </w:r>
      <w:r>
        <w:rPr>
          <w:rFonts w:cstheme="minorHAnsi"/>
          <w:sz w:val="20"/>
          <w:szCs w:val="20"/>
          <w:lang w:val="en-US"/>
        </w:rPr>
        <w:t xml:space="preserve"> </w:t>
      </w:r>
      <w:hyperlink r:id="rId16">
        <w:r>
          <w:rPr>
            <w:rStyle w:val="Hyperlink"/>
            <w:rFonts w:cstheme="minorHAnsi"/>
            <w:sz w:val="20"/>
            <w:szCs w:val="20"/>
            <w:lang w:val="en-US"/>
          </w:rPr>
          <w:t>Key Performance Indicators</w:t>
        </w:r>
      </w:hyperlink>
      <w:r>
        <w:rPr>
          <w:rStyle w:val="Strong"/>
          <w:rFonts w:cstheme="minorHAnsi"/>
          <w:b w:val="0"/>
          <w:bCs w:val="0"/>
          <w:sz w:val="20"/>
          <w:szCs w:val="20"/>
          <w:vertAlign w:val="superscript"/>
          <w:lang w:val="en-US"/>
        </w:rPr>
        <w:t xml:space="preserve"> </w:t>
      </w:r>
      <w:r>
        <w:rPr>
          <w:rStyle w:val="Strong"/>
          <w:rFonts w:cstheme="minorHAnsi"/>
          <w:b w:val="0"/>
          <w:bCs w:val="0"/>
          <w:sz w:val="20"/>
          <w:szCs w:val="20"/>
          <w:lang w:val="en-US"/>
        </w:rPr>
        <w:t>to be used to measure the</w:t>
      </w:r>
      <w:r>
        <w:rPr>
          <w:rFonts w:cstheme="minorHAnsi"/>
          <w:sz w:val="20"/>
          <w:szCs w:val="20"/>
          <w:lang w:val="en-US"/>
        </w:rPr>
        <w:t xml:space="preserve"> progress towards the digital targets set out in Article 4(1) of Decision (EU) 2022/2481</w:t>
      </w:r>
    </w:p>
  </w:footnote>
  <w:footnote w:id="37">
    <w:p w:rsidR="00A37CAC" w:rsidP="00A37CAC" w:rsidRDefault="00A37CAC" w14:paraId="55C4CF40" w14:textId="77777777">
      <w:pPr>
        <w:pStyle w:val="FootnoteText"/>
        <w:rPr>
          <w:rFonts w:asciiTheme="minorHAnsi" w:hAnsiTheme="minorHAnsi" w:cstheme="minorHAnsi"/>
          <w:lang w:val="en-US"/>
        </w:rPr>
      </w:pPr>
      <w:r>
        <w:rPr>
          <w:rStyle w:val="FootnoteCharacters1"/>
        </w:rPr>
        <w:footnoteRef/>
      </w:r>
      <w:r>
        <w:rPr>
          <w:rFonts w:cstheme="minorHAnsi"/>
          <w:lang w:val="en-US"/>
        </w:rPr>
        <w:t xml:space="preserve"> Fundamental Rights Agency, “</w:t>
      </w:r>
      <w:hyperlink w:history="1" w:anchor="read-online" r:id="rId17">
        <w:r>
          <w:rPr>
            <w:rStyle w:val="Hyperlink"/>
            <w:rFonts w:cstheme="minorHAnsi"/>
            <w:lang w:val="en-US"/>
          </w:rPr>
          <w:t>Fundamental Rights of Older Persons: Ensuring Access to Public Services in Digital Societies</w:t>
        </w:r>
      </w:hyperlink>
      <w:r>
        <w:rPr>
          <w:rFonts w:cstheme="minorHAnsi"/>
          <w:lang w:val="en-US"/>
        </w:rPr>
        <w:t>”, 2023</w:t>
      </w:r>
    </w:p>
  </w:footnote>
  <w:footnote w:id="38">
    <w:p w:rsidRPr="006D4C3E" w:rsidR="006D4C3E" w:rsidRDefault="006D4C3E" w14:paraId="4EA0F54F" w14:textId="28669C73">
      <w:pPr>
        <w:pStyle w:val="FootnoteText"/>
        <w:rPr>
          <w:lang w:val="en-US"/>
        </w:rPr>
      </w:pPr>
      <w:r>
        <w:rPr>
          <w:rStyle w:val="FootnoteReference"/>
        </w:rPr>
        <w:footnoteRef/>
      </w:r>
      <w:r w:rsidRPr="006D4C3E">
        <w:rPr>
          <w:lang w:val="en-US"/>
        </w:rPr>
        <w:t xml:space="preserve"> </w:t>
      </w:r>
      <w:r w:rsidRPr="006D4C3E">
        <w:rPr>
          <w:lang w:val="en-US"/>
        </w:rPr>
        <w:t xml:space="preserve">European Network of National Human Rights Institutions. (2015). Human Rights of Older Persons and Long-Term Care Project: The Application of International Human Rights Standards to Older Persons in Long-Term Care. The OHCHR also notes that there has been limited attention by human rights bodies to the right of older people to receive support and confirms that there is no explicit provision in international human rights law on the right to be assisted. See: Office of the High Commissioner for Human Rights. (2012). Normative standards in international human rights law in relation to older persons - Analytical Outcome Paper. Retrieved from UN Open-Ended Working Group on Ageing: </w:t>
      </w:r>
      <w:hyperlink w:history="1" r:id="rId18">
        <w:r w:rsidRPr="000F7AFD">
          <w:rPr>
            <w:rStyle w:val="Hyperlink"/>
            <w:lang w:val="en-US"/>
          </w:rPr>
          <w:t>http://social.un.org/ageing-working-group/documents/ohchr-outcome-paperolderpersons12.pdf</w:t>
        </w:r>
      </w:hyperlink>
      <w:r>
        <w:rPr>
          <w:lang w:val="en-US"/>
        </w:rPr>
        <w:t xml:space="preserve"> ; </w:t>
      </w:r>
      <w:r w:rsidRPr="006D4C3E">
        <w:rPr>
          <w:lang w:val="en-US"/>
        </w:rPr>
        <w:t>See in particular Madrid International Plan of Action on Ageing (MIPAA), UN Principles for Older Persons and the General Comment no 6 on the Economic Social and Cultural Rights of older persons</w:t>
      </w:r>
    </w:p>
  </w:footnote>
  <w:footnote w:id="39">
    <w:p w:rsidRPr="006D4C3E" w:rsidR="006D4C3E" w:rsidRDefault="006D4C3E" w14:paraId="124440EC" w14:textId="04370E1A">
      <w:pPr>
        <w:pStyle w:val="FootnoteText"/>
        <w:rPr>
          <w:lang w:val="en-US"/>
        </w:rPr>
      </w:pPr>
      <w:r>
        <w:rPr>
          <w:rStyle w:val="FootnoteReference"/>
        </w:rPr>
        <w:footnoteRef/>
      </w:r>
      <w:r w:rsidRPr="006D4C3E">
        <w:rPr>
          <w:lang w:val="en-US"/>
        </w:rPr>
        <w:t xml:space="preserve"> </w:t>
      </w:r>
      <w:proofErr w:type="gramStart"/>
      <w:r w:rsidRPr="006D4C3E">
        <w:rPr>
          <w:lang w:val="en-US"/>
        </w:rPr>
        <w:t>With the exception of</w:t>
      </w:r>
      <w:proofErr w:type="gramEnd"/>
      <w:r w:rsidRPr="006D4C3E">
        <w:rPr>
          <w:lang w:val="en-US"/>
        </w:rPr>
        <w:t xml:space="preserve"> the UNCRPD and the International convention on migrant workers none of the other human rights treaties refers to age as a suspect ground of discrimination</w:t>
      </w:r>
    </w:p>
  </w:footnote>
  <w:footnote w:id="40">
    <w:p w:rsidRPr="006D4C3E" w:rsidR="006D4C3E" w:rsidRDefault="006D4C3E" w14:paraId="08A84C3F" w14:textId="5CD2C9A4">
      <w:pPr>
        <w:pStyle w:val="FootnoteText"/>
        <w:rPr>
          <w:lang w:val="en-US"/>
        </w:rPr>
      </w:pPr>
      <w:r>
        <w:rPr>
          <w:rStyle w:val="FootnoteReference"/>
        </w:rPr>
        <w:footnoteRef/>
      </w:r>
      <w:r w:rsidRPr="006D4C3E">
        <w:rPr>
          <w:lang w:val="en-US"/>
        </w:rPr>
        <w:t xml:space="preserve"> </w:t>
      </w:r>
      <w:r w:rsidRPr="006D4C3E">
        <w:rPr>
          <w:lang w:val="en-US"/>
        </w:rPr>
        <w:t>UN Committee on Economic, Social and Cultural Rights (CESCR), General comment No.6: Economic, Social and Cultural Rights of older persons</w:t>
      </w:r>
    </w:p>
  </w:footnote>
  <w:footnote w:id="41">
    <w:p w:rsidRPr="006D4C3E" w:rsidR="006D4C3E" w:rsidRDefault="006D4C3E" w14:paraId="19E41720" w14:textId="6B6F7A24">
      <w:pPr>
        <w:pStyle w:val="FootnoteText"/>
        <w:rPr>
          <w:lang w:val="en-US"/>
        </w:rPr>
      </w:pPr>
      <w:r>
        <w:rPr>
          <w:rStyle w:val="FootnoteReference"/>
        </w:rPr>
        <w:footnoteRef/>
      </w:r>
      <w:r w:rsidRPr="006D4C3E">
        <w:rPr>
          <w:lang w:val="en-US"/>
        </w:rPr>
        <w:t xml:space="preserve"> </w:t>
      </w:r>
      <w:r w:rsidRPr="006D4C3E">
        <w:rPr>
          <w:lang w:val="en-US"/>
        </w:rPr>
        <w:t xml:space="preserve">UN Committee on Economic, Social and Cultural Rights (CESCR), General comment No. 20: Non-discrimination in economic, social and cultural rights (art. 2, para. </w:t>
      </w:r>
      <w:proofErr w:type="gramStart"/>
      <w:r w:rsidRPr="006D4C3E">
        <w:rPr>
          <w:lang w:val="en-US"/>
        </w:rPr>
        <w:t>2,</w:t>
      </w:r>
      <w:proofErr w:type="gramEnd"/>
      <w:r w:rsidRPr="006D4C3E">
        <w:rPr>
          <w:lang w:val="en-US"/>
        </w:rPr>
        <w:t xml:space="preserve"> of the International Covenant on Economic, Social and Cultural Rights), 2 July 2009, E/C.12/GC/2</w:t>
      </w:r>
    </w:p>
  </w:footnote>
  <w:footnote w:id="42">
    <w:p w:rsidR="00A37CAC" w:rsidP="00A37CAC" w:rsidRDefault="00A37CAC" w14:paraId="2A889487" w14:textId="77777777">
      <w:pPr>
        <w:pStyle w:val="FootnoteText"/>
        <w:rPr>
          <w:lang w:val="en-US"/>
        </w:rPr>
      </w:pPr>
      <w:r>
        <w:rPr>
          <w:rStyle w:val="FootnoteCharacters1"/>
        </w:rPr>
        <w:footnoteRef/>
      </w:r>
      <w:r>
        <w:rPr>
          <w:lang w:val="en-US"/>
        </w:rPr>
        <w:t xml:space="preserve"> </w:t>
      </w:r>
      <w:hyperlink r:id="rId19">
        <w:r>
          <w:rPr>
            <w:rStyle w:val="Hyperlink"/>
            <w:rFonts w:cstheme="minorHAnsi"/>
            <w:szCs w:val="24"/>
            <w:lang w:val="en-US"/>
          </w:rPr>
          <w:t>Report of the UN Independent Expert on Assistive Technologies and Robots</w:t>
        </w:r>
      </w:hyperlink>
      <w:r>
        <w:rPr>
          <w:rStyle w:val="Hyperlink"/>
          <w:rFonts w:cstheme="minorHAnsi"/>
          <w:color w:val="auto"/>
          <w:szCs w:val="24"/>
          <w:u w:val="none"/>
          <w:lang w:val="en-US"/>
        </w:rPr>
        <w:t xml:space="preserve"> (2017)</w:t>
      </w:r>
    </w:p>
  </w:footnote>
  <w:footnote w:id="43">
    <w:p w:rsidR="00A37CAC" w:rsidP="00A37CAC" w:rsidRDefault="00A37CAC" w14:paraId="54B6B930" w14:textId="77777777">
      <w:pPr>
        <w:pStyle w:val="FootnoteText"/>
        <w:rPr>
          <w:lang w:val="en-US"/>
        </w:rPr>
      </w:pPr>
      <w:r>
        <w:rPr>
          <w:rStyle w:val="FootnoteCharacters1"/>
        </w:rPr>
        <w:footnoteRef/>
      </w:r>
      <w:r>
        <w:rPr>
          <w:lang w:val="en-US"/>
        </w:rPr>
        <w:t xml:space="preserve"> Fundamental Rights Agency, “</w:t>
      </w:r>
      <w:hyperlink w:history="1" w:anchor="read-online" r:id="rId20">
        <w:r>
          <w:rPr>
            <w:rStyle w:val="Hyperlink"/>
            <w:lang w:val="en-US"/>
          </w:rPr>
          <w:t>Fundamental Rights of Older Persons: Ensuring Access to Public Services in Digital Societies</w:t>
        </w:r>
      </w:hyperlink>
      <w:r>
        <w:rPr>
          <w:lang w:val="en-US"/>
        </w:rPr>
        <w:t>”, 2023</w:t>
      </w:r>
    </w:p>
  </w:footnote>
  <w:footnote w:id="44">
    <w:p w:rsidR="00A37CAC" w:rsidP="00A37CAC" w:rsidRDefault="00A37CAC" w14:paraId="00EB3E7B" w14:textId="77777777">
      <w:pPr>
        <w:pStyle w:val="FootnoteText"/>
        <w:rPr>
          <w:lang w:val="en-US"/>
        </w:rPr>
      </w:pPr>
      <w:r>
        <w:rPr>
          <w:rStyle w:val="FootnoteCharacters1"/>
        </w:rPr>
        <w:footnoteRef/>
      </w:r>
      <w:r>
        <w:rPr>
          <w:lang w:val="en-US"/>
        </w:rPr>
        <w:t xml:space="preserve"> AGE Barometer, </w:t>
      </w:r>
      <w:r>
        <w:rPr>
          <w:color w:val="F08016" w:themeColor="accent1"/>
          <w:lang w:val="en-US"/>
        </w:rPr>
        <w:t>“</w:t>
      </w:r>
      <w:hyperlink r:id="rId21">
        <w:r>
          <w:rPr>
            <w:rStyle w:val="Hyperlink"/>
            <w:rFonts w:cs="Rubik"/>
            <w:shd w:val="clear" w:color="auto" w:fill="FFFFFF"/>
            <w:lang w:val="en-US"/>
          </w:rPr>
          <w:t xml:space="preserve">How to empower older people on the </w:t>
        </w:r>
        <w:proofErr w:type="spellStart"/>
        <w:r>
          <w:rPr>
            <w:rStyle w:val="Hyperlink"/>
            <w:rFonts w:cs="Rubik"/>
            <w:shd w:val="clear" w:color="auto" w:fill="FFFFFF"/>
            <w:lang w:val="en-US"/>
          </w:rPr>
          <w:t>labour</w:t>
        </w:r>
        <w:proofErr w:type="spellEnd"/>
        <w:r>
          <w:rPr>
            <w:rStyle w:val="Hyperlink"/>
            <w:rFonts w:cs="Rubik"/>
            <w:shd w:val="clear" w:color="auto" w:fill="FFFFFF"/>
            <w:lang w:val="en-US"/>
          </w:rPr>
          <w:t xml:space="preserve"> market so they can lead sustainable and quality working lives?”</w:t>
        </w:r>
      </w:hyperlink>
      <w:r>
        <w:rPr>
          <w:rFonts w:cs="Rubik"/>
          <w:shd w:val="clear" w:color="auto" w:fill="FFFFFF"/>
          <w:lang w:val="en-US"/>
        </w:rPr>
        <w:t>, 2023.</w:t>
      </w:r>
    </w:p>
  </w:footnote>
  <w:footnote w:id="45">
    <w:p w:rsidR="00A37CAC" w:rsidP="00A37CAC" w:rsidRDefault="00A37CAC" w14:paraId="245A7B96" w14:textId="77777777">
      <w:pPr>
        <w:pStyle w:val="FootnoteText"/>
        <w:rPr>
          <w:lang w:val="en-US"/>
        </w:rPr>
      </w:pPr>
      <w:r>
        <w:rPr>
          <w:rStyle w:val="FootnoteCharacters1"/>
        </w:rPr>
        <w:footnoteRef/>
      </w:r>
      <w:r>
        <w:rPr>
          <w:lang w:val="en-US"/>
        </w:rPr>
        <w:t xml:space="preserve"> Fundamental Rights Agency, “</w:t>
      </w:r>
      <w:hyperlink w:history="1" w:anchor="read-online" r:id="rId22">
        <w:r>
          <w:rPr>
            <w:rStyle w:val="Hyperlink"/>
            <w:lang w:val="en-US"/>
          </w:rPr>
          <w:t>Fundamental Rights of Older Persons: Ensuring Access to Public Services in Digital Societies</w:t>
        </w:r>
      </w:hyperlink>
      <w:r>
        <w:rPr>
          <w:lang w:val="en-US"/>
        </w:rPr>
        <w:t>”, 2023</w:t>
      </w:r>
    </w:p>
    <w:p w:rsidR="00A37CAC" w:rsidP="00A37CAC" w:rsidRDefault="00A37CAC" w14:paraId="3E43F505" w14:textId="77777777">
      <w:pPr>
        <w:pStyle w:val="FootnoteText"/>
        <w:rPr>
          <w:lang w:val="en-US"/>
        </w:rPr>
      </w:pPr>
      <w:r>
        <w:rPr>
          <w:lang w:val="en-US"/>
        </w:rPr>
        <w:t xml:space="preserve">French </w:t>
      </w:r>
      <w:proofErr w:type="spellStart"/>
      <w:r>
        <w:rPr>
          <w:lang w:val="en-US"/>
        </w:rPr>
        <w:t>Défenseur</w:t>
      </w:r>
      <w:proofErr w:type="spellEnd"/>
      <w:r>
        <w:rPr>
          <w:lang w:val="en-US"/>
        </w:rPr>
        <w:t xml:space="preserve"> des droits, </w:t>
      </w:r>
      <w:hyperlink r:id="rId23">
        <w:r>
          <w:rPr>
            <w:rStyle w:val="Hyperlink"/>
            <w:lang w:val="en-US"/>
          </w:rPr>
          <w:t xml:space="preserve">Report on discrimination in older age – focus on access to public services and </w:t>
        </w:r>
        <w:r>
          <w:rPr>
            <w:rStyle w:val="Hyperlink"/>
            <w:lang w:val="en-GB"/>
          </w:rPr>
          <w:t>digitalisation</w:t>
        </w:r>
      </w:hyperlink>
      <w:r>
        <w:rPr>
          <w:lang w:val="en-US"/>
        </w:rPr>
        <w:t xml:space="preserve"> (2021)</w:t>
      </w:r>
    </w:p>
    <w:p w:rsidR="00A37CAC" w:rsidP="00A37CAC" w:rsidRDefault="00A37CAC" w14:paraId="501B9E40" w14:textId="77777777">
      <w:pPr>
        <w:pStyle w:val="CommentText"/>
        <w:spacing w:after="0"/>
        <w:jc w:val="both"/>
        <w:rPr>
          <w:rFonts w:cstheme="minorHAnsi"/>
          <w:lang w:val="en-US"/>
        </w:rPr>
      </w:pPr>
      <w:r>
        <w:rPr>
          <w:rFonts w:cstheme="minorHAnsi"/>
          <w:lang w:val="en-US"/>
        </w:rPr>
        <w:t xml:space="preserve">King Baudouin Foundation (Belgium), Digital Inclusion Barometer (2024): </w:t>
      </w:r>
      <w:hyperlink r:id="rId24">
        <w:r>
          <w:rPr>
            <w:rStyle w:val="Hyperlink"/>
            <w:rFonts w:cstheme="minorHAnsi"/>
            <w:lang w:val="en-US"/>
          </w:rPr>
          <w:t>French version</w:t>
        </w:r>
      </w:hyperlink>
      <w:r>
        <w:rPr>
          <w:rFonts w:cstheme="minorHAnsi"/>
          <w:lang w:val="en-US"/>
        </w:rPr>
        <w:t xml:space="preserve">, </w:t>
      </w:r>
      <w:hyperlink r:id="rId25">
        <w:r>
          <w:rPr>
            <w:rStyle w:val="Hyperlink"/>
            <w:rFonts w:cstheme="minorHAnsi"/>
            <w:lang w:val="en-US"/>
          </w:rPr>
          <w:t xml:space="preserve">Dutch version </w:t>
        </w:r>
      </w:hyperlink>
    </w:p>
  </w:footnote>
  <w:footnote w:id="46">
    <w:p w:rsidR="00A37CAC" w:rsidP="00A37CAC" w:rsidRDefault="00A37CAC" w14:paraId="4E92EA7F" w14:textId="77777777">
      <w:pPr>
        <w:pStyle w:val="FootnoteText"/>
        <w:rPr>
          <w:lang w:val="en-US"/>
        </w:rPr>
      </w:pPr>
      <w:r>
        <w:rPr>
          <w:rStyle w:val="FootnoteCharacters1"/>
        </w:rPr>
        <w:footnoteRef/>
      </w:r>
      <w:r>
        <w:rPr>
          <w:lang w:val="en-US"/>
        </w:rPr>
        <w:t xml:space="preserve"> </w:t>
      </w:r>
      <w:hyperlink r:id="rId26">
        <w:r>
          <w:rPr>
            <w:rStyle w:val="Hyperlink"/>
            <w:lang w:val="en-US"/>
          </w:rPr>
          <w:t>https://www.age-platform.eu/assistive-technologies-and-robots-age-welcomes-the-new-un-independent-experts-report-and-call-for-a-human-rights-approach/</w:t>
        </w:r>
      </w:hyperlink>
    </w:p>
  </w:footnote>
  <w:footnote w:id="47">
    <w:p w:rsidR="00A37CAC" w:rsidP="00A37CAC" w:rsidRDefault="00A37CAC" w14:paraId="6E518A9D" w14:textId="77777777">
      <w:pPr>
        <w:pStyle w:val="FootnoteText"/>
        <w:rPr>
          <w:rFonts w:asciiTheme="minorHAnsi" w:hAnsiTheme="minorHAnsi" w:cstheme="minorHAnsi"/>
          <w:lang w:val="en-US"/>
        </w:rPr>
      </w:pPr>
      <w:r>
        <w:rPr>
          <w:rStyle w:val="FootnoteCharacters1"/>
        </w:rPr>
        <w:footnoteRef/>
      </w:r>
      <w:r>
        <w:rPr>
          <w:rFonts w:cstheme="minorHAnsi"/>
          <w:lang w:val="en-US"/>
        </w:rPr>
        <w:t xml:space="preserve"> </w:t>
      </w:r>
      <w:r>
        <w:rPr>
          <w:rFonts w:cstheme="minorHAnsi"/>
          <w:color w:val="222222"/>
          <w:lang w:val="en-US"/>
        </w:rPr>
        <w:t>European Commission, 2022. </w:t>
      </w:r>
      <w:hyperlink r:id="rId27">
        <w:r>
          <w:rPr>
            <w:rStyle w:val="Hyperlink"/>
            <w:rFonts w:cstheme="minorHAnsi"/>
            <w:color w:val="F08016" w:themeColor="accent1"/>
            <w:lang w:val="en-US"/>
          </w:rPr>
          <w:t>Digital Economy and Society Index (DESI) 2022</w:t>
        </w:r>
      </w:hyperlink>
      <w:r>
        <w:rPr>
          <w:rFonts w:cstheme="minorHAnsi"/>
          <w:color w:val="222222"/>
          <w:lang w:val="en-US"/>
        </w:rPr>
        <w:t xml:space="preserve"> (Human Capital)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A50C69" w:rsidRDefault="00412529" w14:paraId="1FBE1123" w14:textId="77777777">
    <w:pPr>
      <w:pStyle w:val="Header"/>
      <w:ind w:left="-1440"/>
    </w:pPr>
    <w:r>
      <w:rPr>
        <w:noProof/>
      </w:rPr>
      <w:drawing>
        <wp:inline distT="0" distB="0" distL="0" distR="0" wp14:anchorId="38C65BEA" wp14:editId="2CC0F44E">
          <wp:extent cx="7551420" cy="471805"/>
          <wp:effectExtent l="0" t="0" r="0" b="0"/>
          <wp:docPr id="16" name="Picture 118162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81629596"/>
                  <pic:cNvPicPr>
                    <a:picLocks noChangeAspect="1" noChangeArrowheads="1"/>
                  </pic:cNvPicPr>
                </pic:nvPicPr>
                <pic:blipFill>
                  <a:blip r:embed="rId1"/>
                  <a:stretch>
                    <a:fillRect/>
                  </a:stretch>
                </pic:blipFill>
                <pic:spPr bwMode="auto">
                  <a:xfrm>
                    <a:off x="0" y="0"/>
                    <a:ext cx="7551420" cy="47180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du wp14">
  <w:p w:rsidR="00A50C69" w:rsidRDefault="00412529" w14:paraId="0BF3ADF2" w14:textId="77777777">
    <w:pPr>
      <w:pStyle w:val="Header"/>
      <w:ind w:left="-1440"/>
    </w:pPr>
    <w:r>
      <w:rPr>
        <w:noProof/>
      </w:rPr>
      <w:drawing>
        <wp:inline distT="0" distB="0" distL="0" distR="0" wp14:anchorId="01691514" wp14:editId="375A5158">
          <wp:extent cx="7566660" cy="473075"/>
          <wp:effectExtent l="0" t="0" r="0" b="0"/>
          <wp:docPr id="17" name="Picture 7141375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14137571"/>
                  <pic:cNvPicPr>
                    <a:picLocks noChangeAspect="1" noChangeArrowheads="1"/>
                  </pic:cNvPicPr>
                </pic:nvPicPr>
                <pic:blipFill>
                  <a:blip r:embed="rId1"/>
                  <a:stretch>
                    <a:fillRect/>
                  </a:stretch>
                </pic:blipFill>
                <pic:spPr bwMode="auto">
                  <a:xfrm>
                    <a:off x="0" y="0"/>
                    <a:ext cx="7566660" cy="473075"/>
                  </a:xfrm>
                  <a:prstGeom prst="rect">
                    <a:avLst/>
                  </a:prstGeom>
                </pic:spPr>
              </pic:pic>
            </a:graphicData>
          </a:graphic>
        </wp:inline>
      </w:drawing>
    </w:r>
  </w:p>
  <w:p w:rsidR="00A50C69" w:rsidRDefault="00A50C69" w14:paraId="1E64E200" w14:textId="77777777">
    <w:pPr>
      <w:pStyle w:val="Header"/>
      <w:jc w:val="both"/>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0C69" w:rsidRDefault="00A50C69" w14:paraId="0ADF2A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97174"/>
    <w:multiLevelType w:val="hybridMultilevel"/>
    <w:tmpl w:val="634CC176"/>
    <w:lvl w:ilvl="0" w:tplc="2AF444F8">
      <w:numFmt w:val="bullet"/>
      <w:lvlText w:val=""/>
      <w:lvlJc w:val="left"/>
      <w:pPr>
        <w:ind w:left="720" w:hanging="360"/>
      </w:pPr>
      <w:rPr>
        <w:rFonts w:hint="default" w:ascii="Rubik" w:hAnsi="Rubik" w:eastAsia="Rubik" w:cs="Rubik"/>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 w15:restartNumberingAfterBreak="0">
    <w:nsid w:val="09C92619"/>
    <w:multiLevelType w:val="multilevel"/>
    <w:tmpl w:val="9A842B62"/>
    <w:lvl w:ilvl="0">
      <w:start w:val="3"/>
      <w:numFmt w:val="bullet"/>
      <w:lvlText w:val="-"/>
      <w:lvlJc w:val="left"/>
      <w:pPr>
        <w:tabs>
          <w:tab w:val="num" w:pos="0"/>
        </w:tabs>
        <w:ind w:left="720" w:hanging="360"/>
      </w:pPr>
      <w:rPr>
        <w:rFonts w:hint="default" w:ascii="Rubik" w:hAnsi="Rubik" w:cs="Rubik" w:eastAsiaTheme="minorHAns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0D007C01"/>
    <w:multiLevelType w:val="hybridMultilevel"/>
    <w:tmpl w:val="ECAE71F8"/>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 w15:restartNumberingAfterBreak="0">
    <w:nsid w:val="16C95572"/>
    <w:multiLevelType w:val="hybridMultilevel"/>
    <w:tmpl w:val="7EDE938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B287216"/>
    <w:multiLevelType w:val="multilevel"/>
    <w:tmpl w:val="7742B592"/>
    <w:lvl w:ilvl="0">
      <w:start w:val="30"/>
      <w:numFmt w:val="bullet"/>
      <w:lvlText w:val=""/>
      <w:lvlJc w:val="left"/>
      <w:pPr>
        <w:tabs>
          <w:tab w:val="num" w:pos="0"/>
        </w:tabs>
        <w:ind w:left="720" w:hanging="360"/>
      </w:pPr>
      <w:rPr>
        <w:rFonts w:hint="default" w:ascii="Symbol" w:hAnsi="Symbol" w:eastAsiaTheme="minorHAnsi" w:cstheme="minorBidi"/>
        <w:color w:val="auto"/>
        <w:sz w:val="24"/>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 w15:restartNumberingAfterBreak="0">
    <w:nsid w:val="20336FAD"/>
    <w:multiLevelType w:val="multilevel"/>
    <w:tmpl w:val="241EE05A"/>
    <w:lvl w:ilvl="0">
      <w:start w:val="1"/>
      <w:numFmt w:val="bullet"/>
      <w:lvlText w:val=""/>
      <w:lvlJc w:val="left"/>
      <w:pPr>
        <w:tabs>
          <w:tab w:val="num" w:pos="0"/>
        </w:tabs>
        <w:ind w:left="928"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37FF6B80"/>
    <w:multiLevelType w:val="multilevel"/>
    <w:tmpl w:val="10B422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6A84C5E"/>
    <w:multiLevelType w:val="multilevel"/>
    <w:tmpl w:val="F9049F2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 w15:restartNumberingAfterBreak="0">
    <w:nsid w:val="4FE41416"/>
    <w:multiLevelType w:val="multilevel"/>
    <w:tmpl w:val="AE3A6F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E2A096D"/>
    <w:multiLevelType w:val="multilevel"/>
    <w:tmpl w:val="848C62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72B256BC"/>
    <w:multiLevelType w:val="multilevel"/>
    <w:tmpl w:val="6D6AEB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944677E"/>
    <w:multiLevelType w:val="multilevel"/>
    <w:tmpl w:val="10B422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B5B2809"/>
    <w:multiLevelType w:val="multilevel"/>
    <w:tmpl w:val="69FC50CA"/>
    <w:lvl w:ilvl="0">
      <w:start w:val="1"/>
      <w:numFmt w:val="bullet"/>
      <w:lvlText w:val=""/>
      <w:lvlJc w:val="left"/>
      <w:pPr>
        <w:tabs>
          <w:tab w:val="num" w:pos="0"/>
        </w:tabs>
        <w:ind w:left="720" w:hanging="360"/>
      </w:pPr>
      <w:rPr>
        <w:rFonts w:hint="default" w:ascii="Symbol" w:hAnsi="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 w15:restartNumberingAfterBreak="0">
    <w:nsid w:val="7D6615AD"/>
    <w:multiLevelType w:val="multilevel"/>
    <w:tmpl w:val="10B422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78068373">
    <w:abstractNumId w:val="1"/>
  </w:num>
  <w:num w:numId="2" w16cid:durableId="1472556022">
    <w:abstractNumId w:val="7"/>
  </w:num>
  <w:num w:numId="3" w16cid:durableId="53477672">
    <w:abstractNumId w:val="5"/>
  </w:num>
  <w:num w:numId="4" w16cid:durableId="2001543093">
    <w:abstractNumId w:val="12"/>
  </w:num>
  <w:num w:numId="5" w16cid:durableId="165899249">
    <w:abstractNumId w:val="9"/>
  </w:num>
  <w:num w:numId="6" w16cid:durableId="2045866671">
    <w:abstractNumId w:val="4"/>
  </w:num>
  <w:num w:numId="7" w16cid:durableId="1637099784">
    <w:abstractNumId w:val="3"/>
  </w:num>
  <w:num w:numId="8" w16cid:durableId="790124960">
    <w:abstractNumId w:val="2"/>
  </w:num>
  <w:num w:numId="9" w16cid:durableId="1496913841">
    <w:abstractNumId w:val="0"/>
  </w:num>
  <w:num w:numId="10" w16cid:durableId="2116945602">
    <w:abstractNumId w:val="10"/>
  </w:num>
  <w:num w:numId="11" w16cid:durableId="924805789">
    <w:abstractNumId w:val="8"/>
  </w:num>
  <w:num w:numId="12" w16cid:durableId="945695254">
    <w:abstractNumId w:val="11"/>
  </w:num>
  <w:num w:numId="13" w16cid:durableId="308753170">
    <w:abstractNumId w:val="13"/>
  </w:num>
  <w:num w:numId="14" w16cid:durableId="86903168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C69"/>
    <w:rsid w:val="00067368"/>
    <w:rsid w:val="000A2AB6"/>
    <w:rsid w:val="000B3C7D"/>
    <w:rsid w:val="00120600"/>
    <w:rsid w:val="0019449A"/>
    <w:rsid w:val="00195399"/>
    <w:rsid w:val="00195DC3"/>
    <w:rsid w:val="00197361"/>
    <w:rsid w:val="001A2732"/>
    <w:rsid w:val="001B26BC"/>
    <w:rsid w:val="001D45C0"/>
    <w:rsid w:val="001E2B41"/>
    <w:rsid w:val="00214644"/>
    <w:rsid w:val="00222203"/>
    <w:rsid w:val="00232131"/>
    <w:rsid w:val="00290C5A"/>
    <w:rsid w:val="002D2AA4"/>
    <w:rsid w:val="00364B03"/>
    <w:rsid w:val="003D39D1"/>
    <w:rsid w:val="00412529"/>
    <w:rsid w:val="00482198"/>
    <w:rsid w:val="004D0177"/>
    <w:rsid w:val="004D2F7D"/>
    <w:rsid w:val="004D6E2A"/>
    <w:rsid w:val="005118EC"/>
    <w:rsid w:val="00512287"/>
    <w:rsid w:val="00565E12"/>
    <w:rsid w:val="005A72C9"/>
    <w:rsid w:val="005D01DC"/>
    <w:rsid w:val="005D7913"/>
    <w:rsid w:val="006248DC"/>
    <w:rsid w:val="006A2A8B"/>
    <w:rsid w:val="006B70C0"/>
    <w:rsid w:val="006C6F58"/>
    <w:rsid w:val="006D4C3E"/>
    <w:rsid w:val="006D754F"/>
    <w:rsid w:val="006F43A5"/>
    <w:rsid w:val="00706E46"/>
    <w:rsid w:val="00792405"/>
    <w:rsid w:val="007934EA"/>
    <w:rsid w:val="007C372C"/>
    <w:rsid w:val="008509DE"/>
    <w:rsid w:val="008966C9"/>
    <w:rsid w:val="008B0A4B"/>
    <w:rsid w:val="008F5D52"/>
    <w:rsid w:val="009230BB"/>
    <w:rsid w:val="00945D27"/>
    <w:rsid w:val="009551FF"/>
    <w:rsid w:val="009868C0"/>
    <w:rsid w:val="009F7986"/>
    <w:rsid w:val="00A36F76"/>
    <w:rsid w:val="00A37CAC"/>
    <w:rsid w:val="00A50C69"/>
    <w:rsid w:val="00A8016D"/>
    <w:rsid w:val="00AC0832"/>
    <w:rsid w:val="00AC123A"/>
    <w:rsid w:val="00AD0ED6"/>
    <w:rsid w:val="00B32182"/>
    <w:rsid w:val="00B70847"/>
    <w:rsid w:val="00B739E6"/>
    <w:rsid w:val="00BA1468"/>
    <w:rsid w:val="00BD5243"/>
    <w:rsid w:val="00C03C27"/>
    <w:rsid w:val="00C24286"/>
    <w:rsid w:val="00C62D84"/>
    <w:rsid w:val="00CC0204"/>
    <w:rsid w:val="00CF73CF"/>
    <w:rsid w:val="00D03733"/>
    <w:rsid w:val="00D04E01"/>
    <w:rsid w:val="00D2054B"/>
    <w:rsid w:val="00D32866"/>
    <w:rsid w:val="00D72430"/>
    <w:rsid w:val="00DB43BE"/>
    <w:rsid w:val="00DD2EA1"/>
    <w:rsid w:val="00E740C2"/>
    <w:rsid w:val="00E93CE7"/>
    <w:rsid w:val="00EB212A"/>
    <w:rsid w:val="00EC64F2"/>
    <w:rsid w:val="00ED206F"/>
    <w:rsid w:val="00EE6C5B"/>
    <w:rsid w:val="00F10AA2"/>
    <w:rsid w:val="00F11F7C"/>
    <w:rsid w:val="00F73D5E"/>
    <w:rsid w:val="00FE0556"/>
    <w:rsid w:val="00FF2CFC"/>
    <w:rsid w:val="3A524113"/>
    <w:rsid w:val="66865C20"/>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952E4"/>
  <w15:docId w15:val="{F9E6A289-BB61-4BEF-8F3C-9EC2F87B06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fr-B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6F2D"/>
    <w:pPr>
      <w:spacing w:after="160" w:line="360" w:lineRule="auto"/>
      <w:outlineLvl w:val="3"/>
    </w:pPr>
    <w:rPr>
      <w:rFonts w:ascii="Rubik" w:hAnsi="Rubik" w:eastAsia="Rubik"/>
      <w:color w:val="000000"/>
      <w:sz w:val="24"/>
    </w:rPr>
  </w:style>
  <w:style w:type="paragraph" w:styleId="Heading1">
    <w:name w:val="heading 1"/>
    <w:basedOn w:val="Normal"/>
    <w:next w:val="Normal"/>
    <w:link w:val="Heading1Char"/>
    <w:uiPriority w:val="9"/>
    <w:qFormat/>
    <w:rsid w:val="00D128BB"/>
    <w:pPr>
      <w:keepNext/>
      <w:keepLines/>
      <w:spacing w:before="240" w:after="0"/>
      <w:outlineLvl w:val="0"/>
    </w:pPr>
    <w:rPr>
      <w:rFonts w:ascii="Rubik Light" w:hAnsi="Rubik Light" w:eastAsiaTheme="majorEastAsia" w:cstheme="majorBidi"/>
      <w:color w:val="F08016"/>
      <w:sz w:val="44"/>
      <w:szCs w:val="32"/>
      <w:lang w:val="en-GB"/>
    </w:rPr>
  </w:style>
  <w:style w:type="paragraph" w:styleId="Heading2">
    <w:name w:val="heading 2"/>
    <w:basedOn w:val="Normal"/>
    <w:next w:val="Normal"/>
    <w:link w:val="Heading2Char"/>
    <w:uiPriority w:val="9"/>
    <w:unhideWhenUsed/>
    <w:qFormat/>
    <w:rsid w:val="00D128BB"/>
    <w:pPr>
      <w:keepNext/>
      <w:keepLines/>
      <w:spacing w:before="40" w:after="0"/>
      <w:outlineLvl w:val="1"/>
    </w:pPr>
    <w:rPr>
      <w:rFonts w:ascii="Rubik Light" w:hAnsi="Rubik Light" w:eastAsiaTheme="majorEastAsia" w:cstheme="majorBidi"/>
      <w:color w:val="F08016"/>
      <w:sz w:val="36"/>
      <w:szCs w:val="26"/>
      <w:lang w:val="en-GB"/>
    </w:rPr>
  </w:style>
  <w:style w:type="paragraph" w:styleId="Heading3">
    <w:name w:val="heading 3"/>
    <w:basedOn w:val="Normal"/>
    <w:next w:val="Normal"/>
    <w:link w:val="Heading3Char"/>
    <w:uiPriority w:val="9"/>
    <w:unhideWhenUsed/>
    <w:qFormat/>
    <w:rsid w:val="003D7164"/>
    <w:pPr>
      <w:keepNext/>
      <w:keepLines/>
      <w:spacing w:before="40" w:after="0"/>
      <w:outlineLvl w:val="2"/>
    </w:pPr>
    <w:rPr>
      <w:rFonts w:eastAsiaTheme="majorEastAsia" w:cstheme="majorBidi"/>
      <w:color w:val="104C61"/>
      <w:sz w:val="32"/>
      <w:szCs w:val="24"/>
    </w:rPr>
  </w:style>
  <w:style w:type="paragraph" w:styleId="Heading4">
    <w:name w:val="heading 4"/>
    <w:basedOn w:val="Normal"/>
    <w:next w:val="Normal"/>
    <w:link w:val="Heading4Char"/>
    <w:uiPriority w:val="9"/>
    <w:unhideWhenUsed/>
    <w:qFormat/>
    <w:rsid w:val="001B7F20"/>
    <w:pPr>
      <w:keepNext/>
      <w:keepLines/>
      <w:spacing w:before="40" w:after="0"/>
    </w:pPr>
    <w:rPr>
      <w:rFonts w:asciiTheme="majorHAnsi" w:hAnsiTheme="majorHAnsi" w:eastAsiaTheme="majorEastAsia" w:cstheme="majorBidi"/>
      <w:iCs/>
      <w:color w:val="F08016" w:themeColor="accent1"/>
    </w:rPr>
  </w:style>
  <w:style w:type="paragraph" w:styleId="Heading5">
    <w:name w:val="heading 5"/>
    <w:basedOn w:val="Normal"/>
    <w:next w:val="Normal"/>
    <w:link w:val="Heading5Char"/>
    <w:uiPriority w:val="9"/>
    <w:unhideWhenUsed/>
    <w:qFormat/>
    <w:rsid w:val="006C5070"/>
    <w:pPr>
      <w:keepNext/>
      <w:keepLines/>
      <w:spacing w:before="40" w:after="0"/>
      <w:outlineLvl w:val="4"/>
    </w:pPr>
    <w:rPr>
      <w:rFonts w:eastAsiaTheme="majorEastAsia" w:cstheme="majorBidi"/>
      <w:color w:val="F08016"/>
    </w:rPr>
  </w:style>
  <w:style w:type="paragraph" w:styleId="Heading6">
    <w:name w:val="heading 6"/>
    <w:basedOn w:val="Normal"/>
    <w:next w:val="Normal"/>
    <w:link w:val="Heading6Char"/>
    <w:uiPriority w:val="9"/>
    <w:unhideWhenUsed/>
    <w:qFormat/>
    <w:rsid w:val="006E2124"/>
    <w:pPr>
      <w:keepNext/>
      <w:keepLines/>
      <w:spacing w:before="40" w:after="0"/>
      <w:outlineLvl w:val="5"/>
    </w:pPr>
    <w:rPr>
      <w:rFonts w:asciiTheme="majorHAnsi" w:hAnsiTheme="majorHAnsi" w:eastAsiaTheme="majorEastAsia" w:cstheme="majorBidi"/>
      <w:color w:val="7A3F08" w:themeColor="accent1" w:themeShade="7F"/>
    </w:rPr>
  </w:style>
  <w:style w:type="paragraph" w:styleId="Heading7">
    <w:name w:val="heading 7"/>
    <w:basedOn w:val="Normal"/>
    <w:next w:val="Normal"/>
    <w:link w:val="Heading7Char"/>
    <w:uiPriority w:val="9"/>
    <w:unhideWhenUsed/>
    <w:qFormat/>
    <w:rsid w:val="008B5585"/>
    <w:pPr>
      <w:keepNext/>
      <w:keepLines/>
      <w:spacing w:before="40" w:after="0"/>
      <w:outlineLvl w:val="6"/>
    </w:pPr>
    <w:rPr>
      <w:rFonts w:asciiTheme="majorHAnsi" w:hAnsiTheme="majorHAnsi" w:eastAsiaTheme="majorEastAsia" w:cstheme="majorBidi"/>
      <w:i/>
      <w:iCs/>
      <w:color w:val="7A3F08" w:themeColor="accent1" w:themeShade="7F"/>
    </w:rPr>
  </w:style>
  <w:style w:type="paragraph" w:styleId="Heading8">
    <w:name w:val="heading 8"/>
    <w:basedOn w:val="Normal"/>
    <w:next w:val="Normal"/>
    <w:link w:val="Heading8Char"/>
    <w:uiPriority w:val="9"/>
    <w:unhideWhenUsed/>
    <w:qFormat/>
    <w:rsid w:val="009B3F5D"/>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253ADE"/>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erChar" w:customStyle="1">
    <w:name w:val="Header Char"/>
    <w:basedOn w:val="DefaultParagraphFont"/>
    <w:link w:val="Header"/>
    <w:uiPriority w:val="99"/>
    <w:qFormat/>
    <w:rsid w:val="0030482B"/>
    <w:rPr>
      <w:rFonts w:ascii="Rubik" w:hAnsi="Rubik" w:eastAsia="Rubik"/>
      <w:color w:val="000000"/>
      <w:sz w:val="24"/>
    </w:rPr>
  </w:style>
  <w:style w:type="character" w:styleId="FooterChar" w:customStyle="1">
    <w:name w:val="Footer Char"/>
    <w:basedOn w:val="DefaultParagraphFont"/>
    <w:link w:val="Footer"/>
    <w:uiPriority w:val="99"/>
    <w:qFormat/>
    <w:rsid w:val="0097718C"/>
    <w:rPr>
      <w:rFonts w:ascii="Rubik" w:hAnsi="Rubik" w:eastAsia="Rubik"/>
      <w:color w:val="104C61"/>
      <w:sz w:val="20"/>
    </w:rPr>
  </w:style>
  <w:style w:type="character" w:styleId="Hyperlink">
    <w:name w:val="Hyperlink"/>
    <w:basedOn w:val="DefaultParagraphFont"/>
    <w:uiPriority w:val="99"/>
    <w:unhideWhenUsed/>
    <w:rsid w:val="00AB6149"/>
    <w:rPr>
      <w:color w:val="F08016" w:themeColor="hyperlink"/>
      <w:u w:val="single"/>
    </w:rPr>
  </w:style>
  <w:style w:type="character" w:styleId="UnresolvedMention">
    <w:name w:val="Unresolved Mention"/>
    <w:basedOn w:val="DefaultParagraphFont"/>
    <w:uiPriority w:val="99"/>
    <w:semiHidden/>
    <w:unhideWhenUsed/>
    <w:qFormat/>
    <w:rsid w:val="00AB6149"/>
    <w:rPr>
      <w:color w:val="605E5C"/>
      <w:shd w:val="clear" w:color="auto" w:fill="E1DFDD"/>
    </w:rPr>
  </w:style>
  <w:style w:type="character" w:styleId="Heading1Char" w:customStyle="1">
    <w:name w:val="Heading 1 Char"/>
    <w:basedOn w:val="DefaultParagraphFont"/>
    <w:link w:val="Heading1"/>
    <w:uiPriority w:val="9"/>
    <w:qFormat/>
    <w:rsid w:val="00D128BB"/>
    <w:rPr>
      <w:rFonts w:ascii="Rubik Light" w:hAnsi="Rubik Light" w:eastAsiaTheme="majorEastAsia" w:cstheme="majorBidi"/>
      <w:color w:val="F08016"/>
      <w:sz w:val="44"/>
      <w:szCs w:val="32"/>
      <w:lang w:val="en-GB"/>
    </w:rPr>
  </w:style>
  <w:style w:type="character" w:styleId="Heading2Char" w:customStyle="1">
    <w:name w:val="Heading 2 Char"/>
    <w:basedOn w:val="DefaultParagraphFont"/>
    <w:link w:val="Heading2"/>
    <w:uiPriority w:val="9"/>
    <w:qFormat/>
    <w:rsid w:val="00D128BB"/>
    <w:rPr>
      <w:rFonts w:ascii="Rubik Light" w:hAnsi="Rubik Light" w:eastAsiaTheme="majorEastAsia" w:cstheme="majorBidi"/>
      <w:color w:val="F08016"/>
      <w:sz w:val="36"/>
      <w:szCs w:val="26"/>
      <w:lang w:val="en-GB"/>
    </w:rPr>
  </w:style>
  <w:style w:type="character" w:styleId="Heading3Char" w:customStyle="1">
    <w:name w:val="Heading 3 Char"/>
    <w:basedOn w:val="DefaultParagraphFont"/>
    <w:link w:val="Heading3"/>
    <w:uiPriority w:val="9"/>
    <w:qFormat/>
    <w:rsid w:val="003D7164"/>
    <w:rPr>
      <w:rFonts w:ascii="Rubik" w:hAnsi="Rubik" w:eastAsiaTheme="majorEastAsia" w:cstheme="majorBidi"/>
      <w:color w:val="104C61"/>
      <w:sz w:val="32"/>
      <w:szCs w:val="24"/>
    </w:rPr>
  </w:style>
  <w:style w:type="character" w:styleId="Heading5Char" w:customStyle="1">
    <w:name w:val="Heading 5 Char"/>
    <w:basedOn w:val="DefaultParagraphFont"/>
    <w:link w:val="Heading5"/>
    <w:uiPriority w:val="9"/>
    <w:qFormat/>
    <w:rsid w:val="006C5070"/>
    <w:rPr>
      <w:rFonts w:ascii="Rubik" w:hAnsi="Rubik" w:eastAsiaTheme="majorEastAsia" w:cstheme="majorBidi"/>
      <w:color w:val="F08016"/>
      <w:sz w:val="24"/>
    </w:rPr>
  </w:style>
  <w:style w:type="character" w:styleId="Heading6Char" w:customStyle="1">
    <w:name w:val="Heading 6 Char"/>
    <w:basedOn w:val="DefaultParagraphFont"/>
    <w:link w:val="Heading6"/>
    <w:uiPriority w:val="9"/>
    <w:qFormat/>
    <w:rsid w:val="006E2124"/>
    <w:rPr>
      <w:rFonts w:asciiTheme="majorHAnsi" w:hAnsiTheme="majorHAnsi" w:eastAsiaTheme="majorEastAsia" w:cstheme="majorBidi"/>
      <w:color w:val="7A3F08" w:themeColor="accent1" w:themeShade="7F"/>
      <w:sz w:val="24"/>
    </w:rPr>
  </w:style>
  <w:style w:type="character" w:styleId="Heading7Char" w:customStyle="1">
    <w:name w:val="Heading 7 Char"/>
    <w:basedOn w:val="DefaultParagraphFont"/>
    <w:link w:val="Heading7"/>
    <w:uiPriority w:val="9"/>
    <w:qFormat/>
    <w:rsid w:val="008B5585"/>
    <w:rPr>
      <w:rFonts w:asciiTheme="majorHAnsi" w:hAnsiTheme="majorHAnsi" w:eastAsiaTheme="majorEastAsia" w:cstheme="majorBidi"/>
      <w:i/>
      <w:iCs/>
      <w:color w:val="7A3F08" w:themeColor="accent1" w:themeShade="7F"/>
      <w:sz w:val="24"/>
    </w:rPr>
  </w:style>
  <w:style w:type="character" w:styleId="TitleChar" w:customStyle="1">
    <w:name w:val="Title Char"/>
    <w:basedOn w:val="DefaultParagraphFont"/>
    <w:link w:val="Title"/>
    <w:uiPriority w:val="10"/>
    <w:qFormat/>
    <w:rsid w:val="00A16930"/>
    <w:rPr>
      <w:rFonts w:ascii="Rubik Light" w:hAnsi="Rubik Light" w:eastAsiaTheme="majorEastAsia" w:cstheme="majorBidi"/>
      <w:color w:val="F08016"/>
      <w:spacing w:val="-10"/>
      <w:sz w:val="32"/>
      <w:szCs w:val="56"/>
    </w:rPr>
  </w:style>
  <w:style w:type="character" w:styleId="Heading8Char" w:customStyle="1">
    <w:name w:val="Heading 8 Char"/>
    <w:basedOn w:val="DefaultParagraphFont"/>
    <w:link w:val="Heading8"/>
    <w:uiPriority w:val="9"/>
    <w:qFormat/>
    <w:rsid w:val="009B3F5D"/>
    <w:rPr>
      <w:rFonts w:asciiTheme="majorHAnsi" w:hAnsiTheme="majorHAnsi" w:eastAsiaTheme="majorEastAsia" w:cstheme="majorBidi"/>
      <w:color w:val="272727" w:themeColor="text1" w:themeTint="D8"/>
      <w:sz w:val="21"/>
      <w:szCs w:val="21"/>
    </w:rPr>
  </w:style>
  <w:style w:type="character" w:styleId="SubtitleChar" w:customStyle="1">
    <w:name w:val="Subtitle Char"/>
    <w:basedOn w:val="DefaultParagraphFont"/>
    <w:link w:val="Subtitle"/>
    <w:uiPriority w:val="11"/>
    <w:qFormat/>
    <w:rsid w:val="00B050B2"/>
    <w:rPr>
      <w:rFonts w:ascii="Rubik" w:hAnsi="Rubik" w:eastAsiaTheme="minorEastAsia"/>
      <w:color w:val="104C61"/>
      <w:spacing w:val="15"/>
      <w:sz w:val="24"/>
    </w:rPr>
  </w:style>
  <w:style w:type="character" w:styleId="Strong">
    <w:name w:val="Strong"/>
    <w:basedOn w:val="DefaultParagraphFont"/>
    <w:uiPriority w:val="22"/>
    <w:qFormat/>
    <w:rsid w:val="00E323ED"/>
    <w:rPr>
      <w:rFonts w:ascii="Rubik" w:hAnsi="Rubik"/>
      <w:b/>
      <w:bCs/>
      <w:color w:val="000000"/>
      <w:sz w:val="24"/>
    </w:rPr>
  </w:style>
  <w:style w:type="character" w:styleId="QuoteChar" w:customStyle="1">
    <w:name w:val="Quote Char"/>
    <w:basedOn w:val="DefaultParagraphFont"/>
    <w:link w:val="Quote"/>
    <w:uiPriority w:val="29"/>
    <w:qFormat/>
    <w:rsid w:val="00A12839"/>
    <w:rPr>
      <w:rFonts w:ascii="Rubik" w:hAnsi="Rubik" w:eastAsia="Rubik"/>
      <w:i/>
      <w:iCs/>
      <w:color w:val="000000"/>
      <w:sz w:val="24"/>
    </w:rPr>
  </w:style>
  <w:style w:type="character" w:styleId="IntenseQuoteChar" w:customStyle="1">
    <w:name w:val="Intense Quote Char"/>
    <w:basedOn w:val="DefaultParagraphFont"/>
    <w:link w:val="IntenseQuote"/>
    <w:uiPriority w:val="30"/>
    <w:qFormat/>
    <w:rsid w:val="00A12839"/>
    <w:rPr>
      <w:rFonts w:ascii="Rubik" w:hAnsi="Rubik"/>
      <w:i/>
      <w:iCs/>
      <w:color w:val="104C61"/>
      <w:sz w:val="24"/>
    </w:rPr>
  </w:style>
  <w:style w:type="character" w:styleId="SubtleReference">
    <w:name w:val="Subtle Reference"/>
    <w:basedOn w:val="DefaultParagraphFont"/>
    <w:uiPriority w:val="31"/>
    <w:qFormat/>
    <w:rsid w:val="00A12839"/>
    <w:rPr>
      <w:rFonts w:ascii="Rubik Light" w:hAnsi="Rubik Light"/>
      <w:smallCaps/>
      <w:color w:val="5A5A5A"/>
    </w:rPr>
  </w:style>
  <w:style w:type="character" w:styleId="IntenseReference">
    <w:name w:val="Intense Reference"/>
    <w:basedOn w:val="DefaultParagraphFont"/>
    <w:uiPriority w:val="32"/>
    <w:qFormat/>
    <w:rsid w:val="00A12839"/>
    <w:rPr>
      <w:rFonts w:ascii="Rubik Light" w:hAnsi="Rubik Light"/>
      <w:b/>
      <w:bCs/>
      <w:smallCaps/>
      <w:color w:val="104C61"/>
      <w:spacing w:val="5"/>
    </w:rPr>
  </w:style>
  <w:style w:type="character" w:styleId="BookTitle">
    <w:name w:val="Book Title"/>
    <w:basedOn w:val="DefaultParagraphFont"/>
    <w:uiPriority w:val="33"/>
    <w:qFormat/>
    <w:rsid w:val="00A12839"/>
    <w:rPr>
      <w:rFonts w:ascii="Rubik" w:hAnsi="Rubik"/>
      <w:b/>
      <w:bCs/>
      <w:i/>
      <w:iCs/>
      <w:color w:val="F08016"/>
      <w:spacing w:val="5"/>
    </w:rPr>
  </w:style>
  <w:style w:type="character" w:styleId="Emphasis">
    <w:name w:val="Emphasis"/>
    <w:basedOn w:val="DefaultParagraphFont"/>
    <w:uiPriority w:val="20"/>
    <w:qFormat/>
    <w:rsid w:val="00824D7B"/>
    <w:rPr>
      <w:i/>
      <w:iCs/>
    </w:rPr>
  </w:style>
  <w:style w:type="character" w:styleId="SubtleEmphasis">
    <w:name w:val="Subtle Emphasis"/>
    <w:basedOn w:val="DefaultParagraphFont"/>
    <w:uiPriority w:val="19"/>
    <w:qFormat/>
    <w:rsid w:val="00824D7B"/>
    <w:rPr>
      <w:i/>
      <w:iCs/>
      <w:color w:val="404040" w:themeColor="text1" w:themeTint="BF"/>
    </w:rPr>
  </w:style>
  <w:style w:type="character" w:styleId="FollowedHyperlink">
    <w:name w:val="FollowedHyperlink"/>
    <w:basedOn w:val="DefaultParagraphFont"/>
    <w:uiPriority w:val="99"/>
    <w:semiHidden/>
    <w:unhideWhenUsed/>
    <w:rsid w:val="004B4610"/>
    <w:rPr>
      <w:color w:val="F08016" w:themeColor="followedHyperlink"/>
      <w:u w:val="single"/>
    </w:rPr>
  </w:style>
  <w:style w:type="character" w:styleId="Heading9Char" w:customStyle="1">
    <w:name w:val="Heading 9 Char"/>
    <w:basedOn w:val="DefaultParagraphFont"/>
    <w:link w:val="Heading9"/>
    <w:uiPriority w:val="9"/>
    <w:qFormat/>
    <w:rsid w:val="00253ADE"/>
    <w:rPr>
      <w:rFonts w:asciiTheme="majorHAnsi" w:hAnsiTheme="majorHAnsi" w:eastAsiaTheme="majorEastAsia" w:cstheme="majorBidi"/>
      <w:i/>
      <w:iCs/>
      <w:color w:val="272727" w:themeColor="text1" w:themeTint="D8"/>
      <w:sz w:val="21"/>
      <w:szCs w:val="21"/>
    </w:rPr>
  </w:style>
  <w:style w:type="character" w:styleId="Heading4Char" w:customStyle="1">
    <w:name w:val="Heading 4 Char"/>
    <w:basedOn w:val="DefaultParagraphFont"/>
    <w:link w:val="Heading4"/>
    <w:uiPriority w:val="9"/>
    <w:qFormat/>
    <w:rsid w:val="001B7F20"/>
    <w:rPr>
      <w:rFonts w:asciiTheme="majorHAnsi" w:hAnsiTheme="majorHAnsi" w:eastAsiaTheme="majorEastAsia" w:cstheme="majorBidi"/>
      <w:iCs/>
      <w:color w:val="F08016" w:themeColor="accent1"/>
      <w:sz w:val="24"/>
    </w:rPr>
  </w:style>
  <w:style w:type="character" w:styleId="NoSpacingChar" w:customStyle="1">
    <w:name w:val="No Spacing Char"/>
    <w:basedOn w:val="DefaultParagraphFont"/>
    <w:link w:val="NoSpacing"/>
    <w:uiPriority w:val="1"/>
    <w:qFormat/>
    <w:rsid w:val="00A420AF"/>
    <w:rPr>
      <w:rFonts w:ascii="Rubik" w:hAnsi="Rubik" w:eastAsia="Rubik"/>
      <w:color w:val="000000"/>
      <w:sz w:val="24"/>
    </w:rPr>
  </w:style>
  <w:style w:type="character" w:styleId="PlaceholderText">
    <w:name w:val="Placeholder Text"/>
    <w:basedOn w:val="DefaultParagraphFont"/>
    <w:uiPriority w:val="99"/>
    <w:semiHidden/>
    <w:qFormat/>
    <w:rsid w:val="002C31A1"/>
    <w:rPr>
      <w:color w:val="808080"/>
    </w:rPr>
  </w:style>
  <w:style w:type="character" w:styleId="normaltextrun" w:customStyle="1">
    <w:name w:val="normaltextrun"/>
    <w:basedOn w:val="DefaultParagraphFont"/>
    <w:qFormat/>
    <w:rsid w:val="00357D23"/>
  </w:style>
  <w:style w:type="character" w:styleId="eop" w:customStyle="1">
    <w:name w:val="eop"/>
    <w:basedOn w:val="DefaultParagraphFont"/>
    <w:qFormat/>
    <w:rsid w:val="00357D23"/>
  </w:style>
  <w:style w:type="character" w:styleId="CommentReference">
    <w:name w:val="annotation reference"/>
    <w:basedOn w:val="DefaultParagraphFont"/>
    <w:uiPriority w:val="99"/>
    <w:semiHidden/>
    <w:unhideWhenUsed/>
    <w:qFormat/>
    <w:rsid w:val="005E195D"/>
    <w:rPr>
      <w:sz w:val="16"/>
      <w:szCs w:val="16"/>
    </w:rPr>
  </w:style>
  <w:style w:type="character" w:styleId="CommentTextChar" w:customStyle="1">
    <w:name w:val="Comment Text Char"/>
    <w:basedOn w:val="DefaultParagraphFont"/>
    <w:link w:val="CommentText"/>
    <w:uiPriority w:val="99"/>
    <w:qFormat/>
    <w:rsid w:val="005E195D"/>
    <w:rPr>
      <w:rFonts w:eastAsia="Rubik"/>
      <w:kern w:val="0"/>
      <w:sz w:val="20"/>
      <w:szCs w:val="20"/>
      <w:lang w:val="en-GB"/>
      <w14:ligatures w14:val="none"/>
    </w:rPr>
  </w:style>
  <w:style w:type="character" w:styleId="EndnoteTextChar" w:customStyle="1">
    <w:name w:val="Endnote Text Char"/>
    <w:basedOn w:val="DefaultParagraphFont"/>
    <w:link w:val="EndnoteText"/>
    <w:uiPriority w:val="99"/>
    <w:semiHidden/>
    <w:qFormat/>
    <w:rsid w:val="00F355A2"/>
    <w:rPr>
      <w:rFonts w:ascii="Rubik" w:hAnsi="Rubik" w:eastAsia="Rubik"/>
      <w:color w:val="000000"/>
      <w:sz w:val="20"/>
      <w:szCs w:val="20"/>
    </w:rPr>
  </w:style>
  <w:style w:type="character" w:styleId="EndnoteCharacters" w:customStyle="1">
    <w:name w:val="Endnote Characters"/>
    <w:uiPriority w:val="99"/>
    <w:semiHidden/>
    <w:unhideWhenUsed/>
    <w:qFormat/>
    <w:rsid w:val="00F355A2"/>
    <w:rPr>
      <w:vertAlign w:val="superscript"/>
    </w:rPr>
  </w:style>
  <w:style w:type="character" w:styleId="EndnoteCharacters1" w:customStyle="1">
    <w:name w:val="Endnote Characters1"/>
    <w:qFormat/>
    <w:rPr>
      <w:vertAlign w:val="superscript"/>
    </w:rPr>
  </w:style>
  <w:style w:type="character" w:styleId="EndnoteReference">
    <w:name w:val="endnote reference"/>
    <w:rPr>
      <w:vertAlign w:val="superscript"/>
    </w:rPr>
  </w:style>
  <w:style w:type="character" w:styleId="CommentSubjectChar" w:customStyle="1">
    <w:name w:val="Comment Subject Char"/>
    <w:basedOn w:val="CommentTextChar"/>
    <w:link w:val="CommentSubject"/>
    <w:uiPriority w:val="99"/>
    <w:semiHidden/>
    <w:qFormat/>
    <w:rsid w:val="001C4473"/>
    <w:rPr>
      <w:rFonts w:ascii="Rubik" w:hAnsi="Rubik" w:eastAsia="Rubik"/>
      <w:b/>
      <w:bCs/>
      <w:color w:val="000000"/>
      <w:kern w:val="0"/>
      <w:sz w:val="20"/>
      <w:szCs w:val="20"/>
      <w:lang w:val="en-GB"/>
      <w14:ligatures w14:val="none"/>
    </w:rPr>
  </w:style>
  <w:style w:type="character" w:styleId="FootnoteTextChar" w:customStyle="1">
    <w:name w:val="Footnote Text Char"/>
    <w:basedOn w:val="DefaultParagraphFont"/>
    <w:link w:val="FootnoteText"/>
    <w:uiPriority w:val="99"/>
    <w:semiHidden/>
    <w:qFormat/>
    <w:rsid w:val="00ED68B9"/>
    <w:rPr>
      <w:rFonts w:ascii="Rubik" w:hAnsi="Rubik" w:eastAsia="Rubik"/>
      <w:color w:val="000000"/>
      <w:sz w:val="20"/>
      <w:szCs w:val="20"/>
    </w:rPr>
  </w:style>
  <w:style w:type="character" w:styleId="FootnoteCharacters" w:customStyle="1">
    <w:name w:val="Footnote Characters"/>
    <w:uiPriority w:val="99"/>
    <w:semiHidden/>
    <w:unhideWhenUsed/>
    <w:qFormat/>
    <w:rsid w:val="00ED68B9"/>
    <w:rPr>
      <w:vertAlign w:val="superscript"/>
    </w:rPr>
  </w:style>
  <w:style w:type="character" w:styleId="FootnoteCharacters1" w:customStyle="1">
    <w:name w:val="Footnote Characters1"/>
    <w:qFormat/>
    <w:rPr>
      <w:vertAlign w:val="superscript"/>
    </w:rPr>
  </w:style>
  <w:style w:type="character" w:styleId="FootnoteReference">
    <w:name w:val="footnote reference"/>
    <w:rPr>
      <w:vertAlign w:val="superscript"/>
    </w:rPr>
  </w:style>
  <w:style w:type="character" w:styleId="cf01" w:customStyle="1">
    <w:name w:val="cf01"/>
    <w:basedOn w:val="DefaultParagraphFont"/>
    <w:qFormat/>
    <w:rsid w:val="00423293"/>
    <w:rPr>
      <w:rFonts w:ascii="Segoe UI" w:hAnsi="Segoe UI" w:cs="Segoe UI"/>
      <w:sz w:val="18"/>
      <w:szCs w:val="18"/>
    </w:rPr>
  </w:style>
  <w:style w:type="character" w:styleId="product-banner-author" w:customStyle="1">
    <w:name w:val="product-banner-author"/>
    <w:basedOn w:val="DefaultParagraphFont"/>
    <w:qFormat/>
    <w:rsid w:val="008D1FD6"/>
  </w:style>
  <w:style w:type="character" w:styleId="product-banner-author-name" w:customStyle="1">
    <w:name w:val="product-banner-author-name"/>
    <w:basedOn w:val="DefaultParagraphFont"/>
    <w:qFormat/>
    <w:rsid w:val="008D1FD6"/>
  </w:style>
  <w:style w:type="character" w:styleId="contributor-name" w:customStyle="1">
    <w:name w:val="contributor-name"/>
    <w:basedOn w:val="DefaultParagraphFont"/>
    <w:qFormat/>
    <w:rsid w:val="008D1FD6"/>
  </w:style>
  <w:style w:type="character" w:styleId="cf21" w:customStyle="1">
    <w:name w:val="cf21"/>
    <w:basedOn w:val="DefaultParagraphFont"/>
    <w:qFormat/>
    <w:rsid w:val="00C52913"/>
    <w:rPr>
      <w:rFonts w:ascii="Segoe UI" w:hAnsi="Segoe UI" w:cs="Segoe UI"/>
      <w:sz w:val="18"/>
      <w:szCs w:val="18"/>
    </w:rPr>
  </w:style>
  <w:style w:type="character" w:styleId="PlainTextChar" w:customStyle="1">
    <w:name w:val="Plain Text Char"/>
    <w:basedOn w:val="DefaultParagraphFont"/>
    <w:link w:val="PlainText"/>
    <w:uiPriority w:val="99"/>
    <w:semiHidden/>
    <w:qFormat/>
    <w:rsid w:val="005E4DDA"/>
    <w:rPr>
      <w:rFonts w:ascii="Rubik" w:hAnsi="Rubik" w:eastAsia="Times New Roman"/>
      <w:kern w:val="0"/>
      <w:sz w:val="24"/>
      <w:szCs w:val="21"/>
      <w14:ligatures w14:val="none"/>
    </w:rPr>
  </w:style>
  <w:style w:type="character" w:styleId="spipnoteref" w:customStyle="1">
    <w:name w:val="spip_note_ref"/>
    <w:basedOn w:val="DefaultParagraphFont"/>
    <w:qFormat/>
    <w:rsid w:val="003C16AB"/>
  </w:style>
  <w:style w:type="character" w:styleId="HTMLCite">
    <w:name w:val="HTML Cite"/>
    <w:basedOn w:val="DefaultParagraphFont"/>
    <w:uiPriority w:val="99"/>
    <w:semiHidden/>
    <w:unhideWhenUsed/>
    <w:qFormat/>
    <w:rsid w:val="00695023"/>
    <w:rPr>
      <w:i/>
      <w:iCs/>
    </w:rPr>
  </w:style>
  <w:style w:type="character" w:styleId="LineNumber">
    <w:name w:val="line number"/>
  </w:style>
  <w:style w:type="paragraph" w:styleId="Heading" w:customStyle="1">
    <w:name w:val="Heading"/>
    <w:basedOn w:val="Normal"/>
    <w:next w:val="BodyText"/>
    <w:qFormat/>
    <w:pPr>
      <w:keepNext/>
      <w:spacing w:before="240" w:after="120"/>
    </w:pPr>
    <w:rPr>
      <w:rFonts w:ascii="Liberation Sans" w:hAnsi="Liberation Sans" w:eastAsia="Noto Sans CJK SC"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styleId="Index" w:customStyle="1">
    <w:name w:val="Index"/>
    <w:basedOn w:val="Normal"/>
    <w:qFormat/>
    <w:pPr>
      <w:suppressLineNumbers/>
    </w:pPr>
    <w:rPr>
      <w:rFonts w:cs="Lohit Devanagari"/>
    </w:rPr>
  </w:style>
  <w:style w:type="paragraph" w:styleId="HeaderandFooter" w:customStyle="1">
    <w:name w:val="Header and Footer"/>
    <w:basedOn w:val="Normal"/>
    <w:qFormat/>
  </w:style>
  <w:style w:type="paragraph" w:styleId="Header">
    <w:name w:val="header"/>
    <w:basedOn w:val="Normal"/>
    <w:link w:val="HeaderChar"/>
    <w:uiPriority w:val="99"/>
    <w:unhideWhenUsed/>
    <w:rsid w:val="0030482B"/>
    <w:pPr>
      <w:tabs>
        <w:tab w:val="center" w:pos="4513"/>
        <w:tab w:val="right" w:pos="9026"/>
      </w:tabs>
      <w:spacing w:after="0" w:line="240" w:lineRule="auto"/>
    </w:pPr>
  </w:style>
  <w:style w:type="paragraph" w:styleId="Footer">
    <w:name w:val="footer"/>
    <w:basedOn w:val="Normal"/>
    <w:link w:val="FooterChar"/>
    <w:uiPriority w:val="99"/>
    <w:unhideWhenUsed/>
    <w:qFormat/>
    <w:rsid w:val="0097718C"/>
    <w:pPr>
      <w:tabs>
        <w:tab w:val="center" w:pos="4513"/>
        <w:tab w:val="right" w:pos="9026"/>
      </w:tabs>
      <w:spacing w:after="0"/>
    </w:pPr>
    <w:rPr>
      <w:color w:val="104C61"/>
      <w:sz w:val="20"/>
    </w:rPr>
  </w:style>
  <w:style w:type="paragraph" w:styleId="NoSpacing">
    <w:name w:val="No Spacing"/>
    <w:link w:val="NoSpacingChar"/>
    <w:uiPriority w:val="1"/>
    <w:qFormat/>
    <w:rsid w:val="00E127F0"/>
    <w:rPr>
      <w:rFonts w:ascii="Rubik" w:hAnsi="Rubik" w:eastAsia="Rubik"/>
      <w:color w:val="000000"/>
      <w:sz w:val="24"/>
    </w:rPr>
  </w:style>
  <w:style w:type="paragraph" w:styleId="Title">
    <w:name w:val="Title"/>
    <w:basedOn w:val="Normal"/>
    <w:next w:val="Normal"/>
    <w:link w:val="TitleChar"/>
    <w:uiPriority w:val="10"/>
    <w:qFormat/>
    <w:rsid w:val="00A16930"/>
    <w:pPr>
      <w:spacing w:after="0"/>
      <w:contextualSpacing/>
    </w:pPr>
    <w:rPr>
      <w:rFonts w:ascii="Rubik Light" w:hAnsi="Rubik Light" w:eastAsiaTheme="majorEastAsia" w:cstheme="majorBidi"/>
      <w:color w:val="F08016"/>
      <w:spacing w:val="-10"/>
      <w:sz w:val="32"/>
      <w:szCs w:val="56"/>
    </w:rPr>
  </w:style>
  <w:style w:type="paragraph" w:styleId="Subtitle">
    <w:name w:val="Subtitle"/>
    <w:basedOn w:val="Normal"/>
    <w:next w:val="Normal"/>
    <w:link w:val="SubtitleChar"/>
    <w:uiPriority w:val="11"/>
    <w:qFormat/>
    <w:rsid w:val="00B050B2"/>
    <w:rPr>
      <w:rFonts w:eastAsiaTheme="minorEastAsia"/>
      <w:color w:val="104C61"/>
      <w:spacing w:val="15"/>
    </w:rPr>
  </w:style>
  <w:style w:type="paragraph" w:styleId="Quote">
    <w:name w:val="Quote"/>
    <w:basedOn w:val="Normal"/>
    <w:next w:val="Normal"/>
    <w:link w:val="QuoteChar"/>
    <w:uiPriority w:val="29"/>
    <w:qFormat/>
    <w:rsid w:val="00A12839"/>
    <w:pPr>
      <w:spacing w:before="200"/>
      <w:ind w:right="864"/>
    </w:pPr>
    <w:rPr>
      <w:i/>
      <w:iCs/>
    </w:rPr>
  </w:style>
  <w:style w:type="paragraph" w:styleId="IntenseQuote">
    <w:name w:val="Intense Quote"/>
    <w:basedOn w:val="Normal"/>
    <w:next w:val="Normal"/>
    <w:link w:val="IntenseQuoteChar"/>
    <w:uiPriority w:val="30"/>
    <w:qFormat/>
    <w:rsid w:val="00A12839"/>
    <w:pPr>
      <w:pBdr>
        <w:top w:val="single" w:color="F08016" w:themeColor="accent1" w:sz="4" w:space="10"/>
        <w:bottom w:val="single" w:color="F08016" w:themeColor="accent1" w:sz="4" w:space="10"/>
      </w:pBdr>
      <w:spacing w:before="360" w:after="360"/>
      <w:ind w:left="864" w:right="864"/>
      <w:jc w:val="center"/>
    </w:pPr>
    <w:rPr>
      <w:i/>
      <w:iCs/>
      <w:color w:val="104C61"/>
    </w:rPr>
  </w:style>
  <w:style w:type="paragraph" w:styleId="ListParagraph">
    <w:name w:val="List Paragraph"/>
    <w:basedOn w:val="Normal"/>
    <w:uiPriority w:val="34"/>
    <w:qFormat/>
    <w:rsid w:val="0097718C"/>
    <w:pPr>
      <w:ind w:left="720"/>
      <w:contextualSpacing/>
    </w:pPr>
  </w:style>
  <w:style w:type="paragraph" w:styleId="paragraph" w:customStyle="1">
    <w:name w:val="paragraph"/>
    <w:basedOn w:val="Normal"/>
    <w:qFormat/>
    <w:rsid w:val="00357D23"/>
    <w:pPr>
      <w:spacing w:beforeAutospacing="1" w:afterAutospacing="1" w:line="240" w:lineRule="auto"/>
      <w:outlineLvl w:val="9"/>
    </w:pPr>
    <w:rPr>
      <w:rFonts w:ascii="Times New Roman" w:hAnsi="Times New Roman" w:eastAsia="Times New Roman" w:cs="Times New Roman"/>
      <w:color w:val="auto"/>
      <w:kern w:val="0"/>
      <w:szCs w:val="24"/>
      <w:lang w:eastAsia="fr-BE"/>
      <w14:ligatures w14:val="none"/>
    </w:rPr>
  </w:style>
  <w:style w:type="paragraph" w:styleId="m9202252433454142793msolistparagraph" w:customStyle="1">
    <w:name w:val="m_9202252433454142793msolistparagraph"/>
    <w:basedOn w:val="Normal"/>
    <w:qFormat/>
    <w:rsid w:val="009E3B2B"/>
    <w:pPr>
      <w:spacing w:beforeAutospacing="1" w:afterAutospacing="1" w:line="240" w:lineRule="auto"/>
      <w:outlineLvl w:val="9"/>
    </w:pPr>
    <w:rPr>
      <w:rFonts w:ascii="Calibri" w:hAnsi="Calibri" w:cs="Calibri"/>
      <w:color w:val="auto"/>
      <w:kern w:val="0"/>
      <w:sz w:val="22"/>
      <w:lang w:eastAsia="fr-BE"/>
      <w14:ligatures w14:val="none"/>
    </w:rPr>
  </w:style>
  <w:style w:type="paragraph" w:styleId="CommentText">
    <w:name w:val="annotation text"/>
    <w:basedOn w:val="Normal"/>
    <w:link w:val="CommentTextChar"/>
    <w:uiPriority w:val="99"/>
    <w:unhideWhenUsed/>
    <w:rsid w:val="005E195D"/>
    <w:pPr>
      <w:spacing w:after="200" w:line="240" w:lineRule="auto"/>
      <w:outlineLvl w:val="9"/>
    </w:pPr>
    <w:rPr>
      <w:rFonts w:asciiTheme="minorHAnsi" w:hAnsiTheme="minorHAnsi"/>
      <w:color w:val="auto"/>
      <w:kern w:val="0"/>
      <w:sz w:val="20"/>
      <w:szCs w:val="20"/>
      <w:lang w:val="en-GB"/>
      <w14:ligatures w14:val="none"/>
    </w:rPr>
  </w:style>
  <w:style w:type="paragraph" w:styleId="NormalWeb">
    <w:name w:val="Normal (Web)"/>
    <w:basedOn w:val="Normal"/>
    <w:uiPriority w:val="99"/>
    <w:unhideWhenUsed/>
    <w:qFormat/>
    <w:rsid w:val="00D52573"/>
    <w:pPr>
      <w:spacing w:beforeAutospacing="1" w:afterAutospacing="1" w:line="240" w:lineRule="auto"/>
      <w:outlineLvl w:val="9"/>
    </w:pPr>
    <w:rPr>
      <w:rFonts w:ascii="Times New Roman" w:hAnsi="Times New Roman" w:eastAsia="Times New Roman" w:cs="Times New Roman"/>
      <w:color w:val="auto"/>
      <w:kern w:val="0"/>
      <w:szCs w:val="24"/>
      <w:lang w:val="en-GB" w:eastAsia="en-GB"/>
      <w14:ligatures w14:val="none"/>
    </w:rPr>
  </w:style>
  <w:style w:type="paragraph" w:styleId="EndnoteText">
    <w:name w:val="endnote text"/>
    <w:basedOn w:val="Normal"/>
    <w:link w:val="EndnoteTextChar"/>
    <w:uiPriority w:val="99"/>
    <w:semiHidden/>
    <w:unhideWhenUsed/>
    <w:rsid w:val="00F355A2"/>
    <w:pPr>
      <w:spacing w:after="0"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1C4473"/>
    <w:pPr>
      <w:spacing w:after="160"/>
      <w:outlineLvl w:val="3"/>
    </w:pPr>
    <w:rPr>
      <w:rFonts w:ascii="Rubik" w:hAnsi="Rubik"/>
      <w:b/>
      <w:bCs/>
      <w:color w:val="000000"/>
      <w:kern w:val="2"/>
      <w:lang w:val="fr-BE"/>
      <w14:ligatures w14:val="standardContextual"/>
    </w:rPr>
  </w:style>
  <w:style w:type="paragraph" w:styleId="FootnoteText">
    <w:name w:val="footnote text"/>
    <w:basedOn w:val="Normal"/>
    <w:link w:val="FootnoteTextChar"/>
    <w:uiPriority w:val="99"/>
    <w:semiHidden/>
    <w:unhideWhenUsed/>
    <w:rsid w:val="00ED68B9"/>
    <w:pPr>
      <w:spacing w:after="0" w:line="240" w:lineRule="auto"/>
    </w:pPr>
    <w:rPr>
      <w:sz w:val="20"/>
      <w:szCs w:val="20"/>
    </w:rPr>
  </w:style>
  <w:style w:type="paragraph" w:styleId="pf0" w:customStyle="1">
    <w:name w:val="pf0"/>
    <w:basedOn w:val="Normal"/>
    <w:qFormat/>
    <w:rsid w:val="00423293"/>
    <w:pPr>
      <w:spacing w:beforeAutospacing="1" w:afterAutospacing="1" w:line="240" w:lineRule="auto"/>
      <w:outlineLvl w:val="9"/>
    </w:pPr>
    <w:rPr>
      <w:rFonts w:ascii="Times New Roman" w:hAnsi="Times New Roman" w:eastAsia="Times New Roman" w:cs="Times New Roman"/>
      <w:color w:val="auto"/>
      <w:kern w:val="0"/>
      <w:szCs w:val="24"/>
      <w:lang w:eastAsia="fr-BE"/>
      <w14:ligatures w14:val="none"/>
    </w:rPr>
  </w:style>
  <w:style w:type="paragraph" w:styleId="Listeafsnit1" w:customStyle="1">
    <w:name w:val="Listeafsnit1"/>
    <w:basedOn w:val="Normal"/>
    <w:next w:val="ListParagraph"/>
    <w:uiPriority w:val="34"/>
    <w:qFormat/>
    <w:rsid w:val="004C3109"/>
    <w:pPr>
      <w:spacing w:after="0" w:line="240" w:lineRule="auto"/>
      <w:ind w:left="720"/>
      <w:contextualSpacing/>
      <w:outlineLvl w:val="9"/>
    </w:pPr>
    <w:rPr>
      <w:rFonts w:ascii="Georgia" w:hAnsi="Georgia" w:eastAsia="Times" w:cs="Times New Roman"/>
      <w:color w:val="auto"/>
      <w:kern w:val="0"/>
      <w:sz w:val="22"/>
      <w:szCs w:val="20"/>
      <w:lang w:val="da-DK" w:eastAsia="da-DK"/>
      <w14:ligatures w14:val="none"/>
    </w:rPr>
  </w:style>
  <w:style w:type="paragraph" w:styleId="listbullet" w:customStyle="1">
    <w:name w:val="listbullet"/>
    <w:basedOn w:val="Normal"/>
    <w:qFormat/>
    <w:rsid w:val="00167AE6"/>
    <w:pPr>
      <w:spacing w:beforeAutospacing="1" w:afterAutospacing="1" w:line="240" w:lineRule="auto"/>
      <w:outlineLvl w:val="9"/>
    </w:pPr>
    <w:rPr>
      <w:rFonts w:ascii="Times New Roman" w:hAnsi="Times New Roman" w:eastAsia="Times New Roman" w:cs="Times New Roman"/>
      <w:color w:val="auto"/>
      <w:kern w:val="0"/>
      <w:szCs w:val="24"/>
      <w:lang w:eastAsia="fr-BE"/>
      <w14:ligatures w14:val="none"/>
    </w:rPr>
  </w:style>
  <w:style w:type="paragraph" w:styleId="PlainText">
    <w:name w:val="Plain Text"/>
    <w:basedOn w:val="Normal"/>
    <w:link w:val="PlainTextChar"/>
    <w:uiPriority w:val="99"/>
    <w:semiHidden/>
    <w:unhideWhenUsed/>
    <w:qFormat/>
    <w:rsid w:val="005E4DDA"/>
    <w:pPr>
      <w:spacing w:after="0" w:line="240" w:lineRule="auto"/>
      <w:outlineLvl w:val="9"/>
    </w:pPr>
    <w:rPr>
      <w:rFonts w:eastAsia="Times New Roman"/>
      <w:color w:val="auto"/>
      <w:kern w:val="0"/>
      <w:szCs w:val="21"/>
      <w14:ligatures w14:val="none"/>
    </w:rPr>
  </w:style>
  <w:style w:type="paragraph" w:styleId="Revision">
    <w:name w:val="Revision"/>
    <w:uiPriority w:val="99"/>
    <w:semiHidden/>
    <w:qFormat/>
    <w:rsid w:val="00AF527E"/>
    <w:rPr>
      <w:rFonts w:ascii="Rubik" w:hAnsi="Rubik" w:eastAsia="Rubik"/>
      <w:color w:val="000000"/>
      <w:sz w:val="24"/>
    </w:rPr>
  </w:style>
  <w:style w:type="table" w:styleId="TableGrid">
    <w:name w:val="Table Grid"/>
    <w:basedOn w:val="TableNormal"/>
    <w:uiPriority w:val="39"/>
    <w:rsid w:val="00AB614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528319">
      <w:bodyDiv w:val="1"/>
      <w:marLeft w:val="0"/>
      <w:marRight w:val="0"/>
      <w:marTop w:val="0"/>
      <w:marBottom w:val="0"/>
      <w:divBdr>
        <w:top w:val="none" w:sz="0" w:space="0" w:color="auto"/>
        <w:left w:val="none" w:sz="0" w:space="0" w:color="auto"/>
        <w:bottom w:val="none" w:sz="0" w:space="0" w:color="auto"/>
        <w:right w:val="none" w:sz="0" w:space="0" w:color="auto"/>
      </w:divBdr>
    </w:div>
    <w:div w:id="1245646372">
      <w:bodyDiv w:val="1"/>
      <w:marLeft w:val="0"/>
      <w:marRight w:val="0"/>
      <w:marTop w:val="0"/>
      <w:marBottom w:val="0"/>
      <w:divBdr>
        <w:top w:val="none" w:sz="0" w:space="0" w:color="auto"/>
        <w:left w:val="none" w:sz="0" w:space="0" w:color="auto"/>
        <w:bottom w:val="none" w:sz="0" w:space="0" w:color="auto"/>
        <w:right w:val="none" w:sz="0" w:space="0" w:color="auto"/>
      </w:divBdr>
    </w:div>
    <w:div w:id="1487169210">
      <w:bodyDiv w:val="1"/>
      <w:marLeft w:val="0"/>
      <w:marRight w:val="0"/>
      <w:marTop w:val="0"/>
      <w:marBottom w:val="0"/>
      <w:divBdr>
        <w:top w:val="none" w:sz="0" w:space="0" w:color="auto"/>
        <w:left w:val="none" w:sz="0" w:space="0" w:color="auto"/>
        <w:bottom w:val="none" w:sz="0" w:space="0" w:color="auto"/>
        <w:right w:val="none" w:sz="0" w:space="0" w:color="auto"/>
      </w:divBdr>
    </w:div>
    <w:div w:id="1739015441">
      <w:bodyDiv w:val="1"/>
      <w:marLeft w:val="0"/>
      <w:marRight w:val="0"/>
      <w:marTop w:val="0"/>
      <w:marBottom w:val="0"/>
      <w:divBdr>
        <w:top w:val="none" w:sz="0" w:space="0" w:color="auto"/>
        <w:left w:val="none" w:sz="0" w:space="0" w:color="auto"/>
        <w:bottom w:val="none" w:sz="0" w:space="0" w:color="auto"/>
        <w:right w:val="none" w:sz="0" w:space="0" w:color="auto"/>
      </w:divBdr>
    </w:div>
    <w:div w:id="2147240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hyperlink" Target="https://age-platform.eu/special-briefing/assistive-technologies-and-robots-age-welcomes-new-un-independent-expert%E2%80%99s-report"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s://euroageism.eu/wp-content/uploads/2021/03/Ageism-and-Technology-Policy-Brief.pdf" TargetMode="Externa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yperlink" Target="https://age-platform.eu/policy-work/news/un-needs-address-human-rights-implications-new-technologies-age-replies-un" TargetMode="External" Id="rId17" /><Relationship Type="http://schemas.openxmlformats.org/officeDocument/2006/relationships/image" Target="media/image4.png"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www.age-platform.eu/sites/default/files/Report%20of%20the%20UN%20Independent%20Expert%20on%20digitalisation%20and%20use%20of%20robots_2017.pdf" TargetMode="External" Id="rId16" /><Relationship Type="http://schemas.openxmlformats.org/officeDocument/2006/relationships/hyperlink" Target="https://rm.coe.int/digital-literacy-for-seniors-print/1680a6ce9e" TargetMode="External"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mailto:julia.wadoux@age-platform.eu" TargetMode="External" Id="rId24" /><Relationship Type="http://schemas.openxmlformats.org/officeDocument/2006/relationships/fontTable" Target="fontTable.xml" Id="rId32" /><Relationship Type="http://schemas.openxmlformats.org/officeDocument/2006/relationships/customXml" Target="../customXml/item5.xml" Id="rId5" /><Relationship Type="http://schemas.openxmlformats.org/officeDocument/2006/relationships/hyperlink" Target="https://digital-strategy.ec.europa.eu/en/policies/europes-digital-decade" TargetMode="External" Id="rId15" /><Relationship Type="http://schemas.openxmlformats.org/officeDocument/2006/relationships/hyperlink" Target="mailto:nena.georgantzi@age-platform.eu" TargetMode="External" Id="rId23" /><Relationship Type="http://schemas.openxmlformats.org/officeDocument/2006/relationships/footer" Target="footer1.xml" Id="rId28" /><Relationship Type="http://schemas.openxmlformats.org/officeDocument/2006/relationships/footnotes" Target="footnotes.xml" Id="rId10" /><Relationship Type="http://schemas.openxmlformats.org/officeDocument/2006/relationships/hyperlink" Target="https://age-platform.eu/press-releases/older-people%E2%80%99s-organisations-welcome-human-rights-shift-taken-eu-council-recent" TargetMode="External" Id="rId19" /><Relationship Type="http://schemas.openxmlformats.org/officeDocument/2006/relationships/footer" Target="footer3.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hyperlink" Target="https://www.essex.ac.uk/news/2022/06/22/digital-technologies-pose-a-threat-to-human-rights-of-older-people" TargetMode="External" Id="rId22"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settings" Target="settings.xml" Id="rId8" /></Relationships>
</file>

<file path=word/_rels/footnotes.xml.rels><?xml version="1.0" encoding="UTF-8" standalone="yes"?>
<Relationships xmlns="http://schemas.openxmlformats.org/package/2006/relationships"><Relationship Id="rId8" Type="http://schemas.openxmlformats.org/officeDocument/2006/relationships/hyperlink" Target="https://equineteurope.org/wp-content/uploads/2020/06/ai_report_digital.pdf" TargetMode="External"/><Relationship Id="rId13" Type="http://schemas.openxmlformats.org/officeDocument/2006/relationships/hyperlink" Target="https://www.ago-asbl.be/wp-content/uploads/2024/02/Ago-2023-Constellations-1.pdf" TargetMode="External"/><Relationship Id="rId18" Type="http://schemas.openxmlformats.org/officeDocument/2006/relationships/hyperlink" Target="http://social.un.org/ageing-working-group/documents/ohchr-outcome-paperolderpersons12.pdf" TargetMode="External"/><Relationship Id="rId26" Type="http://schemas.openxmlformats.org/officeDocument/2006/relationships/hyperlink" Target="https://www.age-platform.eu/assistive-technologies-and-robots-age-welcomes-the-new-un-independent-experts-report-and-call-for-a-human-rights-approach/" TargetMode="External"/><Relationship Id="rId3" Type="http://schemas.openxmlformats.org/officeDocument/2006/relationships/hyperlink" Target="https://euroageism.eu/wp-content/uploads/2021/03/Ageism-and-Technology-Policy-Brief.pdf" TargetMode="External"/><Relationship Id="rId21" Type="http://schemas.openxmlformats.org/officeDocument/2006/relationships/hyperlink" Target="https://www.age-platform.eu/barometer-2023/" TargetMode="External"/><Relationship Id="rId7" Type="http://schemas.openxmlformats.org/officeDocument/2006/relationships/hyperlink" Target="https://www.age-platform.eu/sites/default/files/UN_questionnaire_digital_technologies_2019-AGE_reply.pdf" TargetMode="External"/><Relationship Id="rId12" Type="http://schemas.openxmlformats.org/officeDocument/2006/relationships/hyperlink" Target="https://www.ohchr.org/en/documents/thematic-reports/data-gap" TargetMode="External"/><Relationship Id="rId17" Type="http://schemas.openxmlformats.org/officeDocument/2006/relationships/hyperlink" Target="https://fra.europa.eu/en/publication/2023/older-people-digital-rights?page=9" TargetMode="External"/><Relationship Id="rId25" Type="http://schemas.openxmlformats.org/officeDocument/2006/relationships/hyperlink" Target="https://kbs-frb.be/nl/barometer-digitale-inclusie-2022" TargetMode="External"/><Relationship Id="rId2" Type="http://schemas.openxmlformats.org/officeDocument/2006/relationships/hyperlink" Target="https://euroageism.eu/wp-content/uploads/2021/03/Ageism-and-Technology-Policy-Brief.pdf" TargetMode="External"/><Relationship Id="rId16" Type="http://schemas.openxmlformats.org/officeDocument/2006/relationships/hyperlink" Target="https://digital-strategy.ec.europa.eu/en/library/implementing-decision-setting-out-key-performance-indicators-measure-progress-towards-digital" TargetMode="External"/><Relationship Id="rId20" Type="http://schemas.openxmlformats.org/officeDocument/2006/relationships/hyperlink" Target="https://fra.europa.eu/en/publication/2023/older-people-digital-rights?page=9" TargetMode="External"/><Relationship Id="rId1" Type="http://schemas.openxmlformats.org/officeDocument/2006/relationships/hyperlink" Target="https://www.who.int/teams/social-determinants-of-health/demographic-change-and-healthy-ageing/combatting-ageism/global-report-on-ageism" TargetMode="External"/><Relationship Id="rId6" Type="http://schemas.openxmlformats.org/officeDocument/2006/relationships/hyperlink" Target="https://www.taylorfrancis.com/chapters/oa-edit/10.4324/9781003323686-4/silicon-valley-ageism-ideologies-practices-expulsion-technology-industry-justyna-stypi&#324;ska-andrea-rosales-jakob-svensson" TargetMode="External"/><Relationship Id="rId11" Type="http://schemas.openxmlformats.org/officeDocument/2006/relationships/hyperlink" Target="https://www.ohchr.org/en/special-procedures/ie-older-persons" TargetMode="External"/><Relationship Id="rId24" Type="http://schemas.openxmlformats.org/officeDocument/2006/relationships/hyperlink" Target="https://kbs-frb.be/fr/zoom-barometre-de-lnclusion-numerique-2024" TargetMode="External"/><Relationship Id="rId5" Type="http://schemas.openxmlformats.org/officeDocument/2006/relationships/hyperlink" Target="https://link.springer.com/article/10.1007/s41999-024-00938-7" TargetMode="External"/><Relationship Id="rId15" Type="http://schemas.openxmlformats.org/officeDocument/2006/relationships/hyperlink" Target="https://digital-strategy.ec.europa.eu/en/policies/desi" TargetMode="External"/><Relationship Id="rId23" Type="http://schemas.openxmlformats.org/officeDocument/2006/relationships/hyperlink" Target="https://defenseurdesdroits.fr/fr/etudes-et-recherches/2021/10/etudes-et-resultats-difficultes-dacces-aux-droits-et-discriminations" TargetMode="External"/><Relationship Id="rId10" Type="http://schemas.openxmlformats.org/officeDocument/2006/relationships/hyperlink" Target="https://www.age-platform.eu/ict-for-ageing-well-listen-to-what-older-persons-think/" TargetMode="External"/><Relationship Id="rId19" Type="http://schemas.openxmlformats.org/officeDocument/2006/relationships/hyperlink" Target="https://www.age-platform.eu/assistive-technologies-and-robots-age-welcomes-the-new-un-independent-experts-report-and-call-for-a-human-rights-approach/" TargetMode="External"/><Relationship Id="rId4" Type="http://schemas.openxmlformats.org/officeDocument/2006/relationships/hyperlink" Target="https://doi.org/10.24966/ggm-8662/100008" TargetMode="External"/><Relationship Id="rId9" Type="http://schemas.openxmlformats.org/officeDocument/2006/relationships/hyperlink" Target="https://social.desa.un.org/issues/disability/crpd/article-9-accessibility" TargetMode="External"/><Relationship Id="rId14" Type="http://schemas.openxmlformats.org/officeDocument/2006/relationships/hyperlink" Target="https://fra.europa.eu/en/publication/2023/older-people-digital-rights?page=9" TargetMode="External"/><Relationship Id="rId22" Type="http://schemas.openxmlformats.org/officeDocument/2006/relationships/hyperlink" Target="https://fra.europa.eu/en/publication/2023/older-people-digital-rights?page=9" TargetMode="External"/><Relationship Id="rId27" Type="http://schemas.openxmlformats.org/officeDocument/2006/relationships/hyperlink" Target="https://digital-strategy.ec.europa.eu/en/policies/de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Custom 5">
      <a:dk1>
        <a:srgbClr val="000000"/>
      </a:dk1>
      <a:lt1>
        <a:srgbClr val="FFFFFF"/>
      </a:lt1>
      <a:dk2>
        <a:srgbClr val="104C61"/>
      </a:dk2>
      <a:lt2>
        <a:srgbClr val="E7E6E6"/>
      </a:lt2>
      <a:accent1>
        <a:srgbClr val="F08016"/>
      </a:accent1>
      <a:accent2>
        <a:srgbClr val="104C61"/>
      </a:accent2>
      <a:accent3>
        <a:srgbClr val="6DC8E4"/>
      </a:accent3>
      <a:accent4>
        <a:srgbClr val="000000"/>
      </a:accent4>
      <a:accent5>
        <a:srgbClr val="000000"/>
      </a:accent5>
      <a:accent6>
        <a:srgbClr val="000000"/>
      </a:accent6>
      <a:hlink>
        <a:srgbClr val="F08016"/>
      </a:hlink>
      <a:folHlink>
        <a:srgbClr val="F08016"/>
      </a:folHlink>
    </a:clrScheme>
    <a:fontScheme name="Rubik - AGE Branding">
      <a:majorFont>
        <a:latin typeface="Rubik Light"/>
        <a:ea typeface=""/>
        <a:cs typeface=""/>
      </a:majorFont>
      <a:minorFont>
        <a:latin typeface="Rubik"/>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September 6, 2023</PublishDate>
  <Abstract/>
  <CompanyAddress>         www.ageplatform.eu</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2e65b2-cf21-49c1-b27d-d23f90380c0e">
      <Terms xmlns="http://schemas.microsoft.com/office/infopath/2007/PartnerControls"/>
    </lcf76f155ced4ddcb4097134ff3c332f>
    <TaxCatchAll xmlns="985ec44e-1bab-4c0b-9df0-6ba128686fc9" xsi:nil="true"/>
    <SharedWithUsers xmlns="9c2e4527-2efa-4ade-b3d6-b2418af14986">
      <UserInfo>
        <DisplayName>Sarah Loriato</DisplayName>
        <AccountId>463</AccountId>
        <AccountType/>
      </UserInfo>
      <UserInfo>
        <DisplayName>Philippe Seidel</DisplayName>
        <AccountId>60</AccountId>
        <AccountType/>
      </UserInfo>
      <UserInfo>
        <DisplayName>Julia Wadoux</DisplayName>
        <AccountId>54</AccountId>
        <AccountType/>
      </UserInfo>
      <UserInfo>
        <DisplayName>Nena Georgantzi</DisplayName>
        <AccountId>53</AccountId>
        <AccountType/>
      </UserInfo>
    </SharedWithUsers>
    <Category xmlns="d42e65b2-cf21-49c1-b27d-d23f90380c0e">CSOs</Category>
    <Filename xmlns="d42e65b2-cf21-49c1-b27d-d23f90380c0e" xsi:nil="true"/>
    <Doctype xmlns="d42e65b2-cf21-49c1-b27d-d23f90380c0e">input</Doctype>
    <Contributor xmlns="d42e65b2-cf21-49c1-b27d-d23f90380c0e">AGE Platform Europe</Contribut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693CA7-28E4-448A-963D-2AC8A98171ED}">
  <ds:schemaRefs>
    <ds:schemaRef ds:uri="http://schemas.microsoft.com/office/2006/metadata/properties"/>
    <ds:schemaRef ds:uri="http://schemas.microsoft.com/office/infopath/2007/PartnerControls"/>
    <ds:schemaRef ds:uri="5632345d-3ab5-416d-95fc-ee85379e6296"/>
    <ds:schemaRef ds:uri="3fdd53fd-4b3b-4e18-b3bc-7608feb4df03"/>
  </ds:schemaRefs>
</ds:datastoreItem>
</file>

<file path=customXml/itemProps3.xml><?xml version="1.0" encoding="utf-8"?>
<ds:datastoreItem xmlns:ds="http://schemas.openxmlformats.org/officeDocument/2006/customXml" ds:itemID="{E312EC23-D452-4181-A754-4931DE8D2AD6}"/>
</file>

<file path=customXml/itemProps4.xml><?xml version="1.0" encoding="utf-8"?>
<ds:datastoreItem xmlns:ds="http://schemas.openxmlformats.org/officeDocument/2006/customXml" ds:itemID="{A93D4CA2-3E11-4241-AA8B-6AD793734F6A}">
  <ds:schemaRefs>
    <ds:schemaRef ds:uri="http://schemas.microsoft.com/sharepoint/v3/contenttype/forms"/>
  </ds:schemaRefs>
</ds:datastoreItem>
</file>

<file path=customXml/itemProps5.xml><?xml version="1.0" encoding="utf-8"?>
<ds:datastoreItem xmlns:ds="http://schemas.openxmlformats.org/officeDocument/2006/customXml" ds:itemID="{C5DB2B8C-A110-4737-B47C-7B43720204C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Paper</dc:title>
  <dc:subject/>
  <dc:creator>Julia Wadoux</dc:creator>
  <cp:keywords>Policy Paper</cp:keywords>
  <dc:description/>
  <cp:lastModifiedBy>Guest User</cp:lastModifiedBy>
  <cp:revision>4</cp:revision>
  <cp:lastPrinted>2023-09-05T14:43:00Z</cp:lastPrinted>
  <dcterms:created xsi:type="dcterms:W3CDTF">2024-08-08T12:44:00Z</dcterms:created>
  <dcterms:modified xsi:type="dcterms:W3CDTF">2024-09-12T09:40:02Z</dcterms:modified>
  <cp:category>www.age-platform.eu</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