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306215" w14:textId="63B9E26E" w:rsidR="00A32308" w:rsidRPr="004B425A" w:rsidRDefault="00605214" w:rsidP="00605214">
      <w:pPr>
        <w:jc w:val="center"/>
        <w:rPr>
          <w:i/>
          <w:iCs/>
          <w:sz w:val="22"/>
          <w:szCs w:val="22"/>
        </w:rPr>
      </w:pPr>
      <w:r w:rsidRPr="004B425A">
        <w:rPr>
          <w:i/>
          <w:iCs/>
          <w:sz w:val="22"/>
          <w:szCs w:val="22"/>
        </w:rPr>
        <w:t>By Focal Point in ICT Accessibility Roxana Widmer-Iliescu</w:t>
      </w:r>
    </w:p>
    <w:p w14:paraId="4BFA386F" w14:textId="6D30872D" w:rsidR="00A32308" w:rsidRPr="00A32308" w:rsidRDefault="00605214" w:rsidP="0022333C">
      <w:pPr>
        <w:rPr>
          <w:b/>
          <w:bCs/>
        </w:rPr>
      </w:pPr>
      <w:r w:rsidRPr="004B425A">
        <w:rPr>
          <w:b/>
          <w:bCs/>
        </w:rPr>
        <w:br/>
      </w:r>
      <w:r w:rsidR="00A32308" w:rsidRPr="004B425A">
        <w:rPr>
          <w:b/>
          <w:bCs/>
        </w:rPr>
        <w:t>1.</w:t>
      </w:r>
      <w:r w:rsidR="00A32308" w:rsidRPr="00A32308">
        <w:rPr>
          <w:b/>
          <w:bCs/>
        </w:rPr>
        <w:t>Governance, Access to Information and Privacy</w:t>
      </w:r>
    </w:p>
    <w:p w14:paraId="6C3ACB8A" w14:textId="77777777" w:rsidR="00A32308" w:rsidRPr="004B425A" w:rsidRDefault="00A32308" w:rsidP="0022333C">
      <w:r w:rsidRPr="004B425A">
        <w:t>D</w:t>
      </w:r>
      <w:r w:rsidRPr="00A32308">
        <w:t>igital technologies are increasingly being utilized for governance coordination and in transforming care and support systems, including people-</w:t>
      </w:r>
      <w:r w:rsidRPr="004B425A">
        <w:t>centred</w:t>
      </w:r>
      <w:r w:rsidRPr="00A32308">
        <w:t xml:space="preserve"> social protection services for persons with disabilities. </w:t>
      </w:r>
      <w:r w:rsidRPr="004B425A">
        <w:br/>
        <w:t>ITU-D is working closely with ITU member through the ITU-D Study Group on Question 7/1 to ensure that:</w:t>
      </w:r>
    </w:p>
    <w:p w14:paraId="70B2E883" w14:textId="4E3327AF" w:rsidR="00A32308" w:rsidRPr="004B425A" w:rsidRDefault="00A32308" w:rsidP="0022333C">
      <w:r w:rsidRPr="004B425A">
        <w:t xml:space="preserve">The policies and strategies designed and implemented to support implementation of e-gov platforms and related services are considering ICT accessibility as a compulsory requirement. Also ensure that persons in vulnerable situation can equally and equitably access and use these services. Finally we also encourage ITU members to work with PwD as validators </w:t>
      </w:r>
      <w:r w:rsidR="00144AC0" w:rsidRPr="004B425A">
        <w:t xml:space="preserve">to test </w:t>
      </w:r>
      <w:r w:rsidRPr="004B425A">
        <w:t>the digitally accessibility features</w:t>
      </w:r>
      <w:r w:rsidR="009A25D4" w:rsidRPr="004B425A">
        <w:t>.</w:t>
      </w:r>
    </w:p>
    <w:p w14:paraId="6BBC6986" w14:textId="09CFE644" w:rsidR="00A32308" w:rsidRPr="004B425A" w:rsidRDefault="00A32308" w:rsidP="0022333C">
      <w:r w:rsidRPr="004B425A">
        <w:t xml:space="preserve">The digital services and applications in particular those provided by the public sector are equally and equitably empowering all people including those with </w:t>
      </w:r>
      <w:r w:rsidR="0022333C" w:rsidRPr="004B425A">
        <w:t>disabilities</w:t>
      </w:r>
      <w:r w:rsidRPr="004B425A">
        <w:t xml:space="preserve"> by ensuring that ICT accessibility principles, requirements and standards are considered from design.</w:t>
      </w:r>
    </w:p>
    <w:p w14:paraId="6FC51DCF" w14:textId="6C80C88C" w:rsidR="00CB0548" w:rsidRPr="00A32308" w:rsidRDefault="0022333C" w:rsidP="00CB0548">
      <w:r w:rsidRPr="004B425A">
        <w:t xml:space="preserve">ITU-D </w:t>
      </w:r>
      <w:r w:rsidR="007251AD" w:rsidRPr="004B425A">
        <w:t>advice the</w:t>
      </w:r>
      <w:r w:rsidRPr="004B425A">
        <w:t xml:space="preserve"> ITU membership on </w:t>
      </w:r>
      <w:r w:rsidRPr="00A32308">
        <w:t xml:space="preserve">the use of digital technologies </w:t>
      </w:r>
      <w:r w:rsidRPr="004B425A">
        <w:t>to</w:t>
      </w:r>
      <w:r w:rsidRPr="00A32308">
        <w:t xml:space="preserve"> enhance the efficiency and inclusiveness of governance and social protection systems, making them more responsive to the needs of persons with </w:t>
      </w:r>
      <w:r w:rsidRPr="004B425A">
        <w:t>disabilities</w:t>
      </w:r>
      <w:r w:rsidR="00CB0548" w:rsidRPr="004B425A">
        <w:t xml:space="preserve">. </w:t>
      </w:r>
      <w:r w:rsidR="00CB0548" w:rsidRPr="00A32308">
        <w:t>However, ongoing efforts are required to ensure that all digital tools and platforms are fully accessible to all users, regardless of their abilities.</w:t>
      </w:r>
    </w:p>
    <w:p w14:paraId="7685F2ED" w14:textId="78158448" w:rsidR="0022333C" w:rsidRPr="004B425A" w:rsidRDefault="0022333C" w:rsidP="0022333C"/>
    <w:p w14:paraId="28BDA790" w14:textId="77777777" w:rsidR="008402E3" w:rsidRPr="008402E3" w:rsidRDefault="008402E3" w:rsidP="008402E3">
      <w:pPr>
        <w:rPr>
          <w:b/>
          <w:bCs/>
        </w:rPr>
      </w:pPr>
      <w:r w:rsidRPr="008402E3">
        <w:rPr>
          <w:b/>
          <w:bCs/>
        </w:rPr>
        <w:t>1. How are digital technologies currently used for governance coordination, including in care and support system transformation efforts, and people-</w:t>
      </w:r>
      <w:proofErr w:type="spellStart"/>
      <w:r w:rsidRPr="008402E3">
        <w:rPr>
          <w:b/>
          <w:bCs/>
        </w:rPr>
        <w:t>centered</w:t>
      </w:r>
      <w:proofErr w:type="spellEnd"/>
      <w:r w:rsidRPr="008402E3">
        <w:rPr>
          <w:b/>
          <w:bCs/>
        </w:rPr>
        <w:t xml:space="preserve"> social protection services for persons with disabilities?</w:t>
      </w:r>
    </w:p>
    <w:p w14:paraId="0ED2097F" w14:textId="77777777" w:rsidR="008402E3" w:rsidRPr="008402E3" w:rsidRDefault="008402E3" w:rsidP="008402E3">
      <w:r w:rsidRPr="008402E3">
        <w:t>Digital technologies play a pivotal role in enhancing governance coordination, particularly in the care and support systems and social protection services for persons with disabilities. From the perspective of ITU's work in ICT accessibility:</w:t>
      </w:r>
    </w:p>
    <w:p w14:paraId="2AC2F9DF" w14:textId="7271E30D" w:rsidR="008402E3" w:rsidRPr="008402E3" w:rsidRDefault="008D3B28" w:rsidP="008D3B28">
      <w:pPr>
        <w:ind w:left="720"/>
      </w:pPr>
      <w:r w:rsidRPr="004B425A">
        <w:rPr>
          <w:b/>
          <w:bCs/>
        </w:rPr>
        <w:t xml:space="preserve">1.1. </w:t>
      </w:r>
      <w:r w:rsidR="008402E3" w:rsidRPr="008402E3">
        <w:rPr>
          <w:b/>
          <w:bCs/>
        </w:rPr>
        <w:t>Integrated Digital Platforms:</w:t>
      </w:r>
      <w:r w:rsidR="008402E3" w:rsidRPr="008402E3">
        <w:t xml:space="preserve"> Governments and agencies use integrated digital platforms to coordinate efforts across various sectors. These platforms allow for the centralization of data, improving the coordination of care and support services. For example, systems that integrate healthcare, social services, and disability support data enable a more holistic approach to service delivery, ensuring that persons with disabilities receive comprehensive care.</w:t>
      </w:r>
    </w:p>
    <w:p w14:paraId="14F8A459" w14:textId="23559982" w:rsidR="008402E3" w:rsidRPr="008402E3" w:rsidRDefault="008D3B28" w:rsidP="008D3B28">
      <w:pPr>
        <w:ind w:left="720"/>
      </w:pPr>
      <w:r w:rsidRPr="004B425A">
        <w:rPr>
          <w:b/>
          <w:bCs/>
        </w:rPr>
        <w:lastRenderedPageBreak/>
        <w:t xml:space="preserve">1.2 </w:t>
      </w:r>
      <w:r w:rsidR="008402E3" w:rsidRPr="008402E3">
        <w:rPr>
          <w:b/>
          <w:bCs/>
        </w:rPr>
        <w:t>Accessibility in E-Government Services:</w:t>
      </w:r>
      <w:r w:rsidR="008402E3" w:rsidRPr="008402E3">
        <w:t xml:space="preserve"> ITU has been actively promoting the development of e-government services that are accessible to persons with disabilities. These services allow for the efficient management of social protection programs, including the distribution of benefits, healthcare services, and support for independent living.</w:t>
      </w:r>
    </w:p>
    <w:p w14:paraId="21C5B6FC" w14:textId="25EED41D" w:rsidR="008402E3" w:rsidRPr="008402E3" w:rsidRDefault="008D3B28" w:rsidP="008D3B28">
      <w:pPr>
        <w:ind w:left="720"/>
      </w:pPr>
      <w:r w:rsidRPr="004B425A">
        <w:rPr>
          <w:b/>
          <w:bCs/>
        </w:rPr>
        <w:t>1.</w:t>
      </w:r>
      <w:r w:rsidR="001E1395" w:rsidRPr="004B425A">
        <w:rPr>
          <w:b/>
          <w:bCs/>
        </w:rPr>
        <w:t xml:space="preserve">3 </w:t>
      </w:r>
      <w:r w:rsidR="008402E3" w:rsidRPr="008402E3">
        <w:rPr>
          <w:b/>
          <w:bCs/>
        </w:rPr>
        <w:t>Telecommunication Accessibility:</w:t>
      </w:r>
      <w:r w:rsidR="008402E3" w:rsidRPr="008402E3">
        <w:t xml:space="preserve"> Through its initiatives, ITU has encouraged the use of accessible telecommunication tools that facilitate remote coordination and service provision. This includes accessible video conferencing tools and digital platforms that support sign language interpretation and other assistive technologies, which are essential for the participation of persons with disabilities in governance processes.</w:t>
      </w:r>
    </w:p>
    <w:p w14:paraId="3909B46B" w14:textId="77777777" w:rsidR="008402E3" w:rsidRPr="008402E3" w:rsidRDefault="008402E3" w:rsidP="008402E3">
      <w:pPr>
        <w:rPr>
          <w:b/>
          <w:bCs/>
        </w:rPr>
      </w:pPr>
      <w:r w:rsidRPr="008402E3">
        <w:rPr>
          <w:b/>
          <w:bCs/>
        </w:rPr>
        <w:t>2. What are the main challenges and successes in using digital technologies to facilitate access to information, social protection, and other essential services for persons with disabilities?</w:t>
      </w:r>
    </w:p>
    <w:p w14:paraId="445B42AA" w14:textId="5B3BE1E3" w:rsidR="008402E3" w:rsidRPr="008402E3" w:rsidRDefault="001E1395" w:rsidP="008402E3">
      <w:r w:rsidRPr="004B425A">
        <w:rPr>
          <w:b/>
          <w:bCs/>
        </w:rPr>
        <w:t>2.1</w:t>
      </w:r>
      <w:r w:rsidR="00E218A9" w:rsidRPr="004B425A">
        <w:rPr>
          <w:b/>
          <w:bCs/>
        </w:rPr>
        <w:t xml:space="preserve"> </w:t>
      </w:r>
      <w:r w:rsidR="008402E3" w:rsidRPr="008402E3">
        <w:rPr>
          <w:b/>
          <w:bCs/>
        </w:rPr>
        <w:t>Challenges:</w:t>
      </w:r>
    </w:p>
    <w:p w14:paraId="7C194CC5" w14:textId="6DB9997E" w:rsidR="008402E3" w:rsidRPr="008402E3" w:rsidRDefault="001E1395" w:rsidP="001E1395">
      <w:pPr>
        <w:ind w:left="720"/>
      </w:pPr>
      <w:r w:rsidRPr="004B425A">
        <w:rPr>
          <w:b/>
          <w:bCs/>
        </w:rPr>
        <w:t>2.1.1</w:t>
      </w:r>
      <w:r w:rsidR="008402E3" w:rsidRPr="008402E3">
        <w:rPr>
          <w:b/>
          <w:bCs/>
        </w:rPr>
        <w:t>Digital Divide:</w:t>
      </w:r>
      <w:r w:rsidR="008402E3" w:rsidRPr="008402E3">
        <w:t xml:space="preserve"> One of the main challenges is the digital divide, where persons with disabilities may lack access to the necessary digital devices or reliable internet connectivity. This divide is more pronounced in rural or low-income areas, making it difficult for these individuals to access essential services.</w:t>
      </w:r>
    </w:p>
    <w:p w14:paraId="71A319AC" w14:textId="65211D7E" w:rsidR="008402E3" w:rsidRPr="008402E3" w:rsidRDefault="001E1395" w:rsidP="001E1395">
      <w:pPr>
        <w:ind w:left="720"/>
      </w:pPr>
      <w:r w:rsidRPr="004B425A">
        <w:rPr>
          <w:b/>
          <w:bCs/>
        </w:rPr>
        <w:t>2.</w:t>
      </w:r>
      <w:r w:rsidR="00252F70" w:rsidRPr="004B425A">
        <w:rPr>
          <w:b/>
          <w:bCs/>
        </w:rPr>
        <w:t>1.</w:t>
      </w:r>
      <w:r w:rsidRPr="004B425A">
        <w:rPr>
          <w:b/>
          <w:bCs/>
        </w:rPr>
        <w:t>2</w:t>
      </w:r>
      <w:r w:rsidR="00E218A9" w:rsidRPr="004B425A">
        <w:rPr>
          <w:b/>
          <w:bCs/>
        </w:rPr>
        <w:t xml:space="preserve"> </w:t>
      </w:r>
      <w:r w:rsidR="008402E3" w:rsidRPr="008402E3">
        <w:rPr>
          <w:b/>
          <w:bCs/>
        </w:rPr>
        <w:t>Lack of Accessible Content:</w:t>
      </w:r>
      <w:r w:rsidR="008402E3" w:rsidRPr="008402E3">
        <w:t xml:space="preserve"> Another significant challenge is the lack of accessible digital content. Many websites, apps, and online platforms do not comply with accessibility standards, making it difficult for persons with disabilities, such as those with visual or hearing impairments, to access information and services independently.</w:t>
      </w:r>
    </w:p>
    <w:p w14:paraId="191CE248" w14:textId="427555EC" w:rsidR="008402E3" w:rsidRPr="008402E3" w:rsidRDefault="001E1395" w:rsidP="001E1395">
      <w:pPr>
        <w:ind w:left="720"/>
      </w:pPr>
      <w:r w:rsidRPr="004B425A">
        <w:rPr>
          <w:b/>
          <w:bCs/>
        </w:rPr>
        <w:t>2.</w:t>
      </w:r>
      <w:r w:rsidR="00252F70" w:rsidRPr="004B425A">
        <w:rPr>
          <w:b/>
          <w:bCs/>
        </w:rPr>
        <w:t>1.</w:t>
      </w:r>
      <w:r w:rsidRPr="004B425A">
        <w:rPr>
          <w:b/>
          <w:bCs/>
        </w:rPr>
        <w:t>3</w:t>
      </w:r>
      <w:r w:rsidR="00E218A9" w:rsidRPr="004B425A">
        <w:rPr>
          <w:b/>
          <w:bCs/>
        </w:rPr>
        <w:t xml:space="preserve"> </w:t>
      </w:r>
      <w:r w:rsidR="008402E3" w:rsidRPr="008402E3">
        <w:rPr>
          <w:b/>
          <w:bCs/>
        </w:rPr>
        <w:t>Complex User Interfaces:</w:t>
      </w:r>
      <w:r w:rsidR="008402E3" w:rsidRPr="008402E3">
        <w:t xml:space="preserve"> Even when digital services are available, they may not be designed with accessibility in mind, leading to complex user interfaces that are difficult for persons with disabilities to navigate.</w:t>
      </w:r>
    </w:p>
    <w:p w14:paraId="0421B54F" w14:textId="3246E738" w:rsidR="008402E3" w:rsidRPr="008402E3" w:rsidRDefault="00252F70" w:rsidP="008402E3">
      <w:r w:rsidRPr="004B425A">
        <w:rPr>
          <w:b/>
          <w:bCs/>
        </w:rPr>
        <w:t>2.2.</w:t>
      </w:r>
      <w:r w:rsidR="00E218A9" w:rsidRPr="004B425A">
        <w:rPr>
          <w:b/>
          <w:bCs/>
        </w:rPr>
        <w:t xml:space="preserve"> </w:t>
      </w:r>
      <w:r w:rsidR="008402E3" w:rsidRPr="008402E3">
        <w:rPr>
          <w:b/>
          <w:bCs/>
        </w:rPr>
        <w:t>Successes:</w:t>
      </w:r>
    </w:p>
    <w:p w14:paraId="1C354050" w14:textId="1E2E9960" w:rsidR="008402E3" w:rsidRPr="004B425A" w:rsidRDefault="00C076E9" w:rsidP="00C076E9">
      <w:pPr>
        <w:pStyle w:val="ListParagraph"/>
        <w:numPr>
          <w:ilvl w:val="2"/>
          <w:numId w:val="8"/>
        </w:numPr>
      </w:pPr>
      <w:r w:rsidRPr="004B425A">
        <w:rPr>
          <w:b/>
          <w:bCs/>
        </w:rPr>
        <w:t xml:space="preserve">Formulation and implementation </w:t>
      </w:r>
      <w:r w:rsidR="008402E3" w:rsidRPr="004B425A">
        <w:rPr>
          <w:b/>
          <w:bCs/>
        </w:rPr>
        <w:t xml:space="preserve">of </w:t>
      </w:r>
      <w:r w:rsidR="00252F70" w:rsidRPr="004B425A">
        <w:rPr>
          <w:b/>
          <w:bCs/>
        </w:rPr>
        <w:t>Policies</w:t>
      </w:r>
      <w:r w:rsidRPr="004B425A">
        <w:rPr>
          <w:b/>
          <w:bCs/>
        </w:rPr>
        <w:t xml:space="preserve"> and strategies to fulfil with ICT accessibility requirements, principles and s</w:t>
      </w:r>
      <w:r w:rsidR="008402E3" w:rsidRPr="004B425A">
        <w:rPr>
          <w:b/>
          <w:bCs/>
        </w:rPr>
        <w:t>tandards:</w:t>
      </w:r>
      <w:r w:rsidR="008402E3" w:rsidRPr="004B425A">
        <w:t xml:space="preserve"> ITU has been successful in </w:t>
      </w:r>
      <w:r w:rsidRPr="004B425A">
        <w:t xml:space="preserve">advising </w:t>
      </w:r>
      <w:r w:rsidR="002F7419" w:rsidRPr="004B425A">
        <w:t xml:space="preserve">and </w:t>
      </w:r>
      <w:r w:rsidR="008402E3" w:rsidRPr="004B425A">
        <w:t xml:space="preserve">promoting the </w:t>
      </w:r>
      <w:r w:rsidR="002F7419" w:rsidRPr="004B425A">
        <w:t xml:space="preserve">formulation and implementation of policies and strategies that fulfils with </w:t>
      </w:r>
      <w:r w:rsidR="008402E3" w:rsidRPr="004B425A">
        <w:t>international accessibility standards, which has led to the development of more inclusive digital platforms. These</w:t>
      </w:r>
      <w:r w:rsidR="002F7419" w:rsidRPr="004B425A">
        <w:t xml:space="preserve"> policies, strategies and</w:t>
      </w:r>
      <w:r w:rsidR="008402E3" w:rsidRPr="004B425A">
        <w:t xml:space="preserve"> standards ensure that </w:t>
      </w:r>
      <w:r w:rsidR="00E04BF3" w:rsidRPr="004B425A">
        <w:t xml:space="preserve">the digital services, </w:t>
      </w:r>
      <w:r w:rsidR="008402E3" w:rsidRPr="004B425A">
        <w:t xml:space="preserve">websites and </w:t>
      </w:r>
      <w:r w:rsidR="00E04BF3" w:rsidRPr="004B425A">
        <w:t xml:space="preserve">digital </w:t>
      </w:r>
      <w:r w:rsidR="008402E3" w:rsidRPr="004B425A">
        <w:t>applications are designed to be usable by all people</w:t>
      </w:r>
      <w:r w:rsidR="00E04BF3" w:rsidRPr="004B425A">
        <w:t xml:space="preserve"> including those with </w:t>
      </w:r>
      <w:r w:rsidR="008402E3" w:rsidRPr="004B425A">
        <w:t>disabilities.</w:t>
      </w:r>
    </w:p>
    <w:p w14:paraId="41F101C6" w14:textId="34A68F97" w:rsidR="008402E3" w:rsidRPr="004B425A" w:rsidRDefault="008402E3" w:rsidP="00AA11BD">
      <w:pPr>
        <w:pStyle w:val="ListParagraph"/>
        <w:numPr>
          <w:ilvl w:val="2"/>
          <w:numId w:val="8"/>
        </w:numPr>
      </w:pPr>
      <w:r w:rsidRPr="004B425A">
        <w:rPr>
          <w:b/>
          <w:bCs/>
        </w:rPr>
        <w:lastRenderedPageBreak/>
        <w:t>Assistive Technologies:</w:t>
      </w:r>
      <w:r w:rsidRPr="004B425A">
        <w:t xml:space="preserve"> The integration of assistive technologies, such as screen readers, voice recognition software, and sign language interpretation services, has significantly improved access to digital services for persons with disabilities. These technologies enable greater independence and inclusion in accessing essential services.</w:t>
      </w:r>
    </w:p>
    <w:p w14:paraId="55DDD20F" w14:textId="7A5192F4" w:rsidR="008402E3" w:rsidRPr="004B425A" w:rsidRDefault="008402E3" w:rsidP="00AA11BD">
      <w:pPr>
        <w:pStyle w:val="ListParagraph"/>
        <w:numPr>
          <w:ilvl w:val="2"/>
          <w:numId w:val="8"/>
        </w:numPr>
      </w:pPr>
      <w:r w:rsidRPr="004B425A">
        <w:rPr>
          <w:b/>
          <w:bCs/>
        </w:rPr>
        <w:t>Capacity Building and Awareness:</w:t>
      </w:r>
      <w:r w:rsidRPr="004B425A">
        <w:t xml:space="preserve"> ITU's capacity-building initiatives have raised awareness among governments and service providers about the importance of digital accessibility. This has led to more inclusive policies and the development of services that consider the needs of persons with disabilities.</w:t>
      </w:r>
    </w:p>
    <w:p w14:paraId="39D06E14" w14:textId="77777777" w:rsidR="008402E3" w:rsidRPr="008402E3" w:rsidRDefault="008402E3" w:rsidP="008402E3">
      <w:pPr>
        <w:rPr>
          <w:b/>
          <w:bCs/>
        </w:rPr>
      </w:pPr>
      <w:r w:rsidRPr="008402E3">
        <w:rPr>
          <w:b/>
          <w:bCs/>
        </w:rPr>
        <w:t>3. What measures should States implement to protect the right to privacy in the use of digital technologies?</w:t>
      </w:r>
    </w:p>
    <w:p w14:paraId="0C1BCCEF" w14:textId="55667C0E" w:rsidR="008402E3" w:rsidRPr="008402E3" w:rsidRDefault="008402E3" w:rsidP="008402E3">
      <w:r w:rsidRPr="008402E3">
        <w:t>From the ITU</w:t>
      </w:r>
      <w:r w:rsidR="00AA11BD" w:rsidRPr="004B425A">
        <w:t>-D</w:t>
      </w:r>
      <w:r w:rsidRPr="008402E3">
        <w:t xml:space="preserve">’s </w:t>
      </w:r>
      <w:r w:rsidR="00A51CB6" w:rsidRPr="004B425A">
        <w:t xml:space="preserve">work </w:t>
      </w:r>
      <w:r w:rsidRPr="008402E3">
        <w:t>perspective</w:t>
      </w:r>
      <w:r w:rsidR="00A51CB6" w:rsidRPr="004B425A">
        <w:t xml:space="preserve"> with Member States on the topic</w:t>
      </w:r>
      <w:r w:rsidRPr="008402E3">
        <w:t>, protecting the right to privacy, especially for persons with disabilities, requires a multi-faceted approach:</w:t>
      </w:r>
    </w:p>
    <w:p w14:paraId="2191B43C" w14:textId="77602548" w:rsidR="008402E3" w:rsidRPr="004B425A" w:rsidRDefault="008402E3" w:rsidP="00AA11BD">
      <w:pPr>
        <w:pStyle w:val="ListParagraph"/>
        <w:numPr>
          <w:ilvl w:val="1"/>
          <w:numId w:val="9"/>
        </w:numPr>
      </w:pPr>
      <w:r w:rsidRPr="004B425A">
        <w:rPr>
          <w:b/>
          <w:bCs/>
        </w:rPr>
        <w:t>Implementation of Data Protection Laws:</w:t>
      </w:r>
      <w:r w:rsidRPr="004B425A">
        <w:t xml:space="preserve"> States should enact and enforce robust data protection laws</w:t>
      </w:r>
      <w:r w:rsidR="003725CA" w:rsidRPr="004B425A">
        <w:t xml:space="preserve">, regulations </w:t>
      </w:r>
      <w:r w:rsidR="00C6101D" w:rsidRPr="004B425A">
        <w:t xml:space="preserve">and policy strategies </w:t>
      </w:r>
      <w:r w:rsidRPr="004B425A">
        <w:t>that ensure personal information, especially sensitive data related to disabilities, is collected, stored, and processed securely. These laws should comply with international standards and be enforced consistently.</w:t>
      </w:r>
    </w:p>
    <w:p w14:paraId="6DBC193E" w14:textId="5CC90151" w:rsidR="008402E3" w:rsidRPr="004B425A" w:rsidRDefault="008402E3" w:rsidP="00AA11BD">
      <w:pPr>
        <w:pStyle w:val="ListParagraph"/>
        <w:numPr>
          <w:ilvl w:val="1"/>
          <w:numId w:val="9"/>
        </w:numPr>
      </w:pPr>
      <w:r w:rsidRPr="004B425A">
        <w:rPr>
          <w:b/>
          <w:bCs/>
        </w:rPr>
        <w:t>Accessible Privacy Policies:</w:t>
      </w:r>
      <w:r w:rsidRPr="004B425A">
        <w:t xml:space="preserve"> Privacy policies and terms of service should be made </w:t>
      </w:r>
      <w:r w:rsidR="00C6101D" w:rsidRPr="004B425A">
        <w:t xml:space="preserve">digitally </w:t>
      </w:r>
      <w:r w:rsidRPr="004B425A">
        <w:t xml:space="preserve">accessible to all users, including those with disabilities. This includes providing information in formats that are easily understandable and available in multiple accessible formats </w:t>
      </w:r>
      <w:r w:rsidR="00DD62F3" w:rsidRPr="004B425A">
        <w:t xml:space="preserve">(digital or alternative) </w:t>
      </w:r>
      <w:r w:rsidRPr="004B425A">
        <w:t>such as Braille, large print, or through screen reader-friendly websites.</w:t>
      </w:r>
    </w:p>
    <w:p w14:paraId="6421493F" w14:textId="7246400B" w:rsidR="008402E3" w:rsidRPr="004B425A" w:rsidRDefault="008402E3" w:rsidP="00AA11BD">
      <w:pPr>
        <w:pStyle w:val="ListParagraph"/>
        <w:numPr>
          <w:ilvl w:val="1"/>
          <w:numId w:val="9"/>
        </w:numPr>
      </w:pPr>
      <w:r w:rsidRPr="004B425A">
        <w:rPr>
          <w:b/>
          <w:bCs/>
        </w:rPr>
        <w:t>Consent Mechanisms:</w:t>
      </w:r>
      <w:r w:rsidRPr="004B425A">
        <w:t xml:space="preserve"> States should ensure that consent mechanisms are accessible and straightforward, allowing persons with disabilities to understand and control how their data is used. This could involve using clear language, offering multiple methods to provide consent, and ensuring that consent can be withdrawn easily.</w:t>
      </w:r>
    </w:p>
    <w:p w14:paraId="6C03DB1D" w14:textId="6D47A5B7" w:rsidR="008402E3" w:rsidRPr="004B425A" w:rsidRDefault="008402E3" w:rsidP="00AA11BD">
      <w:pPr>
        <w:pStyle w:val="ListParagraph"/>
        <w:numPr>
          <w:ilvl w:val="1"/>
          <w:numId w:val="9"/>
        </w:numPr>
      </w:pPr>
      <w:r w:rsidRPr="004B425A">
        <w:rPr>
          <w:b/>
          <w:bCs/>
        </w:rPr>
        <w:t>Training and Awareness:</w:t>
      </w:r>
      <w:r w:rsidRPr="004B425A">
        <w:t xml:space="preserve"> It is also essential to train service providers and government agencies on the importance of privacy, particularly concerning persons with disabilities. This training should include how to handle sensitive information appropriately and how to implement accessible privacy practices.</w:t>
      </w:r>
    </w:p>
    <w:p w14:paraId="6AF9D095" w14:textId="3577D683" w:rsidR="008402E3" w:rsidRPr="004B425A" w:rsidRDefault="008402E3" w:rsidP="003725CA">
      <w:pPr>
        <w:pStyle w:val="ListParagraph"/>
        <w:numPr>
          <w:ilvl w:val="1"/>
          <w:numId w:val="9"/>
        </w:numPr>
      </w:pPr>
      <w:r w:rsidRPr="004B425A">
        <w:rPr>
          <w:b/>
          <w:bCs/>
        </w:rPr>
        <w:t>Secure Digital Environments:</w:t>
      </w:r>
      <w:r w:rsidRPr="004B425A">
        <w:t xml:space="preserve"> States should ensure that digital platforms and services used by persons with disabilities are secure against breaches and unauthorized access. This includes regular security audits, </w:t>
      </w:r>
      <w:r w:rsidRPr="004B425A">
        <w:lastRenderedPageBreak/>
        <w:t>implementing strong encryption practices, and using multi-factor authentication to protect user data.</w:t>
      </w:r>
    </w:p>
    <w:p w14:paraId="5C6833D5" w14:textId="77777777" w:rsidR="00352EB2" w:rsidRPr="00352EB2" w:rsidRDefault="00352EB2" w:rsidP="00352EB2">
      <w:pPr>
        <w:rPr>
          <w:b/>
          <w:bCs/>
        </w:rPr>
      </w:pPr>
      <w:r w:rsidRPr="00352EB2">
        <w:rPr>
          <w:b/>
          <w:bCs/>
        </w:rPr>
        <w:t>4. How are digital technologies integrated as assistive technologies in personalized support plans?</w:t>
      </w:r>
    </w:p>
    <w:p w14:paraId="24996924" w14:textId="77777777" w:rsidR="00352EB2" w:rsidRPr="00352EB2" w:rsidRDefault="00352EB2" w:rsidP="00352EB2">
      <w:r w:rsidRPr="00352EB2">
        <w:t>From the perspective of ITU-D's work in ICT accessibility, digital technologies are increasingly being integrated as assistive technologies to enhance personalized support plans for persons with disabilities. These technologies are essential in promoting independence, improving quality of life, and enabling greater participation in society. Here are some key integrations:</w:t>
      </w:r>
    </w:p>
    <w:p w14:paraId="2C636019" w14:textId="5841AE25" w:rsidR="00352EB2" w:rsidRDefault="00352EB2" w:rsidP="00336148">
      <w:pPr>
        <w:pStyle w:val="ListParagraph"/>
        <w:numPr>
          <w:ilvl w:val="1"/>
          <w:numId w:val="12"/>
        </w:numPr>
      </w:pPr>
      <w:r w:rsidRPr="00336148">
        <w:rPr>
          <w:b/>
          <w:bCs/>
        </w:rPr>
        <w:t>Remote Sign Language Interpretation:</w:t>
      </w:r>
      <w:r w:rsidRPr="00352EB2">
        <w:t xml:space="preserve"> ITU-D has supported the development and deployment of remote sign language interpretation services. These services allow persons with hearing impairments to communicate effectively in various settings, including healthcare, education, and customer service, through video relay services or apps that connect users with sign language interpreters.</w:t>
      </w:r>
    </w:p>
    <w:p w14:paraId="7B6A66A3" w14:textId="28646916" w:rsidR="00352EB2" w:rsidRPr="00352EB2" w:rsidRDefault="00352EB2" w:rsidP="00500C55">
      <w:pPr>
        <w:pStyle w:val="ListParagraph"/>
        <w:numPr>
          <w:ilvl w:val="1"/>
          <w:numId w:val="12"/>
        </w:numPr>
      </w:pPr>
      <w:r w:rsidRPr="00500C55">
        <w:rPr>
          <w:b/>
          <w:bCs/>
        </w:rPr>
        <w:t>Image Reading Apps:</w:t>
      </w:r>
      <w:r w:rsidRPr="00352EB2">
        <w:t xml:space="preserve"> Digital technologies such as optical character recognition (OCR) are integrated into image reading apps, allowing persons with visual impairments to read printed text. ITU-D's efforts include promoting the use of these apps in educational and professional environments, ensuring that individuals can access printed materials independently.</w:t>
      </w:r>
    </w:p>
    <w:p w14:paraId="3BF066F6" w14:textId="320B1F73" w:rsidR="00352EB2" w:rsidRPr="00352EB2" w:rsidRDefault="00352EB2" w:rsidP="00500C55">
      <w:pPr>
        <w:pStyle w:val="ListParagraph"/>
        <w:numPr>
          <w:ilvl w:val="1"/>
          <w:numId w:val="12"/>
        </w:numPr>
      </w:pPr>
      <w:r w:rsidRPr="00500C55">
        <w:rPr>
          <w:b/>
          <w:bCs/>
        </w:rPr>
        <w:t>Voice-Controlled Assistants and Screen Readers:</w:t>
      </w:r>
      <w:r w:rsidRPr="00352EB2">
        <w:t xml:space="preserve"> ITU-D advocates for the use of voice-controlled assistants like Siri, Alexa, and Google Assistant, which allow users with mobility or visual impairments to interact with their devices using voice commands. Screen readers, such as JAWS and NVDA, are also promoted as essential tools for enabling blind or visually impaired individuals to navigate digital content by converting text into speech.</w:t>
      </w:r>
    </w:p>
    <w:p w14:paraId="10AACD01" w14:textId="7B656A05" w:rsidR="00352EB2" w:rsidRPr="00352EB2" w:rsidRDefault="00352EB2" w:rsidP="00500C55">
      <w:pPr>
        <w:pStyle w:val="ListParagraph"/>
        <w:numPr>
          <w:ilvl w:val="1"/>
          <w:numId w:val="12"/>
        </w:numPr>
      </w:pPr>
      <w:r w:rsidRPr="00500C55">
        <w:rPr>
          <w:b/>
          <w:bCs/>
        </w:rPr>
        <w:t>Text-to-Speech and Speech-to-Text Applications:</w:t>
      </w:r>
      <w:r w:rsidRPr="00352EB2">
        <w:t xml:space="preserve"> These applications are crucial for persons with communication disorders. ITU-D supports the adoption of text-to-speech (TTS) software, which reads digital text aloud, and speech-to-text (STT) software, which converts spoken language into written text, making digital communication more accessible for persons with disabilities.</w:t>
      </w:r>
    </w:p>
    <w:p w14:paraId="0387467B" w14:textId="179AE1A2" w:rsidR="00352EB2" w:rsidRPr="00352EB2" w:rsidRDefault="00352EB2" w:rsidP="00500C55">
      <w:pPr>
        <w:pStyle w:val="ListParagraph"/>
        <w:numPr>
          <w:ilvl w:val="1"/>
          <w:numId w:val="12"/>
        </w:numPr>
      </w:pPr>
      <w:r w:rsidRPr="00500C55">
        <w:rPr>
          <w:b/>
          <w:bCs/>
        </w:rPr>
        <w:t>Eye-Tracking Technology and Adaptive Keyboards/Mice:</w:t>
      </w:r>
      <w:r w:rsidRPr="00352EB2">
        <w:t xml:space="preserve"> For individuals with severe physical disabilities, eye-tracking technology and adaptive input devices, such as specialized keyboards and mice, are integrated into personalized support plans. ITU-D encourages the development and </w:t>
      </w:r>
      <w:r w:rsidRPr="00352EB2">
        <w:lastRenderedPageBreak/>
        <w:t>accessibility of these technologies to empower users to control their computers and communicate more effectively.</w:t>
      </w:r>
    </w:p>
    <w:p w14:paraId="77A7891D" w14:textId="40046917" w:rsidR="00352EB2" w:rsidRPr="00352EB2" w:rsidRDefault="00352EB2" w:rsidP="00500C55">
      <w:pPr>
        <w:pStyle w:val="ListParagraph"/>
        <w:numPr>
          <w:ilvl w:val="1"/>
          <w:numId w:val="12"/>
        </w:numPr>
      </w:pPr>
      <w:r w:rsidRPr="00500C55">
        <w:rPr>
          <w:b/>
          <w:bCs/>
        </w:rPr>
        <w:t>Augmentative and Alternative Communication (AAC) Devices:</w:t>
      </w:r>
      <w:r w:rsidRPr="00352EB2">
        <w:t xml:space="preserve"> ITU-D promotes the use of AAC devices, which support communication for individuals with speech impairments. These devices range from simple communication boards to sophisticated electronic devices that generate speech.</w:t>
      </w:r>
    </w:p>
    <w:p w14:paraId="714412B8" w14:textId="602E7A44" w:rsidR="00352EB2" w:rsidRPr="00352EB2" w:rsidRDefault="00352EB2" w:rsidP="00500C55">
      <w:pPr>
        <w:pStyle w:val="ListParagraph"/>
        <w:numPr>
          <w:ilvl w:val="1"/>
          <w:numId w:val="12"/>
        </w:numPr>
      </w:pPr>
      <w:r w:rsidRPr="00500C55">
        <w:rPr>
          <w:b/>
          <w:bCs/>
        </w:rPr>
        <w:t>Navigation Aids and Wearable Technology:</w:t>
      </w:r>
      <w:r w:rsidRPr="00352EB2">
        <w:t xml:space="preserve"> ITU-D is involved in the promotion of digital navigation aids and wearable technology, such as smart glasses and GPS-based tools, which assist persons with visual impairments in navigating their environments safely and independently.</w:t>
      </w:r>
    </w:p>
    <w:p w14:paraId="5B8F2057" w14:textId="77777777" w:rsidR="00352EB2" w:rsidRPr="00352EB2" w:rsidRDefault="00352EB2" w:rsidP="00352EB2">
      <w:pPr>
        <w:rPr>
          <w:b/>
          <w:bCs/>
        </w:rPr>
      </w:pPr>
      <w:r w:rsidRPr="00352EB2">
        <w:rPr>
          <w:b/>
          <w:bCs/>
        </w:rPr>
        <w:t>5. What barriers exist in accessing these digital assistive technologies and how can they be addressed?</w:t>
      </w:r>
    </w:p>
    <w:p w14:paraId="1CD8A16B" w14:textId="77777777" w:rsidR="00352EB2" w:rsidRPr="00352EB2" w:rsidRDefault="00352EB2" w:rsidP="00352EB2">
      <w:r w:rsidRPr="00352EB2">
        <w:t>Despite the advancements in digital assistive technologies, several barriers hinder their accessibility. ITU-D's work in ICT accessibility identifies these challenges and suggests ways to address them:</w:t>
      </w:r>
    </w:p>
    <w:p w14:paraId="3DB54A5B" w14:textId="12CFE46E" w:rsidR="00352EB2" w:rsidRPr="00352EB2" w:rsidRDefault="00352EB2" w:rsidP="00500C55">
      <w:pPr>
        <w:pStyle w:val="ListParagraph"/>
        <w:numPr>
          <w:ilvl w:val="1"/>
          <w:numId w:val="13"/>
        </w:numPr>
      </w:pPr>
      <w:r w:rsidRPr="00500C55">
        <w:rPr>
          <w:b/>
          <w:bCs/>
        </w:rPr>
        <w:t>Cost and Affordability:</w:t>
      </w:r>
      <w:r w:rsidRPr="00352EB2">
        <w:t xml:space="preserve"> One of the primary barriers is the high cost of assistive technologies, which can make them inaccessible to many persons with disabilities, especially in low-income regions. ITU-D advocates for policies that subsidize the cost of these technologies and encourages partnerships with private sector companies to develop affordable solutions.</w:t>
      </w:r>
    </w:p>
    <w:p w14:paraId="6EF25FA5" w14:textId="1F54BD83" w:rsidR="00352EB2" w:rsidRPr="00352EB2" w:rsidRDefault="00352EB2" w:rsidP="00500C55">
      <w:pPr>
        <w:pStyle w:val="ListParagraph"/>
        <w:numPr>
          <w:ilvl w:val="1"/>
          <w:numId w:val="13"/>
        </w:numPr>
      </w:pPr>
      <w:r w:rsidRPr="00500C55">
        <w:rPr>
          <w:b/>
          <w:bCs/>
        </w:rPr>
        <w:t>Lack of Awareness and Training:</w:t>
      </w:r>
      <w:r w:rsidRPr="00352EB2">
        <w:t xml:space="preserve"> Another significant barrier is the lack of awareness among persons with disabilities and service providers about the available technologies and how to use them effectively. ITU-D emphasizes the need for awareness campaigns and training programs to educate users and professionals on the benefits and functionalities of these technologies.</w:t>
      </w:r>
    </w:p>
    <w:p w14:paraId="634C2DEE" w14:textId="76507287" w:rsidR="00352EB2" w:rsidRPr="00352EB2" w:rsidRDefault="00352EB2" w:rsidP="00500C55">
      <w:pPr>
        <w:pStyle w:val="ListParagraph"/>
        <w:numPr>
          <w:ilvl w:val="1"/>
          <w:numId w:val="13"/>
        </w:numPr>
      </w:pPr>
      <w:r w:rsidRPr="00500C55">
        <w:rPr>
          <w:b/>
          <w:bCs/>
        </w:rPr>
        <w:t>Digital Literacy:</w:t>
      </w:r>
      <w:r w:rsidRPr="00352EB2">
        <w:t xml:space="preserve"> The complexity of some assistive technologies can be a barrier for users with limited digital literacy. ITU-D promotes digital literacy initiatives tailored to persons with disabilities, ensuring they have the skills to use these technologies independently.</w:t>
      </w:r>
    </w:p>
    <w:p w14:paraId="7C8B005D" w14:textId="1EE44830" w:rsidR="00352EB2" w:rsidRPr="00352EB2" w:rsidRDefault="00352EB2" w:rsidP="00500C55">
      <w:pPr>
        <w:pStyle w:val="ListParagraph"/>
        <w:numPr>
          <w:ilvl w:val="1"/>
          <w:numId w:val="13"/>
        </w:numPr>
      </w:pPr>
      <w:r w:rsidRPr="00500C55">
        <w:rPr>
          <w:b/>
          <w:bCs/>
        </w:rPr>
        <w:t>Limited Availability and Distribution:</w:t>
      </w:r>
      <w:r w:rsidRPr="00352EB2">
        <w:t xml:space="preserve"> In many regions, especially in developing countries, assistive technologies are not readily available or distributed. ITU-D supports efforts to improve the distribution channels and availability of these technologies through partnerships with local governments and organizations.</w:t>
      </w:r>
    </w:p>
    <w:p w14:paraId="17BFB6DB" w14:textId="77777777" w:rsidR="00EA7A12" w:rsidRDefault="00352EB2" w:rsidP="000D1E18">
      <w:pPr>
        <w:pStyle w:val="ListParagraph"/>
        <w:numPr>
          <w:ilvl w:val="1"/>
          <w:numId w:val="13"/>
        </w:numPr>
      </w:pPr>
      <w:r w:rsidRPr="00EA7A12">
        <w:rPr>
          <w:b/>
          <w:bCs/>
        </w:rPr>
        <w:t>Interoperability Issues:</w:t>
      </w:r>
      <w:r w:rsidRPr="00352EB2">
        <w:t xml:space="preserve"> Assistive technologies often face challenges in compatibility with mainstream digital platforms and devices. ITU-D works </w:t>
      </w:r>
      <w:r w:rsidRPr="00352EB2">
        <w:lastRenderedPageBreak/>
        <w:t>towards establishing and promoting standards that ensure interoperability, making it easier for assistive technologies to integrate seamlessly with other digital tools.</w:t>
      </w:r>
    </w:p>
    <w:p w14:paraId="5A6ABC4F" w14:textId="30A7283F" w:rsidR="00352EB2" w:rsidRPr="00352EB2" w:rsidRDefault="00352EB2" w:rsidP="000D1E18">
      <w:pPr>
        <w:pStyle w:val="ListParagraph"/>
        <w:numPr>
          <w:ilvl w:val="1"/>
          <w:numId w:val="13"/>
        </w:numPr>
      </w:pPr>
      <w:r w:rsidRPr="00EA7A12">
        <w:rPr>
          <w:b/>
          <w:bCs/>
        </w:rPr>
        <w:t>Cultural and Language Barriers:</w:t>
      </w:r>
      <w:r w:rsidRPr="00352EB2">
        <w:t xml:space="preserve"> Some assistive technologies may not be culturally appropriate or available in local languages, limiting their use. ITU-D advocates for the localization of assistive technologies to ensure they are culturally sensitive and available in multiple languages.</w:t>
      </w:r>
    </w:p>
    <w:p w14:paraId="10566AF1" w14:textId="77777777" w:rsidR="008402E3" w:rsidRDefault="008402E3" w:rsidP="0022333C"/>
    <w:p w14:paraId="737787DB" w14:textId="3768C838" w:rsidR="008402E3" w:rsidRDefault="00AE71DD" w:rsidP="0022333C">
      <w:pPr>
        <w:rPr>
          <w:b/>
          <w:bCs/>
        </w:rPr>
      </w:pPr>
      <w:r w:rsidRPr="00737D75">
        <w:rPr>
          <w:b/>
          <w:bCs/>
        </w:rPr>
        <w:t>Access</w:t>
      </w:r>
      <w:r w:rsidRPr="00AE71DD">
        <w:rPr>
          <w:b/>
          <w:bCs/>
        </w:rPr>
        <w:t xml:space="preserve"> </w:t>
      </w:r>
      <w:r w:rsidR="00D85EE1">
        <w:rPr>
          <w:b/>
          <w:bCs/>
        </w:rPr>
        <w:t xml:space="preserve"> </w:t>
      </w:r>
      <w:r w:rsidRPr="00AE71DD">
        <w:rPr>
          <w:b/>
          <w:bCs/>
        </w:rPr>
        <w:t>and Affordability of Assistive Technologies</w:t>
      </w:r>
    </w:p>
    <w:p w14:paraId="104F1CA6" w14:textId="32B13867" w:rsidR="00D378AB" w:rsidRPr="00D378AB" w:rsidRDefault="00D378AB" w:rsidP="00D378AB">
      <w:pPr>
        <w:rPr>
          <w:b/>
          <w:bCs/>
          <w:i/>
          <w:iCs/>
        </w:rPr>
      </w:pPr>
      <w:r w:rsidRPr="00D378AB">
        <w:rPr>
          <w:b/>
          <w:bCs/>
          <w:i/>
          <w:iCs/>
        </w:rPr>
        <w:t>6. What is the current state of access to assistive technologies, particularly in rural areas and among marginalized groups?</w:t>
      </w:r>
    </w:p>
    <w:p w14:paraId="460AB36B" w14:textId="479FF0D5" w:rsidR="00D378AB" w:rsidRPr="00D378AB" w:rsidRDefault="00D378AB" w:rsidP="00D378AB">
      <w:r w:rsidRPr="00D378AB">
        <w:t xml:space="preserve">The current state of </w:t>
      </w:r>
      <w:r w:rsidR="003E0F61">
        <w:t xml:space="preserve">people </w:t>
      </w:r>
      <w:r w:rsidR="00737D75" w:rsidRPr="00D378AB">
        <w:t>accesses</w:t>
      </w:r>
      <w:r w:rsidRPr="00D378AB">
        <w:t xml:space="preserve"> to assistive technologies</w:t>
      </w:r>
      <w:r w:rsidR="003E0F61">
        <w:t xml:space="preserve"> and respective </w:t>
      </w:r>
      <w:r w:rsidR="00737D75">
        <w:t>availability of these</w:t>
      </w:r>
      <w:r w:rsidR="0077131D">
        <w:t>,</w:t>
      </w:r>
      <w:r w:rsidRPr="00D378AB">
        <w:t xml:space="preserve"> especially in rural areas and among marginalized groups, remains challenging. The ITU-D's work in ICT accessibility highlights several key issues:</w:t>
      </w:r>
    </w:p>
    <w:p w14:paraId="2391E2AB" w14:textId="77426CB4" w:rsidR="00D378AB" w:rsidRPr="00D378AB" w:rsidRDefault="00D378AB" w:rsidP="006D6162">
      <w:pPr>
        <w:pStyle w:val="ListParagraph"/>
        <w:numPr>
          <w:ilvl w:val="1"/>
          <w:numId w:val="18"/>
        </w:numPr>
      </w:pPr>
      <w:r w:rsidRPr="006D6162">
        <w:rPr>
          <w:b/>
          <w:bCs/>
        </w:rPr>
        <w:t>Limited Availability in Rural Areas</w:t>
      </w:r>
      <w:r w:rsidRPr="00D378AB">
        <w:t xml:space="preserve">: Access to assistive technologies is significantly lower in rural areas compared to urban </w:t>
      </w:r>
      <w:proofErr w:type="spellStart"/>
      <w:r w:rsidRPr="00D378AB">
        <w:t>centers</w:t>
      </w:r>
      <w:proofErr w:type="spellEnd"/>
      <w:r w:rsidRPr="00D378AB">
        <w:t>. The lack of infrastructure, such as reliable internet connectivity and distribution channels, hinders the availability of these technologies. Moreover, rural areas often have fewer healthcare and social service providers, limiting the support and training available for using assistive devices.</w:t>
      </w:r>
    </w:p>
    <w:p w14:paraId="2EB188F2" w14:textId="5CC1673A" w:rsidR="00D378AB" w:rsidRPr="00D378AB" w:rsidRDefault="00D378AB" w:rsidP="006D6162">
      <w:pPr>
        <w:pStyle w:val="ListParagraph"/>
        <w:numPr>
          <w:ilvl w:val="1"/>
          <w:numId w:val="18"/>
        </w:numPr>
      </w:pPr>
      <w:r w:rsidRPr="00D378AB">
        <w:t>Marginalized Groups Facing Additional Barriers: Marginalized groups, including those in low-income brackets, indigenous populations, and women, face compounded barriers to accessing assistive technologies. These groups are often less likely to be aware of available technologies and may have less access to resources that can help them acquire such tools. Cultural factors, language barriers, and discrimination can also prevent marginalized groups from benefiting from assistive technologies.</w:t>
      </w:r>
    </w:p>
    <w:p w14:paraId="6BDF890C" w14:textId="6562ACC8" w:rsidR="00D378AB" w:rsidRPr="00D378AB" w:rsidRDefault="00D378AB" w:rsidP="006D6162">
      <w:pPr>
        <w:pStyle w:val="ListParagraph"/>
        <w:numPr>
          <w:ilvl w:val="1"/>
          <w:numId w:val="18"/>
        </w:numPr>
      </w:pPr>
      <w:r w:rsidRPr="00D378AB">
        <w:t>High Costs and Economic Barriers: The high cost of assistive technologies is a major barrier, particularly for individuals in rural and marginalized communities. Without subsidies or financial assistance, many people cannot afford the devices they need. Additionally, the lack of economies of scale in rural areas often leads to higher prices for assistive devices, further limiting access.</w:t>
      </w:r>
    </w:p>
    <w:p w14:paraId="79998917" w14:textId="77777777" w:rsidR="00D378AB" w:rsidRPr="00D378AB" w:rsidRDefault="00D378AB" w:rsidP="00D378AB">
      <w:pPr>
        <w:rPr>
          <w:b/>
          <w:bCs/>
        </w:rPr>
      </w:pPr>
      <w:r w:rsidRPr="00D378AB">
        <w:rPr>
          <w:b/>
          <w:bCs/>
        </w:rPr>
        <w:t>7. What measures should be taken to improve the affordability and availability of these assistive technologies?</w:t>
      </w:r>
    </w:p>
    <w:p w14:paraId="122D41C0" w14:textId="669AA0A6" w:rsidR="00D378AB" w:rsidRPr="00D378AB" w:rsidRDefault="00D378AB" w:rsidP="00D378AB">
      <w:r w:rsidRPr="00D378AB">
        <w:t>To improve the affordability and availability of assistive technologies, several measures can be taken:</w:t>
      </w:r>
    </w:p>
    <w:p w14:paraId="6D40291B" w14:textId="402CEF27" w:rsidR="00D378AB" w:rsidRPr="00D378AB" w:rsidRDefault="00D378AB" w:rsidP="0077131D">
      <w:pPr>
        <w:pStyle w:val="ListParagraph"/>
        <w:numPr>
          <w:ilvl w:val="1"/>
          <w:numId w:val="19"/>
        </w:numPr>
      </w:pPr>
      <w:r w:rsidRPr="00D378AB">
        <w:lastRenderedPageBreak/>
        <w:t>Subsidies and Cash Transfers: Governments and international organizations should consider providing subsidies or direct cash transfers to individuals who need assistive technologies. This financial support can help offset the high cost of these devices, making them more accessible to low-income populations, especially in rural and marginalized communities.</w:t>
      </w:r>
    </w:p>
    <w:p w14:paraId="5175E027" w14:textId="53FE420B" w:rsidR="00D378AB" w:rsidRPr="00D378AB" w:rsidRDefault="00D378AB" w:rsidP="0077131D">
      <w:pPr>
        <w:pStyle w:val="ListParagraph"/>
        <w:numPr>
          <w:ilvl w:val="1"/>
          <w:numId w:val="19"/>
        </w:numPr>
      </w:pPr>
      <w:r w:rsidRPr="00D378AB">
        <w:t>Market Shaping to Reduce Costs: Market shaping strategies, such as bulk purchasing and negotiating lower prices with manufacturers, can help reduce the costs associated with assistive technologies. Governments can collaborate with private sector companies to create economies of scale, lowering the overall cost of production and distribution.</w:t>
      </w:r>
    </w:p>
    <w:p w14:paraId="32250F03" w14:textId="4DB8B58D" w:rsidR="00D378AB" w:rsidRPr="00D378AB" w:rsidRDefault="00D378AB" w:rsidP="0077131D">
      <w:pPr>
        <w:pStyle w:val="ListParagraph"/>
        <w:numPr>
          <w:ilvl w:val="1"/>
          <w:numId w:val="19"/>
        </w:numPr>
      </w:pPr>
      <w:r w:rsidRPr="00D378AB">
        <w:t xml:space="preserve">Improving Distribution Channels: Enhancing logistics and distribution networks is critical for making assistive technologies available in rural areas. This can involve partnerships with local organizations, NGOs, and community health workers who can distribute devices and provide training on their use. Establishing local production </w:t>
      </w:r>
      <w:proofErr w:type="spellStart"/>
      <w:r w:rsidRPr="00D378AB">
        <w:t>centers</w:t>
      </w:r>
      <w:proofErr w:type="spellEnd"/>
      <w:r w:rsidRPr="00D378AB">
        <w:t xml:space="preserve"> for assistive technologies could also reduce costs and increase availability.</w:t>
      </w:r>
    </w:p>
    <w:p w14:paraId="52BDAD92" w14:textId="585FAD58" w:rsidR="00D378AB" w:rsidRPr="00D378AB" w:rsidRDefault="00D378AB" w:rsidP="0077131D">
      <w:pPr>
        <w:pStyle w:val="ListParagraph"/>
        <w:numPr>
          <w:ilvl w:val="1"/>
          <w:numId w:val="19"/>
        </w:numPr>
      </w:pPr>
      <w:r w:rsidRPr="00D378AB">
        <w:t>Public-Private Partnerships: Public-private partnerships can play a key role in increasing the availability of assistive technologies. By collaborating, governments, private companies, and NGOs can develop affordable products that are tailored to the needs of specific populations, including those in rural areas.</w:t>
      </w:r>
    </w:p>
    <w:p w14:paraId="51B89ED1" w14:textId="67580CD5" w:rsidR="00D378AB" w:rsidRPr="00D378AB" w:rsidRDefault="00D378AB" w:rsidP="0077131D">
      <w:pPr>
        <w:pStyle w:val="ListParagraph"/>
        <w:numPr>
          <w:ilvl w:val="1"/>
          <w:numId w:val="19"/>
        </w:numPr>
      </w:pPr>
      <w:r w:rsidRPr="00D378AB">
        <w:t>Incentivizing Innovation: Governments and international organizations can incentivize innovation by providing grants, tax breaks, or other financial incentives to companies developing low-cost, accessible assistive technologies. Encouraging innovation in this sector can lead to the development of more affordable and effective devices.</w:t>
      </w:r>
    </w:p>
    <w:p w14:paraId="32B19D88" w14:textId="7BE4EEA5" w:rsidR="00D378AB" w:rsidRPr="00D378AB" w:rsidRDefault="00D378AB" w:rsidP="0077131D">
      <w:pPr>
        <w:pStyle w:val="ListParagraph"/>
        <w:numPr>
          <w:ilvl w:val="1"/>
          <w:numId w:val="19"/>
        </w:numPr>
      </w:pPr>
      <w:r w:rsidRPr="00D378AB">
        <w:t xml:space="preserve">Awareness and Training Programs: Increasing awareness about assistive technologies and providing training on their use </w:t>
      </w:r>
      <w:r w:rsidR="00504418">
        <w:t>to persons with</w:t>
      </w:r>
      <w:r w:rsidR="006B579F">
        <w:t xml:space="preserve"> disabilities for which accessible technology is not sufficient and need assistive </w:t>
      </w:r>
      <w:r w:rsidR="00524AC7">
        <w:t>technology</w:t>
      </w:r>
      <w:r w:rsidR="006B579F">
        <w:t xml:space="preserve"> to ac</w:t>
      </w:r>
      <w:r w:rsidR="00524AC7">
        <w:t>cess and navigate in the digital space is</w:t>
      </w:r>
      <w:r w:rsidRPr="00D378AB">
        <w:t xml:space="preserve"> essential. Governments and NGOs should implement programs to educate </w:t>
      </w:r>
      <w:r w:rsidR="00524AC7">
        <w:t>these specific</w:t>
      </w:r>
      <w:r w:rsidRPr="00D378AB">
        <w:t xml:space="preserve"> groups about the availability and benefits of assistive technologies, as well as how to obtain and use them effectively.</w:t>
      </w:r>
    </w:p>
    <w:p w14:paraId="7412B3EA" w14:textId="77777777" w:rsidR="00660938" w:rsidRPr="00660938" w:rsidRDefault="00660938" w:rsidP="00660938">
      <w:pPr>
        <w:rPr>
          <w:b/>
          <w:bCs/>
        </w:rPr>
      </w:pPr>
      <w:r w:rsidRPr="00660938">
        <w:rPr>
          <w:b/>
          <w:bCs/>
        </w:rPr>
        <w:t>8. How should assistive technologies be integrated with health and social services?</w:t>
      </w:r>
    </w:p>
    <w:p w14:paraId="0C8D0EC6" w14:textId="0CE283E5" w:rsidR="00660938" w:rsidRPr="00660938" w:rsidRDefault="00660938" w:rsidP="00660938">
      <w:r w:rsidRPr="00660938">
        <w:t xml:space="preserve">From the perspective of ITU-D's work on ICT accessibility, the integration of assistive technologies </w:t>
      </w:r>
      <w:r w:rsidR="005C4C41">
        <w:t xml:space="preserve">in addition to the accessible </w:t>
      </w:r>
      <w:r w:rsidR="00B37D09">
        <w:t xml:space="preserve">technology , in the framework of vital services such as </w:t>
      </w:r>
      <w:r w:rsidR="00A8198E">
        <w:t>those related to emergency situation,</w:t>
      </w:r>
      <w:r w:rsidRPr="00660938">
        <w:t xml:space="preserve"> health and social services is crucial for ensuring comprehensive support for </w:t>
      </w:r>
      <w:r w:rsidR="00A8198E">
        <w:t xml:space="preserve">all </w:t>
      </w:r>
      <w:r w:rsidRPr="00660938">
        <w:t>persons with disabilities. The following strategies can facilitate effective integration:</w:t>
      </w:r>
    </w:p>
    <w:p w14:paraId="1A7C71A9" w14:textId="3547840F" w:rsidR="00660938" w:rsidRPr="00660938" w:rsidRDefault="00660938" w:rsidP="00A8198E">
      <w:pPr>
        <w:pStyle w:val="ListParagraph"/>
        <w:numPr>
          <w:ilvl w:val="1"/>
          <w:numId w:val="21"/>
        </w:numPr>
      </w:pPr>
      <w:r w:rsidRPr="00660938">
        <w:lastRenderedPageBreak/>
        <w:t>Policy and Strategy Development:</w:t>
      </w:r>
    </w:p>
    <w:p w14:paraId="33212EEC" w14:textId="23DB53D6" w:rsidR="00660938" w:rsidRPr="00660938" w:rsidRDefault="00660938" w:rsidP="00A8198E">
      <w:pPr>
        <w:pStyle w:val="ListParagraph"/>
        <w:numPr>
          <w:ilvl w:val="2"/>
          <w:numId w:val="22"/>
        </w:numPr>
      </w:pPr>
      <w:r w:rsidRPr="00660938">
        <w:t>Inclusive Policies: Governments should develop inclusive policies that mandate the integration of assistive technologies into health and social service frameworks. This can include guidelines for the procurement and deployment of assistive technologies in healthcare facilities, as well as in social service programs.</w:t>
      </w:r>
    </w:p>
    <w:p w14:paraId="1B11D500" w14:textId="2787F4FE" w:rsidR="00660938" w:rsidRPr="00660938" w:rsidRDefault="00660938" w:rsidP="00A8198E">
      <w:pPr>
        <w:pStyle w:val="ListParagraph"/>
        <w:numPr>
          <w:ilvl w:val="2"/>
          <w:numId w:val="22"/>
        </w:numPr>
      </w:pPr>
      <w:r w:rsidRPr="00660938">
        <w:t>Cross-Sector Collaboration: There should be coordinated efforts between different sectors, including health, social services, and technology providers, to ensure that assistive technologies are integrated into all aspects of service delivery. ITU-D encourages the creation of multi-stakeholder platforms that bring together policymakers, healthcare providers, and technology developers to streamline integration efforts.</w:t>
      </w:r>
    </w:p>
    <w:p w14:paraId="0D7AAB92" w14:textId="5F722CFD" w:rsidR="00D378AB" w:rsidRPr="00FF5F3E" w:rsidRDefault="00660938" w:rsidP="00E73657">
      <w:pPr>
        <w:pStyle w:val="ListParagraph"/>
        <w:numPr>
          <w:ilvl w:val="1"/>
          <w:numId w:val="23"/>
        </w:numPr>
        <w:rPr>
          <w:b/>
          <w:bCs/>
        </w:rPr>
      </w:pPr>
      <w:r w:rsidRPr="00660938">
        <w:t>Digital Health Platforms:</w:t>
      </w:r>
      <w:r w:rsidR="00174CBA">
        <w:t xml:space="preserve"> </w:t>
      </w:r>
      <w:r w:rsidRPr="00660938">
        <w:t>Integration into E-Health Systems:</w:t>
      </w:r>
      <w:r w:rsidR="00174CBA">
        <w:t xml:space="preserve"> Digitally accessible technologies (SMART technologies) and a</w:t>
      </w:r>
      <w:r w:rsidRPr="00660938">
        <w:t xml:space="preserve">ssistive technologies </w:t>
      </w:r>
      <w:r w:rsidR="00174CBA">
        <w:t xml:space="preserve">(AT) </w:t>
      </w:r>
      <w:r w:rsidRPr="00660938">
        <w:t xml:space="preserve">should be integrated into existing e-health systems, allowing healthcare providers to prescribe and monitor the use of these technologies as part of routine care. </w:t>
      </w:r>
    </w:p>
    <w:p w14:paraId="6F47A604" w14:textId="77777777" w:rsidR="00FF5F3E" w:rsidRPr="00FF5F3E" w:rsidRDefault="00FF5F3E" w:rsidP="00FF5F3E">
      <w:pPr>
        <w:rPr>
          <w:b/>
          <w:bCs/>
        </w:rPr>
      </w:pPr>
      <w:r w:rsidRPr="00FF5F3E">
        <w:rPr>
          <w:b/>
          <w:bCs/>
        </w:rPr>
        <w:t>10. What policies and legislation support the use and development of assistive technologies, and what improvements would you recommend?</w:t>
      </w:r>
    </w:p>
    <w:p w14:paraId="2AB8D8DC" w14:textId="77777777" w:rsidR="00FF5F3E" w:rsidRPr="00FF5F3E" w:rsidRDefault="00FF5F3E" w:rsidP="00FF5F3E">
      <w:r w:rsidRPr="00FF5F3E">
        <w:t>From the perspective of ITU-D’s work in ICT accessibility, several policies and legislative frameworks support the use and development of assistive technologies globally:</w:t>
      </w:r>
    </w:p>
    <w:p w14:paraId="10643349" w14:textId="6260C456" w:rsidR="00FF5F3E" w:rsidRPr="00FF5F3E" w:rsidRDefault="00FF5F3E" w:rsidP="00C11FAF">
      <w:pPr>
        <w:pStyle w:val="ListParagraph"/>
        <w:numPr>
          <w:ilvl w:val="1"/>
          <w:numId w:val="26"/>
        </w:numPr>
      </w:pPr>
      <w:r w:rsidRPr="00FF5F3E">
        <w:t>International Frameworks:</w:t>
      </w:r>
    </w:p>
    <w:p w14:paraId="6F10364F" w14:textId="70ADE54C" w:rsidR="00FF5F3E" w:rsidRPr="00FF5F3E" w:rsidRDefault="00FF5F3E" w:rsidP="00C11FAF">
      <w:pPr>
        <w:pStyle w:val="ListParagraph"/>
        <w:numPr>
          <w:ilvl w:val="2"/>
          <w:numId w:val="26"/>
        </w:numPr>
      </w:pPr>
      <w:r w:rsidRPr="00FF5F3E">
        <w:t>United Nations Convention on the Rights of Persons with Disabilities (CRPD): The CRPD is a critical international treaty that mandates the promotion and adoption of assistive technologies to ensure the inclusion and participation of persons with disabilities in all areas of life. Article 9 specifically addresses accessibility, emphasizing the importance of ICTs and assistive technologies.</w:t>
      </w:r>
    </w:p>
    <w:p w14:paraId="5C0056C7" w14:textId="730F0F08" w:rsidR="00FF5F3E" w:rsidRDefault="00FF5F3E" w:rsidP="00C11FAF">
      <w:pPr>
        <w:pStyle w:val="ListParagraph"/>
        <w:numPr>
          <w:ilvl w:val="2"/>
          <w:numId w:val="26"/>
        </w:numPr>
      </w:pPr>
      <w:r w:rsidRPr="00FF5F3E">
        <w:t>Sustainable Development Goals (SDGs): The SDGs, particularly Goal 9 (Industry, Innovation, and Infrastructure) and Goal 10 (Reduced Inequalities), highlight the importance of promoting inclusive and sustainable industrialization and reducing inequality, which includes access to assistive technologies.</w:t>
      </w:r>
    </w:p>
    <w:p w14:paraId="7A18F5F3" w14:textId="77777777" w:rsidR="002533FC" w:rsidRDefault="002533FC" w:rsidP="002533FC">
      <w:pPr>
        <w:pStyle w:val="ListParagraph"/>
        <w:numPr>
          <w:ilvl w:val="2"/>
          <w:numId w:val="26"/>
        </w:numPr>
      </w:pPr>
      <w:r w:rsidRPr="002533FC">
        <w:t xml:space="preserve">10.1.3 World Summit on the Information Society (WSIS) </w:t>
      </w:r>
      <w:r>
        <w:t xml:space="preserve">process: </w:t>
      </w:r>
      <w:r w:rsidRPr="002533FC">
        <w:t xml:space="preserve">The WSIS Action Lines serve as an essential framework to advance the development of assistive technologies for people with disabilities, emphasizing the role of ICTs in achieving </w:t>
      </w:r>
      <w:r>
        <w:t xml:space="preserve">digital inclusion, through several </w:t>
      </w:r>
      <w:hyperlink r:id="rId7" w:history="1">
        <w:r w:rsidRPr="002533FC">
          <w:rPr>
            <w:rStyle w:val="Hyperlink"/>
          </w:rPr>
          <w:t>WSIS Action Lines</w:t>
        </w:r>
      </w:hyperlink>
      <w:r>
        <w:t xml:space="preserve">. </w:t>
      </w:r>
      <w:r w:rsidRPr="002533FC">
        <w:t xml:space="preserve">The annual WSIS </w:t>
      </w:r>
      <w:r w:rsidRPr="002533FC">
        <w:lastRenderedPageBreak/>
        <w:t xml:space="preserve">Forum further reinforces this by featuring a special track dedicated to ICTs and Accessibility. This track provides a platform for stakeholders to share best practices, discuss policy developments, and promote collaborative efforts to enhance ICT accessibility. It plays a pivotal role in fostering international cooperation and highlighting innovative solutions that can drive the development and implementation of assistive technologies, ensuring that the benefits of the </w:t>
      </w:r>
      <w:r>
        <w:t>digital technologies</w:t>
      </w:r>
      <w:r w:rsidRPr="002533FC">
        <w:t xml:space="preserve"> extend to all, including persons with disabilities.</w:t>
      </w:r>
    </w:p>
    <w:p w14:paraId="3F5B75C6" w14:textId="77777777" w:rsidR="002533FC" w:rsidRPr="00FF5F3E" w:rsidRDefault="002533FC" w:rsidP="002533FC">
      <w:pPr>
        <w:pStyle w:val="ListParagraph"/>
        <w:ind w:left="2160"/>
      </w:pPr>
    </w:p>
    <w:p w14:paraId="140E07A8" w14:textId="4A383D7D" w:rsidR="00FF5F3E" w:rsidRPr="00FF5F3E" w:rsidRDefault="00FF5F3E" w:rsidP="00C11FAF">
      <w:pPr>
        <w:pStyle w:val="ListParagraph"/>
        <w:numPr>
          <w:ilvl w:val="1"/>
          <w:numId w:val="26"/>
        </w:numPr>
      </w:pPr>
      <w:r w:rsidRPr="00FF5F3E">
        <w:t>National Policies:</w:t>
      </w:r>
    </w:p>
    <w:p w14:paraId="79487911" w14:textId="35C52391" w:rsidR="00FF5F3E" w:rsidRPr="00FF5F3E" w:rsidRDefault="00FF5F3E" w:rsidP="007C5A3E">
      <w:pPr>
        <w:pStyle w:val="ListParagraph"/>
        <w:numPr>
          <w:ilvl w:val="2"/>
          <w:numId w:val="26"/>
        </w:numPr>
      </w:pPr>
      <w:r w:rsidRPr="00FF5F3E">
        <w:t>National Disability Legislation: Many countries have enacted disability-specific laws that mandate the provision of assistive technologies. For example, the Americans with Disabilities Act (ADA) in the United States and the Equality Act in the United Kingdom both include provisions that support access to assistive technologies.</w:t>
      </w:r>
    </w:p>
    <w:p w14:paraId="6C59747D" w14:textId="2843B827" w:rsidR="00FF5F3E" w:rsidRPr="00FF5F3E" w:rsidRDefault="00FF5F3E" w:rsidP="007C5A3E">
      <w:pPr>
        <w:pStyle w:val="ListParagraph"/>
        <w:numPr>
          <w:ilvl w:val="2"/>
          <w:numId w:val="26"/>
        </w:numPr>
      </w:pPr>
      <w:r w:rsidRPr="00FF5F3E">
        <w:t>Digital Inclusion Strategies: Countries like Australia and Canada have developed comprehensive digital inclusion strategies that integrate the provision of assistive technologies into broader efforts to promote digital accessibility and inclusion.</w:t>
      </w:r>
    </w:p>
    <w:p w14:paraId="3ED6CE3B" w14:textId="386EBB27" w:rsidR="00FF5F3E" w:rsidRPr="006B5792" w:rsidRDefault="00FF5F3E" w:rsidP="006B5792">
      <w:pPr>
        <w:pStyle w:val="ListParagraph"/>
        <w:numPr>
          <w:ilvl w:val="1"/>
          <w:numId w:val="26"/>
        </w:numPr>
      </w:pPr>
      <w:r w:rsidRPr="006B5792">
        <w:t>Recommendations for Improvement:</w:t>
      </w:r>
    </w:p>
    <w:p w14:paraId="51B279C9" w14:textId="5CA35556" w:rsidR="00FF5F3E" w:rsidRPr="00FF5F3E" w:rsidRDefault="00FF5F3E" w:rsidP="006B5792">
      <w:pPr>
        <w:pStyle w:val="ListParagraph"/>
        <w:numPr>
          <w:ilvl w:val="2"/>
          <w:numId w:val="26"/>
        </w:numPr>
      </w:pPr>
      <w:r w:rsidRPr="00FF5F3E">
        <w:t>Harmonization of Standards: There is a need for the harmonization of international standards to ensure that assistive technologies are universally compatible and effective. ITU-D recommends working towards global standards that facilitate the development and deployment of assistive technologies across different regions.</w:t>
      </w:r>
    </w:p>
    <w:p w14:paraId="46F6F161" w14:textId="059B9020" w:rsidR="00FF5F3E" w:rsidRPr="00FF5F3E" w:rsidRDefault="00FF5F3E" w:rsidP="006B5792">
      <w:pPr>
        <w:pStyle w:val="ListParagraph"/>
        <w:numPr>
          <w:ilvl w:val="2"/>
          <w:numId w:val="26"/>
        </w:numPr>
      </w:pPr>
      <w:r w:rsidRPr="00FF5F3E">
        <w:t>Enhanced Funding Mechanisms: Governments should consider increasing funding for research and development in assistive technologies. This could include grants, tax incentives, or public-private partnerships that encourage innovation while making these technologies more affordable and accessible.</w:t>
      </w:r>
    </w:p>
    <w:p w14:paraId="0A96FC85" w14:textId="582D7D8B" w:rsidR="00FF5F3E" w:rsidRPr="00FF5F3E" w:rsidRDefault="00FF5F3E" w:rsidP="00FD75B7">
      <w:pPr>
        <w:pStyle w:val="ListParagraph"/>
        <w:numPr>
          <w:ilvl w:val="2"/>
          <w:numId w:val="26"/>
        </w:numPr>
      </w:pPr>
      <w:proofErr w:type="spellStart"/>
      <w:r w:rsidRPr="00FF5F3E">
        <w:t>nclusive</w:t>
      </w:r>
      <w:proofErr w:type="spellEnd"/>
      <w:r w:rsidRPr="00FF5F3E">
        <w:t xml:space="preserve"> Procurement Policies: Governments and international organizations should adopt inclusive procurement policies that prioritize the purchase of accessible technologies. This would not only stimulate the market for assistive technologies but also ensure that public services are accessible to all.</w:t>
      </w:r>
    </w:p>
    <w:p w14:paraId="5D622B78" w14:textId="77777777" w:rsidR="00FF5F3E" w:rsidRPr="00FF5F3E" w:rsidRDefault="00FF5F3E" w:rsidP="00FF5F3E">
      <w:pPr>
        <w:rPr>
          <w:b/>
          <w:bCs/>
        </w:rPr>
      </w:pPr>
      <w:r w:rsidRPr="00FF5F3E">
        <w:rPr>
          <w:b/>
          <w:bCs/>
        </w:rPr>
        <w:t>11. What training and awareness programs exist for users and service providers, and what gaps need to be addressed to enhance the effectiveness of these programs?</w:t>
      </w:r>
    </w:p>
    <w:p w14:paraId="1A2A7A6E" w14:textId="77777777" w:rsidR="00FF5F3E" w:rsidRPr="00FF5F3E" w:rsidRDefault="00FF5F3E" w:rsidP="00FF5F3E">
      <w:r w:rsidRPr="00FF5F3E">
        <w:lastRenderedPageBreak/>
        <w:t>In the context of ITU-D’s work on ICT accessibility, various training and awareness programs have been established to support the use of assistive technologies by both users and service providers:</w:t>
      </w:r>
    </w:p>
    <w:p w14:paraId="6AA78DA6" w14:textId="77777777" w:rsidR="00FF5F3E" w:rsidRPr="00FF5F3E" w:rsidRDefault="00FF5F3E" w:rsidP="00FF5F3E">
      <w:pPr>
        <w:numPr>
          <w:ilvl w:val="0"/>
          <w:numId w:val="25"/>
        </w:numPr>
      </w:pPr>
      <w:r w:rsidRPr="00FF5F3E">
        <w:t>Existing Training and Awareness Programs:</w:t>
      </w:r>
    </w:p>
    <w:p w14:paraId="38F20248" w14:textId="77777777" w:rsidR="00FF5F3E" w:rsidRPr="00FF5F3E" w:rsidRDefault="00FF5F3E" w:rsidP="00FF5F3E">
      <w:pPr>
        <w:numPr>
          <w:ilvl w:val="1"/>
          <w:numId w:val="25"/>
        </w:numPr>
      </w:pPr>
      <w:r w:rsidRPr="00FF5F3E">
        <w:t>ITU Academy Courses: ITU provides a range of online courses through the ITU Academy, which includes modules on digital accessibility, including the use of assistive technologies. These courses are aimed at both policy-makers and practitioners to enhance their understanding of accessibility requirements and solutions.</w:t>
      </w:r>
    </w:p>
    <w:p w14:paraId="374E49FE" w14:textId="77777777" w:rsidR="00FF5F3E" w:rsidRPr="00FF5F3E" w:rsidRDefault="00FF5F3E" w:rsidP="00FF5F3E">
      <w:pPr>
        <w:numPr>
          <w:ilvl w:val="1"/>
          <w:numId w:val="25"/>
        </w:numPr>
      </w:pPr>
      <w:r w:rsidRPr="00FF5F3E">
        <w:t>Capacity Building Workshops: ITU-D regularly conducts capacity-building workshops in collaboration with member states and other international organizations. These workshops focus on educating service providers and users about the availability and use of assistive technologies, and they often include hands-on training sessions.</w:t>
      </w:r>
    </w:p>
    <w:p w14:paraId="517953D6" w14:textId="77777777" w:rsidR="00FF5F3E" w:rsidRPr="00FF5F3E" w:rsidRDefault="00FF5F3E" w:rsidP="00FF5F3E">
      <w:pPr>
        <w:numPr>
          <w:ilvl w:val="1"/>
          <w:numId w:val="25"/>
        </w:numPr>
      </w:pPr>
      <w:r w:rsidRPr="00FF5F3E">
        <w:t>National and Regional Programs: Various countries have implemented national training programs aimed at both users and service providers. For example, Australia’s National Disability Insurance Scheme (NDIS) includes training for individuals on how to use assistive technologies, as well as programs for healthcare providers.</w:t>
      </w:r>
    </w:p>
    <w:p w14:paraId="36922C48" w14:textId="77777777" w:rsidR="00FF5F3E" w:rsidRPr="00FF5F3E" w:rsidRDefault="00FF5F3E" w:rsidP="00FF5F3E">
      <w:pPr>
        <w:numPr>
          <w:ilvl w:val="0"/>
          <w:numId w:val="25"/>
        </w:numPr>
      </w:pPr>
      <w:r w:rsidRPr="00FF5F3E">
        <w:t>Gaps and Recommendations for Improvement:</w:t>
      </w:r>
    </w:p>
    <w:p w14:paraId="20B9A372" w14:textId="77777777" w:rsidR="00FF5F3E" w:rsidRPr="00FF5F3E" w:rsidRDefault="00FF5F3E" w:rsidP="00FF5F3E">
      <w:pPr>
        <w:numPr>
          <w:ilvl w:val="1"/>
          <w:numId w:val="25"/>
        </w:numPr>
      </w:pPr>
      <w:r w:rsidRPr="00FF5F3E">
        <w:t>Lack of Localized Training: One significant gap is the lack of localized training materials that are tailored to specific cultural and linguistic contexts. ITU-D recommends developing more localized content that considers the diverse needs of different regions and communities.</w:t>
      </w:r>
    </w:p>
    <w:p w14:paraId="0CC0055D" w14:textId="77777777" w:rsidR="00FF5F3E" w:rsidRPr="00FF5F3E" w:rsidRDefault="00FF5F3E" w:rsidP="00FF5F3E">
      <w:pPr>
        <w:numPr>
          <w:ilvl w:val="1"/>
          <w:numId w:val="25"/>
        </w:numPr>
      </w:pPr>
      <w:r w:rsidRPr="00FF5F3E">
        <w:t>Insufficient Awareness Among Service Providers: Many healthcare and social service providers still lack awareness of the available assistive technologies and how to integrate them into their services. More targeted training programs for service providers are needed, particularly in rural and underserved areas.</w:t>
      </w:r>
    </w:p>
    <w:p w14:paraId="3D9A760F" w14:textId="77777777" w:rsidR="00FF5F3E" w:rsidRPr="00FF5F3E" w:rsidRDefault="00FF5F3E" w:rsidP="00FF5F3E">
      <w:pPr>
        <w:numPr>
          <w:ilvl w:val="1"/>
          <w:numId w:val="25"/>
        </w:numPr>
      </w:pPr>
      <w:r w:rsidRPr="00FF5F3E">
        <w:t>Inadequate User Training: While there are programs in place, many users do not receive adequate training on how to use assistive technologies effectively. ITU-D suggests that training programs should include follow-up sessions and ongoing support to ensure users can fully utilize these technologies.</w:t>
      </w:r>
    </w:p>
    <w:p w14:paraId="69AFFCE8" w14:textId="77777777" w:rsidR="00FF5F3E" w:rsidRPr="00FF5F3E" w:rsidRDefault="00FF5F3E" w:rsidP="00FF5F3E">
      <w:pPr>
        <w:numPr>
          <w:ilvl w:val="1"/>
          <w:numId w:val="25"/>
        </w:numPr>
      </w:pPr>
      <w:r w:rsidRPr="00FF5F3E">
        <w:t xml:space="preserve">Limited Access to Training in Developing Countries: In many developing countries, access to training and awareness programs is limited. ITU-D </w:t>
      </w:r>
      <w:r w:rsidRPr="00FF5F3E">
        <w:lastRenderedPageBreak/>
        <w:t>advocates for increased international cooperation to provide resources and training in these regions, ensuring that all users and service providers can benefit from these programs.</w:t>
      </w:r>
    </w:p>
    <w:p w14:paraId="5ABE1C5A" w14:textId="1A6B1BCB" w:rsidR="008616DC" w:rsidRPr="008616DC" w:rsidRDefault="00304486" w:rsidP="008616DC">
      <w:pPr>
        <w:rPr>
          <w:b/>
          <w:bCs/>
        </w:rPr>
      </w:pPr>
      <w:r>
        <w:rPr>
          <w:b/>
          <w:bCs/>
        </w:rPr>
        <w:t>12</w:t>
      </w:r>
      <w:r w:rsidRPr="008616DC">
        <w:t>.</w:t>
      </w:r>
      <w:r w:rsidR="008616DC" w:rsidRPr="008616DC">
        <w:t xml:space="preserve"> </w:t>
      </w:r>
      <w:r w:rsidR="008616DC" w:rsidRPr="0008013A">
        <w:rPr>
          <w:b/>
          <w:bCs/>
        </w:rPr>
        <w:t>General information:</w:t>
      </w:r>
      <w:r w:rsidR="008616DC" w:rsidRPr="008616DC">
        <w:rPr>
          <w:b/>
          <w:bCs/>
        </w:rPr>
        <w:t xml:space="preserve"> Please provide any other relevant information and good examples on the use of digital technologies and assistive technologies as a means to reduce time invested in unpaid care work, including quantification of the impact of these technologies under time use surveys or similar.</w:t>
      </w:r>
    </w:p>
    <w:p w14:paraId="7BFCD8CA" w14:textId="20AB793A" w:rsidR="00304486" w:rsidRDefault="00304486" w:rsidP="00304486">
      <w:r w:rsidRPr="00304486">
        <w:t>Digital</w:t>
      </w:r>
      <w:r w:rsidR="00643B5A">
        <w:t xml:space="preserve"> accessible</w:t>
      </w:r>
      <w:r w:rsidRPr="00304486">
        <w:t xml:space="preserve"> </w:t>
      </w:r>
      <w:r w:rsidR="00643B5A">
        <w:t>technologies as well as</w:t>
      </w:r>
      <w:r w:rsidRPr="00304486">
        <w:t xml:space="preserve"> assistive technologies offer promising avenues to reduce the time invested in unpaid care work. The integration of these technologies not only frees up time for other activities but also contributes to greater productivity and well-being. Quantifying these impacts through time use surveys and economic valuations provides valuable insights into the effectiveness of these interventions.</w:t>
      </w:r>
    </w:p>
    <w:p w14:paraId="407F2D2B" w14:textId="0D31BA04" w:rsidR="0008013A" w:rsidRPr="0008013A" w:rsidRDefault="0008013A" w:rsidP="00141CBB">
      <w:r w:rsidRPr="0008013A">
        <w:t>1</w:t>
      </w:r>
      <w:r w:rsidRPr="00141CBB">
        <w:t>2</w:t>
      </w:r>
      <w:r w:rsidRPr="0008013A">
        <w:t>.</w:t>
      </w:r>
      <w:r w:rsidRPr="00141CBB">
        <w:t>1</w:t>
      </w:r>
      <w:r w:rsidRPr="0008013A">
        <w:t xml:space="preserve"> Digital Technologies</w:t>
      </w:r>
    </w:p>
    <w:p w14:paraId="69F4AEF3" w14:textId="1D1CFED1" w:rsidR="0008013A" w:rsidRPr="0008013A" w:rsidRDefault="0008013A" w:rsidP="00141CBB">
      <w:r w:rsidRPr="0008013A">
        <w:t>Smart Home Devices</w:t>
      </w:r>
      <w:r w:rsidR="002F76A8" w:rsidRPr="002F76A8">
        <w:t xml:space="preserve"> </w:t>
      </w:r>
      <w:r w:rsidR="002F76A8">
        <w:t xml:space="preserve">and </w:t>
      </w:r>
      <w:r w:rsidR="002F76A8" w:rsidRPr="0008013A">
        <w:t>Online Platforms for Caregiving</w:t>
      </w:r>
      <w:r w:rsidRPr="0008013A">
        <w:t xml:space="preserve">: Technologies such as smart home assistants (e.g., Amazon Alexa, Google Home) and automated appliances can significantly reduce the time spent on household tasks. </w:t>
      </w:r>
    </w:p>
    <w:p w14:paraId="6AE8826E" w14:textId="05B13ED0" w:rsidR="0008013A" w:rsidRPr="0008013A" w:rsidRDefault="00433F69" w:rsidP="00141CBB">
      <w:r>
        <w:t xml:space="preserve">There are </w:t>
      </w:r>
      <w:r w:rsidR="00F60383">
        <w:t xml:space="preserve">online </w:t>
      </w:r>
      <w:r w:rsidR="0008013A" w:rsidRPr="0008013A">
        <w:t xml:space="preserve">Platforms </w:t>
      </w:r>
      <w:r w:rsidR="00E45D79">
        <w:t>(</w:t>
      </w:r>
      <w:r w:rsidR="00F60383">
        <w:t xml:space="preserve">featured including </w:t>
      </w:r>
      <w:r w:rsidR="00E45D79">
        <w:t xml:space="preserve">within </w:t>
      </w:r>
      <w:r w:rsidR="00F60383">
        <w:t xml:space="preserve">ITU/WSIS) that </w:t>
      </w:r>
      <w:r w:rsidR="0008013A" w:rsidRPr="0008013A">
        <w:t>connect individuals with professional caregivers and taskers, reducing the time families need to invest in finding help. These platforms streamline the process of hiring and managing care, allowing for more efficient allocation of time and resources.</w:t>
      </w:r>
    </w:p>
    <w:p w14:paraId="74E0B436" w14:textId="787731D8" w:rsidR="0008013A" w:rsidRPr="0008013A" w:rsidRDefault="0008013A" w:rsidP="00141CBB">
      <w:r w:rsidRPr="00141CBB">
        <w:t>1</w:t>
      </w:r>
      <w:r w:rsidRPr="0008013A">
        <w:t>2.</w:t>
      </w:r>
      <w:r w:rsidR="00141CBB" w:rsidRPr="00141CBB">
        <w:t>2</w:t>
      </w:r>
      <w:r w:rsidRPr="0008013A">
        <w:t xml:space="preserve"> Assistive Technologies</w:t>
      </w:r>
    </w:p>
    <w:p w14:paraId="6B6E7E5D" w14:textId="77777777" w:rsidR="0008013A" w:rsidRPr="0008013A" w:rsidRDefault="0008013A" w:rsidP="00141CBB">
      <w:r w:rsidRPr="0008013A">
        <w:t>Mobility Aids: Devices such as motorized wheelchairs and mobility scooters allow individuals with disabilities to move independently, reducing the time caregivers spend on physical assistance. A study by the World Health Organization (WHO) indicated that the use of mobility aids can reduce the need for caregiver assistance by up to 30%.</w:t>
      </w:r>
    </w:p>
    <w:p w14:paraId="08F2B4A4" w14:textId="572629EC" w:rsidR="0008013A" w:rsidRPr="0008013A" w:rsidRDefault="0008013A" w:rsidP="00141CBB">
      <w:r w:rsidRPr="0008013A">
        <w:t xml:space="preserve">Telehealth Services: Telehealth enables remote medical consultations, reducing the need for travel and time spent on attending appointments. The use of telehealth services has been shown to reduce the time burden on caregivers by providing quicker access to healthcare professionals. </w:t>
      </w:r>
    </w:p>
    <w:p w14:paraId="6208BEFC" w14:textId="50CEB9CF" w:rsidR="0008013A" w:rsidRPr="0008013A" w:rsidRDefault="00141CBB" w:rsidP="00141CBB">
      <w:r w:rsidRPr="00141CBB">
        <w:t>12.</w:t>
      </w:r>
      <w:r w:rsidR="0008013A" w:rsidRPr="0008013A">
        <w:t>3</w:t>
      </w:r>
      <w:r w:rsidRPr="00141CBB">
        <w:t xml:space="preserve"> </w:t>
      </w:r>
      <w:r w:rsidR="0008013A" w:rsidRPr="0008013A">
        <w:t>Quantification of Impact</w:t>
      </w:r>
    </w:p>
    <w:p w14:paraId="0493A75C" w14:textId="07345840" w:rsidR="0008013A" w:rsidRPr="0008013A" w:rsidRDefault="0008013A" w:rsidP="00141CBB">
      <w:r w:rsidRPr="0008013A">
        <w:t xml:space="preserve">Time Use Surveys: The European Commission's "Gender Equality Strategy 2020-2025" highlights that the use of digital tools and assistive technologies can lead to a measurable reduction in unpaid care work. </w:t>
      </w:r>
    </w:p>
    <w:p w14:paraId="2F8837C9" w14:textId="220ABAB3" w:rsidR="0008013A" w:rsidRPr="0008013A" w:rsidRDefault="0008013A" w:rsidP="00141CBB">
      <w:r w:rsidRPr="0008013A">
        <w:lastRenderedPageBreak/>
        <w:t xml:space="preserve">Economic Valuation: The International Labour Organization (ILO) has conducted studies estimating that unpaid care work, if valued monetarily, would constitute </w:t>
      </w:r>
      <w:r w:rsidR="007F2362">
        <w:t>an important po</w:t>
      </w:r>
      <w:r w:rsidR="00643B5A">
        <w:t xml:space="preserve">rtion of </w:t>
      </w:r>
      <w:r w:rsidRPr="0008013A">
        <w:t xml:space="preserve">global GDP. </w:t>
      </w:r>
      <w:r w:rsidR="00401C8D">
        <w:t xml:space="preserve">See more </w:t>
      </w:r>
      <w:hyperlink r:id="rId8" w:history="1">
        <w:r w:rsidR="00401C8D" w:rsidRPr="005E1753">
          <w:rPr>
            <w:rStyle w:val="Hyperlink"/>
          </w:rPr>
          <w:t>https://ilostat.ilo.org/topics/unpaid-work/measuring-unpaid-domestic-and-care-work/</w:t>
        </w:r>
      </w:hyperlink>
      <w:r w:rsidR="00401C8D">
        <w:t>.</w:t>
      </w:r>
      <w:r w:rsidRPr="0008013A">
        <w:t>The introduction of digital and assistive technologies can potentially reduce this economic burden by optimizing time use.</w:t>
      </w:r>
    </w:p>
    <w:p w14:paraId="3BB5E8B7" w14:textId="77777777" w:rsidR="0008013A" w:rsidRDefault="0008013A" w:rsidP="00304486"/>
    <w:p w14:paraId="2462C549" w14:textId="37BF9462" w:rsidR="00643B5A" w:rsidRPr="000136A6" w:rsidRDefault="00643B5A" w:rsidP="00304486">
      <w:pPr>
        <w:rPr>
          <w:b/>
          <w:bCs/>
        </w:rPr>
      </w:pPr>
      <w:r w:rsidRPr="000136A6">
        <w:rPr>
          <w:b/>
          <w:bCs/>
        </w:rPr>
        <w:t xml:space="preserve">For more information see </w:t>
      </w:r>
      <w:r w:rsidR="007F01E0" w:rsidRPr="000136A6">
        <w:rPr>
          <w:b/>
          <w:bCs/>
        </w:rPr>
        <w:t xml:space="preserve">ITU-BDT website and resources: </w:t>
      </w:r>
      <w:hyperlink r:id="rId9" w:history="1">
        <w:r w:rsidR="007F01E0" w:rsidRPr="000136A6">
          <w:rPr>
            <w:rStyle w:val="Hyperlink"/>
            <w:b/>
            <w:bCs/>
          </w:rPr>
          <w:t>ICT Digital Accessibility - ITU Resolutions, Global commitment and Resources</w:t>
        </w:r>
      </w:hyperlink>
    </w:p>
    <w:sectPr w:rsidR="00643B5A" w:rsidRPr="000136A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2B8360" w14:textId="77777777" w:rsidR="00F636EE" w:rsidRDefault="00F636EE" w:rsidP="004070A8">
      <w:pPr>
        <w:spacing w:after="0" w:line="240" w:lineRule="auto"/>
      </w:pPr>
      <w:r>
        <w:separator/>
      </w:r>
    </w:p>
  </w:endnote>
  <w:endnote w:type="continuationSeparator" w:id="0">
    <w:p w14:paraId="6168D593" w14:textId="77777777" w:rsidR="00F636EE" w:rsidRDefault="00F636EE" w:rsidP="00407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1012549"/>
      <w:docPartObj>
        <w:docPartGallery w:val="Page Numbers (Bottom of Page)"/>
        <w:docPartUnique/>
      </w:docPartObj>
    </w:sdtPr>
    <w:sdtContent>
      <w:p w14:paraId="055AE3D4" w14:textId="4470E995" w:rsidR="00144AC0" w:rsidRDefault="00144AC0">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6961AB58" w14:textId="77777777" w:rsidR="00144AC0" w:rsidRDefault="00144A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00324E" w14:textId="77777777" w:rsidR="00F636EE" w:rsidRDefault="00F636EE" w:rsidP="004070A8">
      <w:pPr>
        <w:spacing w:after="0" w:line="240" w:lineRule="auto"/>
      </w:pPr>
      <w:r>
        <w:separator/>
      </w:r>
    </w:p>
  </w:footnote>
  <w:footnote w:type="continuationSeparator" w:id="0">
    <w:p w14:paraId="373BFB6F" w14:textId="77777777" w:rsidR="00F636EE" w:rsidRDefault="00F636EE" w:rsidP="004070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7501F" w14:textId="440D9C74" w:rsidR="004070A8" w:rsidRDefault="004070A8">
    <w:pPr>
      <w:pStyle w:val="Header"/>
    </w:pPr>
    <w:r>
      <w:rPr>
        <w:noProof/>
      </w:rPr>
      <mc:AlternateContent>
        <mc:Choice Requires="wps">
          <w:drawing>
            <wp:anchor distT="0" distB="0" distL="118745" distR="118745" simplePos="0" relativeHeight="251659264" behindDoc="1" locked="0" layoutInCell="1" allowOverlap="0" wp14:anchorId="73D81066" wp14:editId="42FA0759">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sz w:val="28"/>
                              <w:szCs w:val="28"/>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2A55CF0F" w14:textId="6F30067C" w:rsidR="004070A8" w:rsidRPr="00605214" w:rsidRDefault="00124C41">
                              <w:pPr>
                                <w:pStyle w:val="Header"/>
                                <w:jc w:val="center"/>
                                <w:rPr>
                                  <w:b/>
                                  <w:bCs/>
                                  <w:caps/>
                                  <w:color w:val="FFFFFF" w:themeColor="background1"/>
                                  <w:sz w:val="28"/>
                                  <w:szCs w:val="28"/>
                                </w:rPr>
                              </w:pPr>
                              <w:r>
                                <w:rPr>
                                  <w:b/>
                                  <w:bCs/>
                                  <w:caps/>
                                  <w:color w:val="FFFFFF" w:themeColor="background1"/>
                                  <w:sz w:val="28"/>
                                  <w:szCs w:val="28"/>
                                </w:rPr>
                                <w:t>ITU contribution to HRC RES 55/8</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3D81066" id="Rectangle 63"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b/>
                        <w:bCs/>
                        <w:caps/>
                        <w:color w:val="FFFFFF" w:themeColor="background1"/>
                        <w:sz w:val="28"/>
                        <w:szCs w:val="28"/>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2A55CF0F" w14:textId="6F30067C" w:rsidR="004070A8" w:rsidRPr="00605214" w:rsidRDefault="00124C41">
                        <w:pPr>
                          <w:pStyle w:val="Header"/>
                          <w:jc w:val="center"/>
                          <w:rPr>
                            <w:b/>
                            <w:bCs/>
                            <w:caps/>
                            <w:color w:val="FFFFFF" w:themeColor="background1"/>
                            <w:sz w:val="28"/>
                            <w:szCs w:val="28"/>
                          </w:rPr>
                        </w:pPr>
                        <w:r>
                          <w:rPr>
                            <w:b/>
                            <w:bCs/>
                            <w:caps/>
                            <w:color w:val="FFFFFF" w:themeColor="background1"/>
                            <w:sz w:val="28"/>
                            <w:szCs w:val="28"/>
                          </w:rPr>
                          <w:t>ITU contribution to HRC RES 55/8</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F259F"/>
    <w:multiLevelType w:val="multilevel"/>
    <w:tmpl w:val="190C270A"/>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EEA55E2"/>
    <w:multiLevelType w:val="multilevel"/>
    <w:tmpl w:val="336E4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373C13"/>
    <w:multiLevelType w:val="multilevel"/>
    <w:tmpl w:val="EC24A020"/>
    <w:lvl w:ilvl="0">
      <w:start w:val="8"/>
      <w:numFmt w:val="decimal"/>
      <w:lvlText w:val="%1."/>
      <w:lvlJc w:val="left"/>
      <w:pPr>
        <w:ind w:left="420" w:hanging="420"/>
      </w:pPr>
      <w:rPr>
        <w:rFonts w:hint="default"/>
      </w:rPr>
    </w:lvl>
    <w:lvl w:ilvl="1">
      <w:start w:val="2"/>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4770" w:hanging="144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240" w:hanging="1800"/>
      </w:pPr>
      <w:rPr>
        <w:rFonts w:hint="default"/>
      </w:rPr>
    </w:lvl>
  </w:abstractNum>
  <w:abstractNum w:abstractNumId="3" w15:restartNumberingAfterBreak="0">
    <w:nsid w:val="11082118"/>
    <w:multiLevelType w:val="multilevel"/>
    <w:tmpl w:val="8C6A2E9C"/>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37645CA"/>
    <w:multiLevelType w:val="multilevel"/>
    <w:tmpl w:val="162E29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0A2A59"/>
    <w:multiLevelType w:val="multilevel"/>
    <w:tmpl w:val="97E6F9A0"/>
    <w:lvl w:ilvl="0">
      <w:start w:val="5"/>
      <w:numFmt w:val="decimal"/>
      <w:lvlText w:val="%1."/>
      <w:lvlJc w:val="left"/>
      <w:pPr>
        <w:ind w:left="420" w:hanging="42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6" w15:restartNumberingAfterBreak="0">
    <w:nsid w:val="20EE1433"/>
    <w:multiLevelType w:val="multilevel"/>
    <w:tmpl w:val="58F88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6E2120"/>
    <w:multiLevelType w:val="multilevel"/>
    <w:tmpl w:val="01B8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D27714"/>
    <w:multiLevelType w:val="multilevel"/>
    <w:tmpl w:val="0EF66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1F4B66"/>
    <w:multiLevelType w:val="multilevel"/>
    <w:tmpl w:val="A54029FE"/>
    <w:lvl w:ilvl="0">
      <w:start w:val="1"/>
      <w:numFmt w:val="decimal"/>
      <w:lvlText w:val="%1."/>
      <w:lvlJc w:val="left"/>
      <w:pPr>
        <w:ind w:left="420" w:hanging="420"/>
      </w:pPr>
      <w:rPr>
        <w:rFonts w:hint="default"/>
        <w:b/>
      </w:rPr>
    </w:lvl>
    <w:lvl w:ilvl="1">
      <w:start w:val="4"/>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0" w15:restartNumberingAfterBreak="0">
    <w:nsid w:val="27540D74"/>
    <w:multiLevelType w:val="multilevel"/>
    <w:tmpl w:val="A90A6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747B06"/>
    <w:multiLevelType w:val="multilevel"/>
    <w:tmpl w:val="BACA7052"/>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53A2316"/>
    <w:multiLevelType w:val="multilevel"/>
    <w:tmpl w:val="610090B2"/>
    <w:lvl w:ilvl="0">
      <w:start w:val="2"/>
      <w:numFmt w:val="decimal"/>
      <w:lvlText w:val="%1."/>
      <w:lvlJc w:val="left"/>
      <w:pPr>
        <w:ind w:left="630" w:hanging="630"/>
      </w:pPr>
      <w:rPr>
        <w:rFonts w:hint="default"/>
        <w:b/>
      </w:rPr>
    </w:lvl>
    <w:lvl w:ilvl="1">
      <w:start w:val="2"/>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13" w15:restartNumberingAfterBreak="0">
    <w:nsid w:val="37834C44"/>
    <w:multiLevelType w:val="multilevel"/>
    <w:tmpl w:val="30D49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3D27B8"/>
    <w:multiLevelType w:val="multilevel"/>
    <w:tmpl w:val="00A62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DD1F1F"/>
    <w:multiLevelType w:val="multilevel"/>
    <w:tmpl w:val="48E4A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426DF7"/>
    <w:multiLevelType w:val="multilevel"/>
    <w:tmpl w:val="BF664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52072D"/>
    <w:multiLevelType w:val="multilevel"/>
    <w:tmpl w:val="10863A64"/>
    <w:lvl w:ilvl="0">
      <w:start w:val="5"/>
      <w:numFmt w:val="decimal"/>
      <w:lvlText w:val="%1."/>
      <w:lvlJc w:val="left"/>
      <w:pPr>
        <w:ind w:left="420" w:hanging="420"/>
      </w:pPr>
      <w:rPr>
        <w:rFonts w:hint="default"/>
        <w:b/>
      </w:rPr>
    </w:lvl>
    <w:lvl w:ilvl="1">
      <w:start w:val="7"/>
      <w:numFmt w:val="decimal"/>
      <w:lvlText w:val="%1.%2."/>
      <w:lvlJc w:val="left"/>
      <w:pPr>
        <w:ind w:left="1140" w:hanging="720"/>
      </w:pPr>
      <w:rPr>
        <w:rFonts w:hint="default"/>
        <w:b/>
      </w:rPr>
    </w:lvl>
    <w:lvl w:ilvl="2">
      <w:start w:val="1"/>
      <w:numFmt w:val="decimal"/>
      <w:lvlText w:val="%1.%2.%3."/>
      <w:lvlJc w:val="left"/>
      <w:pPr>
        <w:ind w:left="1560" w:hanging="720"/>
      </w:pPr>
      <w:rPr>
        <w:rFonts w:hint="default"/>
        <w:b/>
      </w:rPr>
    </w:lvl>
    <w:lvl w:ilvl="3">
      <w:start w:val="1"/>
      <w:numFmt w:val="decimal"/>
      <w:lvlText w:val="%1.%2.%3.%4."/>
      <w:lvlJc w:val="left"/>
      <w:pPr>
        <w:ind w:left="2340" w:hanging="1080"/>
      </w:pPr>
      <w:rPr>
        <w:rFonts w:hint="default"/>
        <w:b/>
      </w:rPr>
    </w:lvl>
    <w:lvl w:ilvl="4">
      <w:start w:val="1"/>
      <w:numFmt w:val="decimal"/>
      <w:lvlText w:val="%1.%2.%3.%4.%5."/>
      <w:lvlJc w:val="left"/>
      <w:pPr>
        <w:ind w:left="2760" w:hanging="1080"/>
      </w:pPr>
      <w:rPr>
        <w:rFonts w:hint="default"/>
        <w:b/>
      </w:rPr>
    </w:lvl>
    <w:lvl w:ilvl="5">
      <w:start w:val="1"/>
      <w:numFmt w:val="decimal"/>
      <w:lvlText w:val="%1.%2.%3.%4.%5.%6."/>
      <w:lvlJc w:val="left"/>
      <w:pPr>
        <w:ind w:left="3540" w:hanging="1440"/>
      </w:pPr>
      <w:rPr>
        <w:rFonts w:hint="default"/>
        <w:b/>
      </w:rPr>
    </w:lvl>
    <w:lvl w:ilvl="6">
      <w:start w:val="1"/>
      <w:numFmt w:val="decimal"/>
      <w:lvlText w:val="%1.%2.%3.%4.%5.%6.%7."/>
      <w:lvlJc w:val="left"/>
      <w:pPr>
        <w:ind w:left="3960" w:hanging="1440"/>
      </w:pPr>
      <w:rPr>
        <w:rFonts w:hint="default"/>
        <w:b/>
      </w:rPr>
    </w:lvl>
    <w:lvl w:ilvl="7">
      <w:start w:val="1"/>
      <w:numFmt w:val="decimal"/>
      <w:lvlText w:val="%1.%2.%3.%4.%5.%6.%7.%8."/>
      <w:lvlJc w:val="left"/>
      <w:pPr>
        <w:ind w:left="4740" w:hanging="1800"/>
      </w:pPr>
      <w:rPr>
        <w:rFonts w:hint="default"/>
        <w:b/>
      </w:rPr>
    </w:lvl>
    <w:lvl w:ilvl="8">
      <w:start w:val="1"/>
      <w:numFmt w:val="decimal"/>
      <w:lvlText w:val="%1.%2.%3.%4.%5.%6.%7.%8.%9."/>
      <w:lvlJc w:val="left"/>
      <w:pPr>
        <w:ind w:left="5160" w:hanging="1800"/>
      </w:pPr>
      <w:rPr>
        <w:rFonts w:hint="default"/>
        <w:b/>
      </w:rPr>
    </w:lvl>
  </w:abstractNum>
  <w:abstractNum w:abstractNumId="18" w15:restartNumberingAfterBreak="0">
    <w:nsid w:val="5870086D"/>
    <w:multiLevelType w:val="multilevel"/>
    <w:tmpl w:val="DBA853D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58AE4101"/>
    <w:multiLevelType w:val="multilevel"/>
    <w:tmpl w:val="FE7A18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7E6D0C"/>
    <w:multiLevelType w:val="multilevel"/>
    <w:tmpl w:val="5944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A924C9"/>
    <w:multiLevelType w:val="multilevel"/>
    <w:tmpl w:val="DD84A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2F5F8F"/>
    <w:multiLevelType w:val="multilevel"/>
    <w:tmpl w:val="5706D93E"/>
    <w:lvl w:ilvl="0">
      <w:start w:val="6"/>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3" w15:restartNumberingAfterBreak="0">
    <w:nsid w:val="64C656FC"/>
    <w:multiLevelType w:val="multilevel"/>
    <w:tmpl w:val="80BAFE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86A02C4"/>
    <w:multiLevelType w:val="multilevel"/>
    <w:tmpl w:val="931E7E7A"/>
    <w:lvl w:ilvl="0">
      <w:start w:val="5"/>
      <w:numFmt w:val="decimal"/>
      <w:lvlText w:val="%1."/>
      <w:lvlJc w:val="left"/>
      <w:pPr>
        <w:ind w:left="420" w:hanging="420"/>
      </w:pPr>
      <w:rPr>
        <w:rFonts w:hint="default"/>
        <w:b/>
      </w:rPr>
    </w:lvl>
    <w:lvl w:ilvl="1">
      <w:start w:val="6"/>
      <w:numFmt w:val="decimal"/>
      <w:lvlText w:val="%1.%2."/>
      <w:lvlJc w:val="left"/>
      <w:pPr>
        <w:ind w:left="1140" w:hanging="720"/>
      </w:pPr>
      <w:rPr>
        <w:rFonts w:hint="default"/>
        <w:b/>
      </w:rPr>
    </w:lvl>
    <w:lvl w:ilvl="2">
      <w:start w:val="1"/>
      <w:numFmt w:val="decimal"/>
      <w:lvlText w:val="%1.%2.%3."/>
      <w:lvlJc w:val="left"/>
      <w:pPr>
        <w:ind w:left="1560" w:hanging="720"/>
      </w:pPr>
      <w:rPr>
        <w:rFonts w:hint="default"/>
        <w:b/>
      </w:rPr>
    </w:lvl>
    <w:lvl w:ilvl="3">
      <w:start w:val="1"/>
      <w:numFmt w:val="decimal"/>
      <w:lvlText w:val="%1.%2.%3.%4."/>
      <w:lvlJc w:val="left"/>
      <w:pPr>
        <w:ind w:left="2340" w:hanging="1080"/>
      </w:pPr>
      <w:rPr>
        <w:rFonts w:hint="default"/>
        <w:b/>
      </w:rPr>
    </w:lvl>
    <w:lvl w:ilvl="4">
      <w:start w:val="1"/>
      <w:numFmt w:val="decimal"/>
      <w:lvlText w:val="%1.%2.%3.%4.%5."/>
      <w:lvlJc w:val="left"/>
      <w:pPr>
        <w:ind w:left="2760" w:hanging="1080"/>
      </w:pPr>
      <w:rPr>
        <w:rFonts w:hint="default"/>
        <w:b/>
      </w:rPr>
    </w:lvl>
    <w:lvl w:ilvl="5">
      <w:start w:val="1"/>
      <w:numFmt w:val="decimal"/>
      <w:lvlText w:val="%1.%2.%3.%4.%5.%6."/>
      <w:lvlJc w:val="left"/>
      <w:pPr>
        <w:ind w:left="3540" w:hanging="1440"/>
      </w:pPr>
      <w:rPr>
        <w:rFonts w:hint="default"/>
        <w:b/>
      </w:rPr>
    </w:lvl>
    <w:lvl w:ilvl="6">
      <w:start w:val="1"/>
      <w:numFmt w:val="decimal"/>
      <w:lvlText w:val="%1.%2.%3.%4.%5.%6.%7."/>
      <w:lvlJc w:val="left"/>
      <w:pPr>
        <w:ind w:left="3960" w:hanging="1440"/>
      </w:pPr>
      <w:rPr>
        <w:rFonts w:hint="default"/>
        <w:b/>
      </w:rPr>
    </w:lvl>
    <w:lvl w:ilvl="7">
      <w:start w:val="1"/>
      <w:numFmt w:val="decimal"/>
      <w:lvlText w:val="%1.%2.%3.%4.%5.%6.%7.%8."/>
      <w:lvlJc w:val="left"/>
      <w:pPr>
        <w:ind w:left="4740" w:hanging="1800"/>
      </w:pPr>
      <w:rPr>
        <w:rFonts w:hint="default"/>
        <w:b/>
      </w:rPr>
    </w:lvl>
    <w:lvl w:ilvl="8">
      <w:start w:val="1"/>
      <w:numFmt w:val="decimal"/>
      <w:lvlText w:val="%1.%2.%3.%4.%5.%6.%7.%8.%9."/>
      <w:lvlJc w:val="left"/>
      <w:pPr>
        <w:ind w:left="5160" w:hanging="1800"/>
      </w:pPr>
      <w:rPr>
        <w:rFonts w:hint="default"/>
        <w:b/>
      </w:rPr>
    </w:lvl>
  </w:abstractNum>
  <w:abstractNum w:abstractNumId="25" w15:restartNumberingAfterBreak="0">
    <w:nsid w:val="6F572784"/>
    <w:multiLevelType w:val="multilevel"/>
    <w:tmpl w:val="764E0C56"/>
    <w:lvl w:ilvl="0">
      <w:start w:val="8"/>
      <w:numFmt w:val="decimal"/>
      <w:lvlText w:val="%1"/>
      <w:lvlJc w:val="left"/>
      <w:pPr>
        <w:ind w:left="555" w:hanging="555"/>
      </w:pPr>
      <w:rPr>
        <w:rFonts w:hint="default"/>
      </w:rPr>
    </w:lvl>
    <w:lvl w:ilvl="1">
      <w:start w:val="1"/>
      <w:numFmt w:val="decimal"/>
      <w:lvlText w:val="%1.%2"/>
      <w:lvlJc w:val="left"/>
      <w:pPr>
        <w:ind w:left="1275" w:hanging="555"/>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6FDE54B4"/>
    <w:multiLevelType w:val="multilevel"/>
    <w:tmpl w:val="A9FA664A"/>
    <w:lvl w:ilvl="0">
      <w:start w:val="3"/>
      <w:numFmt w:val="decimal"/>
      <w:lvlText w:val="%1."/>
      <w:lvlJc w:val="left"/>
      <w:pPr>
        <w:ind w:left="420" w:hanging="42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7" w15:restartNumberingAfterBreak="0">
    <w:nsid w:val="7A0974F3"/>
    <w:multiLevelType w:val="multilevel"/>
    <w:tmpl w:val="CE0E8592"/>
    <w:lvl w:ilvl="0">
      <w:start w:val="4"/>
      <w:numFmt w:val="decimal"/>
      <w:lvlText w:val="%1."/>
      <w:lvlJc w:val="left"/>
      <w:pPr>
        <w:ind w:left="420" w:hanging="42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8" w15:restartNumberingAfterBreak="0">
    <w:nsid w:val="7F5704DA"/>
    <w:multiLevelType w:val="multilevel"/>
    <w:tmpl w:val="BEAC62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4679959">
    <w:abstractNumId w:val="19"/>
  </w:num>
  <w:num w:numId="2" w16cid:durableId="732505155">
    <w:abstractNumId w:val="18"/>
  </w:num>
  <w:num w:numId="3" w16cid:durableId="819729977">
    <w:abstractNumId w:val="9"/>
  </w:num>
  <w:num w:numId="4" w16cid:durableId="1466771794">
    <w:abstractNumId w:val="13"/>
  </w:num>
  <w:num w:numId="5" w16cid:durableId="92169806">
    <w:abstractNumId w:val="21"/>
  </w:num>
  <w:num w:numId="6" w16cid:durableId="1305308114">
    <w:abstractNumId w:val="1"/>
  </w:num>
  <w:num w:numId="7" w16cid:durableId="1077357911">
    <w:abstractNumId w:val="6"/>
  </w:num>
  <w:num w:numId="8" w16cid:durableId="824322703">
    <w:abstractNumId w:val="12"/>
  </w:num>
  <w:num w:numId="9" w16cid:durableId="1591741358">
    <w:abstractNumId w:val="26"/>
  </w:num>
  <w:num w:numId="10" w16cid:durableId="493758930">
    <w:abstractNumId w:val="8"/>
  </w:num>
  <w:num w:numId="11" w16cid:durableId="1298994040">
    <w:abstractNumId w:val="10"/>
  </w:num>
  <w:num w:numId="12" w16cid:durableId="1419868864">
    <w:abstractNumId w:val="27"/>
  </w:num>
  <w:num w:numId="13" w16cid:durableId="388501965">
    <w:abstractNumId w:val="5"/>
  </w:num>
  <w:num w:numId="14" w16cid:durableId="1020593561">
    <w:abstractNumId w:val="24"/>
  </w:num>
  <w:num w:numId="15" w16cid:durableId="1162044120">
    <w:abstractNumId w:val="17"/>
  </w:num>
  <w:num w:numId="16" w16cid:durableId="413822034">
    <w:abstractNumId w:val="16"/>
  </w:num>
  <w:num w:numId="17" w16cid:durableId="1105032625">
    <w:abstractNumId w:val="20"/>
  </w:num>
  <w:num w:numId="18" w16cid:durableId="1438788712">
    <w:abstractNumId w:val="22"/>
  </w:num>
  <w:num w:numId="19" w16cid:durableId="474567788">
    <w:abstractNumId w:val="0"/>
  </w:num>
  <w:num w:numId="20" w16cid:durableId="1452623880">
    <w:abstractNumId w:val="4"/>
  </w:num>
  <w:num w:numId="21" w16cid:durableId="1001398565">
    <w:abstractNumId w:val="11"/>
  </w:num>
  <w:num w:numId="22" w16cid:durableId="1429353011">
    <w:abstractNumId w:val="25"/>
  </w:num>
  <w:num w:numId="23" w16cid:durableId="706219304">
    <w:abstractNumId w:val="2"/>
  </w:num>
  <w:num w:numId="24" w16cid:durableId="1295404619">
    <w:abstractNumId w:val="28"/>
  </w:num>
  <w:num w:numId="25" w16cid:durableId="933778623">
    <w:abstractNumId w:val="23"/>
  </w:num>
  <w:num w:numId="26" w16cid:durableId="1075669479">
    <w:abstractNumId w:val="3"/>
  </w:num>
  <w:num w:numId="27" w16cid:durableId="2111047006">
    <w:abstractNumId w:val="14"/>
  </w:num>
  <w:num w:numId="28" w16cid:durableId="575213814">
    <w:abstractNumId w:val="7"/>
  </w:num>
  <w:num w:numId="29" w16cid:durableId="12250238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308"/>
    <w:rsid w:val="00006EA0"/>
    <w:rsid w:val="000136A6"/>
    <w:rsid w:val="000156D9"/>
    <w:rsid w:val="00025D02"/>
    <w:rsid w:val="0008013A"/>
    <w:rsid w:val="00082ED9"/>
    <w:rsid w:val="000A65EC"/>
    <w:rsid w:val="00124C41"/>
    <w:rsid w:val="00141CBB"/>
    <w:rsid w:val="00144AC0"/>
    <w:rsid w:val="00166A5A"/>
    <w:rsid w:val="00174CBA"/>
    <w:rsid w:val="001E1395"/>
    <w:rsid w:val="0022333C"/>
    <w:rsid w:val="00252F70"/>
    <w:rsid w:val="002533FC"/>
    <w:rsid w:val="002F7419"/>
    <w:rsid w:val="002F76A8"/>
    <w:rsid w:val="00304486"/>
    <w:rsid w:val="00336148"/>
    <w:rsid w:val="00352EB2"/>
    <w:rsid w:val="003725CA"/>
    <w:rsid w:val="0038166B"/>
    <w:rsid w:val="003E0F61"/>
    <w:rsid w:val="003F059F"/>
    <w:rsid w:val="003F6E47"/>
    <w:rsid w:val="00401C8D"/>
    <w:rsid w:val="004070A8"/>
    <w:rsid w:val="00433F69"/>
    <w:rsid w:val="004B425A"/>
    <w:rsid w:val="004C5250"/>
    <w:rsid w:val="00500C55"/>
    <w:rsid w:val="00504418"/>
    <w:rsid w:val="00524AC7"/>
    <w:rsid w:val="00543B94"/>
    <w:rsid w:val="00583842"/>
    <w:rsid w:val="005C4C41"/>
    <w:rsid w:val="00605214"/>
    <w:rsid w:val="00643B5A"/>
    <w:rsid w:val="00660938"/>
    <w:rsid w:val="006B5792"/>
    <w:rsid w:val="006B579F"/>
    <w:rsid w:val="006D6162"/>
    <w:rsid w:val="007251AD"/>
    <w:rsid w:val="00737D75"/>
    <w:rsid w:val="0077131D"/>
    <w:rsid w:val="007C5A3E"/>
    <w:rsid w:val="007F01E0"/>
    <w:rsid w:val="007F2362"/>
    <w:rsid w:val="008402E3"/>
    <w:rsid w:val="008616DC"/>
    <w:rsid w:val="0088595D"/>
    <w:rsid w:val="008D3B28"/>
    <w:rsid w:val="008E319A"/>
    <w:rsid w:val="00905731"/>
    <w:rsid w:val="009A25D4"/>
    <w:rsid w:val="009C03C5"/>
    <w:rsid w:val="00A32308"/>
    <w:rsid w:val="00A51CB6"/>
    <w:rsid w:val="00A8198E"/>
    <w:rsid w:val="00A87CE8"/>
    <w:rsid w:val="00AA11BD"/>
    <w:rsid w:val="00AE6E7C"/>
    <w:rsid w:val="00AE71DD"/>
    <w:rsid w:val="00AF3FD8"/>
    <w:rsid w:val="00B37D09"/>
    <w:rsid w:val="00C076E9"/>
    <w:rsid w:val="00C11FAF"/>
    <w:rsid w:val="00C6101D"/>
    <w:rsid w:val="00C64CBD"/>
    <w:rsid w:val="00CB0548"/>
    <w:rsid w:val="00CD6CA4"/>
    <w:rsid w:val="00D040E1"/>
    <w:rsid w:val="00D378AB"/>
    <w:rsid w:val="00D85EE1"/>
    <w:rsid w:val="00DD62F3"/>
    <w:rsid w:val="00E04BF3"/>
    <w:rsid w:val="00E218A9"/>
    <w:rsid w:val="00E45D79"/>
    <w:rsid w:val="00EA7A12"/>
    <w:rsid w:val="00EE13A0"/>
    <w:rsid w:val="00F60383"/>
    <w:rsid w:val="00F636EE"/>
    <w:rsid w:val="00F74E1F"/>
    <w:rsid w:val="00F80488"/>
    <w:rsid w:val="00FD75B7"/>
    <w:rsid w:val="00FF5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FB3C7"/>
  <w15:chartTrackingRefBased/>
  <w15:docId w15:val="{1D8804A5-9E87-4239-8955-75C2B79F3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23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23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23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23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23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23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23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23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23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3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23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23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23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23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23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23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23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2308"/>
    <w:rPr>
      <w:rFonts w:eastAsiaTheme="majorEastAsia" w:cstheme="majorBidi"/>
      <w:color w:val="272727" w:themeColor="text1" w:themeTint="D8"/>
    </w:rPr>
  </w:style>
  <w:style w:type="paragraph" w:styleId="Title">
    <w:name w:val="Title"/>
    <w:basedOn w:val="Normal"/>
    <w:next w:val="Normal"/>
    <w:link w:val="TitleChar"/>
    <w:uiPriority w:val="10"/>
    <w:qFormat/>
    <w:rsid w:val="00A323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3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3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3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2308"/>
    <w:pPr>
      <w:spacing w:before="160"/>
      <w:jc w:val="center"/>
    </w:pPr>
    <w:rPr>
      <w:i/>
      <w:iCs/>
      <w:color w:val="404040" w:themeColor="text1" w:themeTint="BF"/>
    </w:rPr>
  </w:style>
  <w:style w:type="character" w:customStyle="1" w:styleId="QuoteChar">
    <w:name w:val="Quote Char"/>
    <w:basedOn w:val="DefaultParagraphFont"/>
    <w:link w:val="Quote"/>
    <w:uiPriority w:val="29"/>
    <w:rsid w:val="00A32308"/>
    <w:rPr>
      <w:i/>
      <w:iCs/>
      <w:color w:val="404040" w:themeColor="text1" w:themeTint="BF"/>
    </w:rPr>
  </w:style>
  <w:style w:type="paragraph" w:styleId="ListParagraph">
    <w:name w:val="List Paragraph"/>
    <w:basedOn w:val="Normal"/>
    <w:uiPriority w:val="34"/>
    <w:qFormat/>
    <w:rsid w:val="00A32308"/>
    <w:pPr>
      <w:ind w:left="720"/>
      <w:contextualSpacing/>
    </w:pPr>
  </w:style>
  <w:style w:type="character" w:styleId="IntenseEmphasis">
    <w:name w:val="Intense Emphasis"/>
    <w:basedOn w:val="DefaultParagraphFont"/>
    <w:uiPriority w:val="21"/>
    <w:qFormat/>
    <w:rsid w:val="00A32308"/>
    <w:rPr>
      <w:i/>
      <w:iCs/>
      <w:color w:val="0F4761" w:themeColor="accent1" w:themeShade="BF"/>
    </w:rPr>
  </w:style>
  <w:style w:type="paragraph" w:styleId="IntenseQuote">
    <w:name w:val="Intense Quote"/>
    <w:basedOn w:val="Normal"/>
    <w:next w:val="Normal"/>
    <w:link w:val="IntenseQuoteChar"/>
    <w:uiPriority w:val="30"/>
    <w:qFormat/>
    <w:rsid w:val="00A323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2308"/>
    <w:rPr>
      <w:i/>
      <w:iCs/>
      <w:color w:val="0F4761" w:themeColor="accent1" w:themeShade="BF"/>
    </w:rPr>
  </w:style>
  <w:style w:type="character" w:styleId="IntenseReference">
    <w:name w:val="Intense Reference"/>
    <w:basedOn w:val="DefaultParagraphFont"/>
    <w:uiPriority w:val="32"/>
    <w:qFormat/>
    <w:rsid w:val="00A32308"/>
    <w:rPr>
      <w:b/>
      <w:bCs/>
      <w:smallCaps/>
      <w:color w:val="0F4761" w:themeColor="accent1" w:themeShade="BF"/>
      <w:spacing w:val="5"/>
    </w:rPr>
  </w:style>
  <w:style w:type="paragraph" w:styleId="Header">
    <w:name w:val="header"/>
    <w:basedOn w:val="Normal"/>
    <w:link w:val="HeaderChar"/>
    <w:uiPriority w:val="99"/>
    <w:unhideWhenUsed/>
    <w:rsid w:val="004070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0A8"/>
  </w:style>
  <w:style w:type="paragraph" w:styleId="Footer">
    <w:name w:val="footer"/>
    <w:basedOn w:val="Normal"/>
    <w:link w:val="FooterChar"/>
    <w:uiPriority w:val="99"/>
    <w:unhideWhenUsed/>
    <w:rsid w:val="004070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0A8"/>
  </w:style>
  <w:style w:type="character" w:styleId="CommentReference">
    <w:name w:val="annotation reference"/>
    <w:basedOn w:val="DefaultParagraphFont"/>
    <w:uiPriority w:val="99"/>
    <w:semiHidden/>
    <w:unhideWhenUsed/>
    <w:rsid w:val="00D85EE1"/>
    <w:rPr>
      <w:sz w:val="16"/>
      <w:szCs w:val="16"/>
    </w:rPr>
  </w:style>
  <w:style w:type="paragraph" w:styleId="CommentText">
    <w:name w:val="annotation text"/>
    <w:basedOn w:val="Normal"/>
    <w:link w:val="CommentTextChar"/>
    <w:uiPriority w:val="99"/>
    <w:unhideWhenUsed/>
    <w:rsid w:val="00D85EE1"/>
    <w:pPr>
      <w:spacing w:line="240" w:lineRule="auto"/>
    </w:pPr>
    <w:rPr>
      <w:sz w:val="20"/>
      <w:szCs w:val="20"/>
    </w:rPr>
  </w:style>
  <w:style w:type="character" w:customStyle="1" w:styleId="CommentTextChar">
    <w:name w:val="Comment Text Char"/>
    <w:basedOn w:val="DefaultParagraphFont"/>
    <w:link w:val="CommentText"/>
    <w:uiPriority w:val="99"/>
    <w:rsid w:val="00D85EE1"/>
    <w:rPr>
      <w:sz w:val="20"/>
      <w:szCs w:val="20"/>
    </w:rPr>
  </w:style>
  <w:style w:type="paragraph" w:styleId="CommentSubject">
    <w:name w:val="annotation subject"/>
    <w:basedOn w:val="CommentText"/>
    <w:next w:val="CommentText"/>
    <w:link w:val="CommentSubjectChar"/>
    <w:uiPriority w:val="99"/>
    <w:semiHidden/>
    <w:unhideWhenUsed/>
    <w:rsid w:val="00D85EE1"/>
    <w:rPr>
      <w:b/>
      <w:bCs/>
    </w:rPr>
  </w:style>
  <w:style w:type="character" w:customStyle="1" w:styleId="CommentSubjectChar">
    <w:name w:val="Comment Subject Char"/>
    <w:basedOn w:val="CommentTextChar"/>
    <w:link w:val="CommentSubject"/>
    <w:uiPriority w:val="99"/>
    <w:semiHidden/>
    <w:rsid w:val="00D85EE1"/>
    <w:rPr>
      <w:b/>
      <w:bCs/>
      <w:sz w:val="20"/>
      <w:szCs w:val="20"/>
    </w:rPr>
  </w:style>
  <w:style w:type="character" w:styleId="Hyperlink">
    <w:name w:val="Hyperlink"/>
    <w:basedOn w:val="DefaultParagraphFont"/>
    <w:uiPriority w:val="99"/>
    <w:unhideWhenUsed/>
    <w:rsid w:val="00401C8D"/>
    <w:rPr>
      <w:color w:val="467886" w:themeColor="hyperlink"/>
      <w:u w:val="single"/>
    </w:rPr>
  </w:style>
  <w:style w:type="character" w:styleId="UnresolvedMention">
    <w:name w:val="Unresolved Mention"/>
    <w:basedOn w:val="DefaultParagraphFont"/>
    <w:uiPriority w:val="99"/>
    <w:semiHidden/>
    <w:unhideWhenUsed/>
    <w:rsid w:val="00401C8D"/>
    <w:rPr>
      <w:color w:val="605E5C"/>
      <w:shd w:val="clear" w:color="auto" w:fill="E1DFDD"/>
    </w:rPr>
  </w:style>
  <w:style w:type="paragraph" w:styleId="Revision">
    <w:name w:val="Revision"/>
    <w:hidden/>
    <w:uiPriority w:val="99"/>
    <w:semiHidden/>
    <w:rsid w:val="002533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541488">
      <w:bodyDiv w:val="1"/>
      <w:marLeft w:val="0"/>
      <w:marRight w:val="0"/>
      <w:marTop w:val="0"/>
      <w:marBottom w:val="0"/>
      <w:divBdr>
        <w:top w:val="none" w:sz="0" w:space="0" w:color="auto"/>
        <w:left w:val="none" w:sz="0" w:space="0" w:color="auto"/>
        <w:bottom w:val="none" w:sz="0" w:space="0" w:color="auto"/>
        <w:right w:val="none" w:sz="0" w:space="0" w:color="auto"/>
      </w:divBdr>
    </w:div>
    <w:div w:id="72508122">
      <w:bodyDiv w:val="1"/>
      <w:marLeft w:val="0"/>
      <w:marRight w:val="0"/>
      <w:marTop w:val="0"/>
      <w:marBottom w:val="0"/>
      <w:divBdr>
        <w:top w:val="none" w:sz="0" w:space="0" w:color="auto"/>
        <w:left w:val="none" w:sz="0" w:space="0" w:color="auto"/>
        <w:bottom w:val="none" w:sz="0" w:space="0" w:color="auto"/>
        <w:right w:val="none" w:sz="0" w:space="0" w:color="auto"/>
      </w:divBdr>
      <w:divsChild>
        <w:div w:id="531765242">
          <w:marLeft w:val="0"/>
          <w:marRight w:val="0"/>
          <w:marTop w:val="0"/>
          <w:marBottom w:val="0"/>
          <w:divBdr>
            <w:top w:val="none" w:sz="0" w:space="0" w:color="auto"/>
            <w:left w:val="none" w:sz="0" w:space="0" w:color="auto"/>
            <w:bottom w:val="none" w:sz="0" w:space="0" w:color="auto"/>
            <w:right w:val="none" w:sz="0" w:space="0" w:color="auto"/>
          </w:divBdr>
          <w:divsChild>
            <w:div w:id="629016751">
              <w:marLeft w:val="0"/>
              <w:marRight w:val="0"/>
              <w:marTop w:val="0"/>
              <w:marBottom w:val="0"/>
              <w:divBdr>
                <w:top w:val="none" w:sz="0" w:space="0" w:color="auto"/>
                <w:left w:val="none" w:sz="0" w:space="0" w:color="auto"/>
                <w:bottom w:val="none" w:sz="0" w:space="0" w:color="auto"/>
                <w:right w:val="none" w:sz="0" w:space="0" w:color="auto"/>
              </w:divBdr>
              <w:divsChild>
                <w:div w:id="733240097">
                  <w:marLeft w:val="0"/>
                  <w:marRight w:val="0"/>
                  <w:marTop w:val="0"/>
                  <w:marBottom w:val="0"/>
                  <w:divBdr>
                    <w:top w:val="none" w:sz="0" w:space="0" w:color="auto"/>
                    <w:left w:val="none" w:sz="0" w:space="0" w:color="auto"/>
                    <w:bottom w:val="none" w:sz="0" w:space="0" w:color="auto"/>
                    <w:right w:val="none" w:sz="0" w:space="0" w:color="auto"/>
                  </w:divBdr>
                  <w:divsChild>
                    <w:div w:id="142063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811403">
          <w:marLeft w:val="0"/>
          <w:marRight w:val="0"/>
          <w:marTop w:val="0"/>
          <w:marBottom w:val="0"/>
          <w:divBdr>
            <w:top w:val="none" w:sz="0" w:space="0" w:color="auto"/>
            <w:left w:val="none" w:sz="0" w:space="0" w:color="auto"/>
            <w:bottom w:val="none" w:sz="0" w:space="0" w:color="auto"/>
            <w:right w:val="none" w:sz="0" w:space="0" w:color="auto"/>
          </w:divBdr>
          <w:divsChild>
            <w:div w:id="536888892">
              <w:marLeft w:val="0"/>
              <w:marRight w:val="0"/>
              <w:marTop w:val="0"/>
              <w:marBottom w:val="0"/>
              <w:divBdr>
                <w:top w:val="none" w:sz="0" w:space="0" w:color="auto"/>
                <w:left w:val="none" w:sz="0" w:space="0" w:color="auto"/>
                <w:bottom w:val="none" w:sz="0" w:space="0" w:color="auto"/>
                <w:right w:val="none" w:sz="0" w:space="0" w:color="auto"/>
              </w:divBdr>
              <w:divsChild>
                <w:div w:id="1565137599">
                  <w:marLeft w:val="0"/>
                  <w:marRight w:val="0"/>
                  <w:marTop w:val="0"/>
                  <w:marBottom w:val="0"/>
                  <w:divBdr>
                    <w:top w:val="none" w:sz="0" w:space="0" w:color="auto"/>
                    <w:left w:val="none" w:sz="0" w:space="0" w:color="auto"/>
                    <w:bottom w:val="none" w:sz="0" w:space="0" w:color="auto"/>
                    <w:right w:val="none" w:sz="0" w:space="0" w:color="auto"/>
                  </w:divBdr>
                  <w:divsChild>
                    <w:div w:id="133584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13812">
      <w:bodyDiv w:val="1"/>
      <w:marLeft w:val="0"/>
      <w:marRight w:val="0"/>
      <w:marTop w:val="0"/>
      <w:marBottom w:val="0"/>
      <w:divBdr>
        <w:top w:val="none" w:sz="0" w:space="0" w:color="auto"/>
        <w:left w:val="none" w:sz="0" w:space="0" w:color="auto"/>
        <w:bottom w:val="none" w:sz="0" w:space="0" w:color="auto"/>
        <w:right w:val="none" w:sz="0" w:space="0" w:color="auto"/>
      </w:divBdr>
    </w:div>
    <w:div w:id="491995286">
      <w:bodyDiv w:val="1"/>
      <w:marLeft w:val="0"/>
      <w:marRight w:val="0"/>
      <w:marTop w:val="0"/>
      <w:marBottom w:val="0"/>
      <w:divBdr>
        <w:top w:val="none" w:sz="0" w:space="0" w:color="auto"/>
        <w:left w:val="none" w:sz="0" w:space="0" w:color="auto"/>
        <w:bottom w:val="none" w:sz="0" w:space="0" w:color="auto"/>
        <w:right w:val="none" w:sz="0" w:space="0" w:color="auto"/>
      </w:divBdr>
      <w:divsChild>
        <w:div w:id="2135127119">
          <w:marLeft w:val="0"/>
          <w:marRight w:val="0"/>
          <w:marTop w:val="0"/>
          <w:marBottom w:val="0"/>
          <w:divBdr>
            <w:top w:val="none" w:sz="0" w:space="0" w:color="auto"/>
            <w:left w:val="none" w:sz="0" w:space="0" w:color="auto"/>
            <w:bottom w:val="none" w:sz="0" w:space="0" w:color="auto"/>
            <w:right w:val="none" w:sz="0" w:space="0" w:color="auto"/>
          </w:divBdr>
          <w:divsChild>
            <w:div w:id="830563301">
              <w:marLeft w:val="0"/>
              <w:marRight w:val="0"/>
              <w:marTop w:val="0"/>
              <w:marBottom w:val="0"/>
              <w:divBdr>
                <w:top w:val="none" w:sz="0" w:space="0" w:color="auto"/>
                <w:left w:val="none" w:sz="0" w:space="0" w:color="auto"/>
                <w:bottom w:val="none" w:sz="0" w:space="0" w:color="auto"/>
                <w:right w:val="none" w:sz="0" w:space="0" w:color="auto"/>
              </w:divBdr>
              <w:divsChild>
                <w:div w:id="767194038">
                  <w:marLeft w:val="0"/>
                  <w:marRight w:val="0"/>
                  <w:marTop w:val="0"/>
                  <w:marBottom w:val="0"/>
                  <w:divBdr>
                    <w:top w:val="none" w:sz="0" w:space="0" w:color="auto"/>
                    <w:left w:val="none" w:sz="0" w:space="0" w:color="auto"/>
                    <w:bottom w:val="none" w:sz="0" w:space="0" w:color="auto"/>
                    <w:right w:val="none" w:sz="0" w:space="0" w:color="auto"/>
                  </w:divBdr>
                  <w:divsChild>
                    <w:div w:id="336538848">
                      <w:marLeft w:val="0"/>
                      <w:marRight w:val="0"/>
                      <w:marTop w:val="0"/>
                      <w:marBottom w:val="0"/>
                      <w:divBdr>
                        <w:top w:val="none" w:sz="0" w:space="0" w:color="auto"/>
                        <w:left w:val="none" w:sz="0" w:space="0" w:color="auto"/>
                        <w:bottom w:val="none" w:sz="0" w:space="0" w:color="auto"/>
                        <w:right w:val="none" w:sz="0" w:space="0" w:color="auto"/>
                      </w:divBdr>
                      <w:divsChild>
                        <w:div w:id="1944340399">
                          <w:marLeft w:val="0"/>
                          <w:marRight w:val="0"/>
                          <w:marTop w:val="0"/>
                          <w:marBottom w:val="0"/>
                          <w:divBdr>
                            <w:top w:val="none" w:sz="0" w:space="0" w:color="auto"/>
                            <w:left w:val="none" w:sz="0" w:space="0" w:color="auto"/>
                            <w:bottom w:val="none" w:sz="0" w:space="0" w:color="auto"/>
                            <w:right w:val="none" w:sz="0" w:space="0" w:color="auto"/>
                          </w:divBdr>
                          <w:divsChild>
                            <w:div w:id="207847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5233062">
      <w:bodyDiv w:val="1"/>
      <w:marLeft w:val="0"/>
      <w:marRight w:val="0"/>
      <w:marTop w:val="0"/>
      <w:marBottom w:val="0"/>
      <w:divBdr>
        <w:top w:val="none" w:sz="0" w:space="0" w:color="auto"/>
        <w:left w:val="none" w:sz="0" w:space="0" w:color="auto"/>
        <w:bottom w:val="none" w:sz="0" w:space="0" w:color="auto"/>
        <w:right w:val="none" w:sz="0" w:space="0" w:color="auto"/>
      </w:divBdr>
    </w:div>
    <w:div w:id="665939233">
      <w:bodyDiv w:val="1"/>
      <w:marLeft w:val="0"/>
      <w:marRight w:val="0"/>
      <w:marTop w:val="0"/>
      <w:marBottom w:val="0"/>
      <w:divBdr>
        <w:top w:val="none" w:sz="0" w:space="0" w:color="auto"/>
        <w:left w:val="none" w:sz="0" w:space="0" w:color="auto"/>
        <w:bottom w:val="none" w:sz="0" w:space="0" w:color="auto"/>
        <w:right w:val="none" w:sz="0" w:space="0" w:color="auto"/>
      </w:divBdr>
      <w:divsChild>
        <w:div w:id="1093207145">
          <w:marLeft w:val="0"/>
          <w:marRight w:val="0"/>
          <w:marTop w:val="0"/>
          <w:marBottom w:val="0"/>
          <w:divBdr>
            <w:top w:val="none" w:sz="0" w:space="0" w:color="auto"/>
            <w:left w:val="none" w:sz="0" w:space="0" w:color="auto"/>
            <w:bottom w:val="none" w:sz="0" w:space="0" w:color="auto"/>
            <w:right w:val="none" w:sz="0" w:space="0" w:color="auto"/>
          </w:divBdr>
          <w:divsChild>
            <w:div w:id="2020814809">
              <w:marLeft w:val="0"/>
              <w:marRight w:val="0"/>
              <w:marTop w:val="0"/>
              <w:marBottom w:val="0"/>
              <w:divBdr>
                <w:top w:val="none" w:sz="0" w:space="0" w:color="auto"/>
                <w:left w:val="none" w:sz="0" w:space="0" w:color="auto"/>
                <w:bottom w:val="none" w:sz="0" w:space="0" w:color="auto"/>
                <w:right w:val="none" w:sz="0" w:space="0" w:color="auto"/>
              </w:divBdr>
              <w:divsChild>
                <w:div w:id="1625455060">
                  <w:marLeft w:val="0"/>
                  <w:marRight w:val="0"/>
                  <w:marTop w:val="0"/>
                  <w:marBottom w:val="0"/>
                  <w:divBdr>
                    <w:top w:val="none" w:sz="0" w:space="0" w:color="auto"/>
                    <w:left w:val="none" w:sz="0" w:space="0" w:color="auto"/>
                    <w:bottom w:val="none" w:sz="0" w:space="0" w:color="auto"/>
                    <w:right w:val="none" w:sz="0" w:space="0" w:color="auto"/>
                  </w:divBdr>
                  <w:divsChild>
                    <w:div w:id="1958170322">
                      <w:marLeft w:val="0"/>
                      <w:marRight w:val="0"/>
                      <w:marTop w:val="0"/>
                      <w:marBottom w:val="0"/>
                      <w:divBdr>
                        <w:top w:val="none" w:sz="0" w:space="0" w:color="auto"/>
                        <w:left w:val="none" w:sz="0" w:space="0" w:color="auto"/>
                        <w:bottom w:val="none" w:sz="0" w:space="0" w:color="auto"/>
                        <w:right w:val="none" w:sz="0" w:space="0" w:color="auto"/>
                      </w:divBdr>
                      <w:divsChild>
                        <w:div w:id="1478717200">
                          <w:marLeft w:val="0"/>
                          <w:marRight w:val="0"/>
                          <w:marTop w:val="0"/>
                          <w:marBottom w:val="0"/>
                          <w:divBdr>
                            <w:top w:val="none" w:sz="0" w:space="0" w:color="auto"/>
                            <w:left w:val="none" w:sz="0" w:space="0" w:color="auto"/>
                            <w:bottom w:val="none" w:sz="0" w:space="0" w:color="auto"/>
                            <w:right w:val="none" w:sz="0" w:space="0" w:color="auto"/>
                          </w:divBdr>
                          <w:divsChild>
                            <w:div w:id="43163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306523">
      <w:bodyDiv w:val="1"/>
      <w:marLeft w:val="0"/>
      <w:marRight w:val="0"/>
      <w:marTop w:val="0"/>
      <w:marBottom w:val="0"/>
      <w:divBdr>
        <w:top w:val="none" w:sz="0" w:space="0" w:color="auto"/>
        <w:left w:val="none" w:sz="0" w:space="0" w:color="auto"/>
        <w:bottom w:val="none" w:sz="0" w:space="0" w:color="auto"/>
        <w:right w:val="none" w:sz="0" w:space="0" w:color="auto"/>
      </w:divBdr>
    </w:div>
    <w:div w:id="813110557">
      <w:bodyDiv w:val="1"/>
      <w:marLeft w:val="0"/>
      <w:marRight w:val="0"/>
      <w:marTop w:val="0"/>
      <w:marBottom w:val="0"/>
      <w:divBdr>
        <w:top w:val="none" w:sz="0" w:space="0" w:color="auto"/>
        <w:left w:val="none" w:sz="0" w:space="0" w:color="auto"/>
        <w:bottom w:val="none" w:sz="0" w:space="0" w:color="auto"/>
        <w:right w:val="none" w:sz="0" w:space="0" w:color="auto"/>
      </w:divBdr>
    </w:div>
    <w:div w:id="1003973305">
      <w:bodyDiv w:val="1"/>
      <w:marLeft w:val="0"/>
      <w:marRight w:val="0"/>
      <w:marTop w:val="0"/>
      <w:marBottom w:val="0"/>
      <w:divBdr>
        <w:top w:val="none" w:sz="0" w:space="0" w:color="auto"/>
        <w:left w:val="none" w:sz="0" w:space="0" w:color="auto"/>
        <w:bottom w:val="none" w:sz="0" w:space="0" w:color="auto"/>
        <w:right w:val="none" w:sz="0" w:space="0" w:color="auto"/>
      </w:divBdr>
    </w:div>
    <w:div w:id="1020204483">
      <w:bodyDiv w:val="1"/>
      <w:marLeft w:val="0"/>
      <w:marRight w:val="0"/>
      <w:marTop w:val="0"/>
      <w:marBottom w:val="0"/>
      <w:divBdr>
        <w:top w:val="none" w:sz="0" w:space="0" w:color="auto"/>
        <w:left w:val="none" w:sz="0" w:space="0" w:color="auto"/>
        <w:bottom w:val="none" w:sz="0" w:space="0" w:color="auto"/>
        <w:right w:val="none" w:sz="0" w:space="0" w:color="auto"/>
      </w:divBdr>
      <w:divsChild>
        <w:div w:id="1968585817">
          <w:marLeft w:val="0"/>
          <w:marRight w:val="0"/>
          <w:marTop w:val="0"/>
          <w:marBottom w:val="0"/>
          <w:divBdr>
            <w:top w:val="none" w:sz="0" w:space="0" w:color="auto"/>
            <w:left w:val="none" w:sz="0" w:space="0" w:color="auto"/>
            <w:bottom w:val="none" w:sz="0" w:space="0" w:color="auto"/>
            <w:right w:val="none" w:sz="0" w:space="0" w:color="auto"/>
          </w:divBdr>
          <w:divsChild>
            <w:div w:id="174002627">
              <w:marLeft w:val="0"/>
              <w:marRight w:val="0"/>
              <w:marTop w:val="0"/>
              <w:marBottom w:val="0"/>
              <w:divBdr>
                <w:top w:val="none" w:sz="0" w:space="0" w:color="auto"/>
                <w:left w:val="none" w:sz="0" w:space="0" w:color="auto"/>
                <w:bottom w:val="none" w:sz="0" w:space="0" w:color="auto"/>
                <w:right w:val="none" w:sz="0" w:space="0" w:color="auto"/>
              </w:divBdr>
              <w:divsChild>
                <w:div w:id="1162742768">
                  <w:marLeft w:val="0"/>
                  <w:marRight w:val="0"/>
                  <w:marTop w:val="0"/>
                  <w:marBottom w:val="0"/>
                  <w:divBdr>
                    <w:top w:val="none" w:sz="0" w:space="0" w:color="auto"/>
                    <w:left w:val="none" w:sz="0" w:space="0" w:color="auto"/>
                    <w:bottom w:val="none" w:sz="0" w:space="0" w:color="auto"/>
                    <w:right w:val="none" w:sz="0" w:space="0" w:color="auto"/>
                  </w:divBdr>
                  <w:divsChild>
                    <w:div w:id="1437562243">
                      <w:marLeft w:val="0"/>
                      <w:marRight w:val="0"/>
                      <w:marTop w:val="0"/>
                      <w:marBottom w:val="0"/>
                      <w:divBdr>
                        <w:top w:val="none" w:sz="0" w:space="0" w:color="auto"/>
                        <w:left w:val="none" w:sz="0" w:space="0" w:color="auto"/>
                        <w:bottom w:val="none" w:sz="0" w:space="0" w:color="auto"/>
                        <w:right w:val="none" w:sz="0" w:space="0" w:color="auto"/>
                      </w:divBdr>
                      <w:divsChild>
                        <w:div w:id="1418021448">
                          <w:marLeft w:val="0"/>
                          <w:marRight w:val="0"/>
                          <w:marTop w:val="0"/>
                          <w:marBottom w:val="0"/>
                          <w:divBdr>
                            <w:top w:val="none" w:sz="0" w:space="0" w:color="auto"/>
                            <w:left w:val="none" w:sz="0" w:space="0" w:color="auto"/>
                            <w:bottom w:val="none" w:sz="0" w:space="0" w:color="auto"/>
                            <w:right w:val="none" w:sz="0" w:space="0" w:color="auto"/>
                          </w:divBdr>
                          <w:divsChild>
                            <w:div w:id="90499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823610">
      <w:bodyDiv w:val="1"/>
      <w:marLeft w:val="0"/>
      <w:marRight w:val="0"/>
      <w:marTop w:val="0"/>
      <w:marBottom w:val="0"/>
      <w:divBdr>
        <w:top w:val="none" w:sz="0" w:space="0" w:color="auto"/>
        <w:left w:val="none" w:sz="0" w:space="0" w:color="auto"/>
        <w:bottom w:val="none" w:sz="0" w:space="0" w:color="auto"/>
        <w:right w:val="none" w:sz="0" w:space="0" w:color="auto"/>
      </w:divBdr>
    </w:div>
    <w:div w:id="1373849473">
      <w:bodyDiv w:val="1"/>
      <w:marLeft w:val="0"/>
      <w:marRight w:val="0"/>
      <w:marTop w:val="0"/>
      <w:marBottom w:val="0"/>
      <w:divBdr>
        <w:top w:val="none" w:sz="0" w:space="0" w:color="auto"/>
        <w:left w:val="none" w:sz="0" w:space="0" w:color="auto"/>
        <w:bottom w:val="none" w:sz="0" w:space="0" w:color="auto"/>
        <w:right w:val="none" w:sz="0" w:space="0" w:color="auto"/>
      </w:divBdr>
    </w:div>
    <w:div w:id="1410617411">
      <w:bodyDiv w:val="1"/>
      <w:marLeft w:val="0"/>
      <w:marRight w:val="0"/>
      <w:marTop w:val="0"/>
      <w:marBottom w:val="0"/>
      <w:divBdr>
        <w:top w:val="none" w:sz="0" w:space="0" w:color="auto"/>
        <w:left w:val="none" w:sz="0" w:space="0" w:color="auto"/>
        <w:bottom w:val="none" w:sz="0" w:space="0" w:color="auto"/>
        <w:right w:val="none" w:sz="0" w:space="0" w:color="auto"/>
      </w:divBdr>
      <w:divsChild>
        <w:div w:id="1473055847">
          <w:marLeft w:val="0"/>
          <w:marRight w:val="0"/>
          <w:marTop w:val="0"/>
          <w:marBottom w:val="0"/>
          <w:divBdr>
            <w:top w:val="none" w:sz="0" w:space="0" w:color="auto"/>
            <w:left w:val="none" w:sz="0" w:space="0" w:color="auto"/>
            <w:bottom w:val="none" w:sz="0" w:space="0" w:color="auto"/>
            <w:right w:val="none" w:sz="0" w:space="0" w:color="auto"/>
          </w:divBdr>
          <w:divsChild>
            <w:div w:id="1502508473">
              <w:marLeft w:val="0"/>
              <w:marRight w:val="0"/>
              <w:marTop w:val="0"/>
              <w:marBottom w:val="0"/>
              <w:divBdr>
                <w:top w:val="none" w:sz="0" w:space="0" w:color="auto"/>
                <w:left w:val="none" w:sz="0" w:space="0" w:color="auto"/>
                <w:bottom w:val="none" w:sz="0" w:space="0" w:color="auto"/>
                <w:right w:val="none" w:sz="0" w:space="0" w:color="auto"/>
              </w:divBdr>
              <w:divsChild>
                <w:div w:id="1692301259">
                  <w:marLeft w:val="0"/>
                  <w:marRight w:val="0"/>
                  <w:marTop w:val="0"/>
                  <w:marBottom w:val="0"/>
                  <w:divBdr>
                    <w:top w:val="none" w:sz="0" w:space="0" w:color="auto"/>
                    <w:left w:val="none" w:sz="0" w:space="0" w:color="auto"/>
                    <w:bottom w:val="none" w:sz="0" w:space="0" w:color="auto"/>
                    <w:right w:val="none" w:sz="0" w:space="0" w:color="auto"/>
                  </w:divBdr>
                  <w:divsChild>
                    <w:div w:id="1653947245">
                      <w:marLeft w:val="0"/>
                      <w:marRight w:val="0"/>
                      <w:marTop w:val="0"/>
                      <w:marBottom w:val="0"/>
                      <w:divBdr>
                        <w:top w:val="none" w:sz="0" w:space="0" w:color="auto"/>
                        <w:left w:val="none" w:sz="0" w:space="0" w:color="auto"/>
                        <w:bottom w:val="none" w:sz="0" w:space="0" w:color="auto"/>
                        <w:right w:val="none" w:sz="0" w:space="0" w:color="auto"/>
                      </w:divBdr>
                      <w:divsChild>
                        <w:div w:id="1002780134">
                          <w:marLeft w:val="0"/>
                          <w:marRight w:val="0"/>
                          <w:marTop w:val="0"/>
                          <w:marBottom w:val="0"/>
                          <w:divBdr>
                            <w:top w:val="none" w:sz="0" w:space="0" w:color="auto"/>
                            <w:left w:val="none" w:sz="0" w:space="0" w:color="auto"/>
                            <w:bottom w:val="none" w:sz="0" w:space="0" w:color="auto"/>
                            <w:right w:val="none" w:sz="0" w:space="0" w:color="auto"/>
                          </w:divBdr>
                          <w:divsChild>
                            <w:div w:id="138093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586613">
      <w:bodyDiv w:val="1"/>
      <w:marLeft w:val="0"/>
      <w:marRight w:val="0"/>
      <w:marTop w:val="0"/>
      <w:marBottom w:val="0"/>
      <w:divBdr>
        <w:top w:val="none" w:sz="0" w:space="0" w:color="auto"/>
        <w:left w:val="none" w:sz="0" w:space="0" w:color="auto"/>
        <w:bottom w:val="none" w:sz="0" w:space="0" w:color="auto"/>
        <w:right w:val="none" w:sz="0" w:space="0" w:color="auto"/>
      </w:divBdr>
    </w:div>
    <w:div w:id="1510485212">
      <w:bodyDiv w:val="1"/>
      <w:marLeft w:val="0"/>
      <w:marRight w:val="0"/>
      <w:marTop w:val="0"/>
      <w:marBottom w:val="0"/>
      <w:divBdr>
        <w:top w:val="none" w:sz="0" w:space="0" w:color="auto"/>
        <w:left w:val="none" w:sz="0" w:space="0" w:color="auto"/>
        <w:bottom w:val="none" w:sz="0" w:space="0" w:color="auto"/>
        <w:right w:val="none" w:sz="0" w:space="0" w:color="auto"/>
      </w:divBdr>
    </w:div>
    <w:div w:id="1656302292">
      <w:bodyDiv w:val="1"/>
      <w:marLeft w:val="0"/>
      <w:marRight w:val="0"/>
      <w:marTop w:val="0"/>
      <w:marBottom w:val="0"/>
      <w:divBdr>
        <w:top w:val="none" w:sz="0" w:space="0" w:color="auto"/>
        <w:left w:val="none" w:sz="0" w:space="0" w:color="auto"/>
        <w:bottom w:val="none" w:sz="0" w:space="0" w:color="auto"/>
        <w:right w:val="none" w:sz="0" w:space="0" w:color="auto"/>
      </w:divBdr>
    </w:div>
    <w:div w:id="1666207622">
      <w:bodyDiv w:val="1"/>
      <w:marLeft w:val="0"/>
      <w:marRight w:val="0"/>
      <w:marTop w:val="0"/>
      <w:marBottom w:val="0"/>
      <w:divBdr>
        <w:top w:val="none" w:sz="0" w:space="0" w:color="auto"/>
        <w:left w:val="none" w:sz="0" w:space="0" w:color="auto"/>
        <w:bottom w:val="none" w:sz="0" w:space="0" w:color="auto"/>
        <w:right w:val="none" w:sz="0" w:space="0" w:color="auto"/>
      </w:divBdr>
    </w:div>
    <w:div w:id="1841850040">
      <w:bodyDiv w:val="1"/>
      <w:marLeft w:val="0"/>
      <w:marRight w:val="0"/>
      <w:marTop w:val="0"/>
      <w:marBottom w:val="0"/>
      <w:divBdr>
        <w:top w:val="none" w:sz="0" w:space="0" w:color="auto"/>
        <w:left w:val="none" w:sz="0" w:space="0" w:color="auto"/>
        <w:bottom w:val="none" w:sz="0" w:space="0" w:color="auto"/>
        <w:right w:val="none" w:sz="0" w:space="0" w:color="auto"/>
      </w:divBdr>
      <w:divsChild>
        <w:div w:id="2031642822">
          <w:marLeft w:val="0"/>
          <w:marRight w:val="0"/>
          <w:marTop w:val="0"/>
          <w:marBottom w:val="0"/>
          <w:divBdr>
            <w:top w:val="none" w:sz="0" w:space="0" w:color="auto"/>
            <w:left w:val="none" w:sz="0" w:space="0" w:color="auto"/>
            <w:bottom w:val="none" w:sz="0" w:space="0" w:color="auto"/>
            <w:right w:val="none" w:sz="0" w:space="0" w:color="auto"/>
          </w:divBdr>
          <w:divsChild>
            <w:div w:id="32076961">
              <w:marLeft w:val="0"/>
              <w:marRight w:val="0"/>
              <w:marTop w:val="0"/>
              <w:marBottom w:val="0"/>
              <w:divBdr>
                <w:top w:val="none" w:sz="0" w:space="0" w:color="auto"/>
                <w:left w:val="none" w:sz="0" w:space="0" w:color="auto"/>
                <w:bottom w:val="none" w:sz="0" w:space="0" w:color="auto"/>
                <w:right w:val="none" w:sz="0" w:space="0" w:color="auto"/>
              </w:divBdr>
              <w:divsChild>
                <w:div w:id="1391924382">
                  <w:marLeft w:val="0"/>
                  <w:marRight w:val="0"/>
                  <w:marTop w:val="0"/>
                  <w:marBottom w:val="0"/>
                  <w:divBdr>
                    <w:top w:val="none" w:sz="0" w:space="0" w:color="auto"/>
                    <w:left w:val="none" w:sz="0" w:space="0" w:color="auto"/>
                    <w:bottom w:val="none" w:sz="0" w:space="0" w:color="auto"/>
                    <w:right w:val="none" w:sz="0" w:space="0" w:color="auto"/>
                  </w:divBdr>
                  <w:divsChild>
                    <w:div w:id="28137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402869">
          <w:marLeft w:val="0"/>
          <w:marRight w:val="0"/>
          <w:marTop w:val="0"/>
          <w:marBottom w:val="0"/>
          <w:divBdr>
            <w:top w:val="none" w:sz="0" w:space="0" w:color="auto"/>
            <w:left w:val="none" w:sz="0" w:space="0" w:color="auto"/>
            <w:bottom w:val="none" w:sz="0" w:space="0" w:color="auto"/>
            <w:right w:val="none" w:sz="0" w:space="0" w:color="auto"/>
          </w:divBdr>
          <w:divsChild>
            <w:div w:id="676881974">
              <w:marLeft w:val="0"/>
              <w:marRight w:val="0"/>
              <w:marTop w:val="0"/>
              <w:marBottom w:val="0"/>
              <w:divBdr>
                <w:top w:val="none" w:sz="0" w:space="0" w:color="auto"/>
                <w:left w:val="none" w:sz="0" w:space="0" w:color="auto"/>
                <w:bottom w:val="none" w:sz="0" w:space="0" w:color="auto"/>
                <w:right w:val="none" w:sz="0" w:space="0" w:color="auto"/>
              </w:divBdr>
              <w:divsChild>
                <w:div w:id="1136602847">
                  <w:marLeft w:val="0"/>
                  <w:marRight w:val="0"/>
                  <w:marTop w:val="0"/>
                  <w:marBottom w:val="0"/>
                  <w:divBdr>
                    <w:top w:val="none" w:sz="0" w:space="0" w:color="auto"/>
                    <w:left w:val="none" w:sz="0" w:space="0" w:color="auto"/>
                    <w:bottom w:val="none" w:sz="0" w:space="0" w:color="auto"/>
                    <w:right w:val="none" w:sz="0" w:space="0" w:color="auto"/>
                  </w:divBdr>
                  <w:divsChild>
                    <w:div w:id="40391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lostat.ilo.org/topics/unpaid-work/measuring-unpaid-domestic-and-care-wor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tu.int/net/wsis/docs/geneva/official/poa.html"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tu.int/en/ITU-D/Digital-Inclusion/Pages/ICT-digital-accessibility/default.aspx"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UN entities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ITU</Contributor>
  </documentManagement>
</p:properties>
</file>

<file path=customXml/itemProps1.xml><?xml version="1.0" encoding="utf-8"?>
<ds:datastoreItem xmlns:ds="http://schemas.openxmlformats.org/officeDocument/2006/customXml" ds:itemID="{E7E5CD00-54E3-4A60-8F89-1F2A2827FDB6}"/>
</file>

<file path=customXml/itemProps2.xml><?xml version="1.0" encoding="utf-8"?>
<ds:datastoreItem xmlns:ds="http://schemas.openxmlformats.org/officeDocument/2006/customXml" ds:itemID="{222EFAEF-DA60-43E4-B0BA-7EA45C8D7B75}"/>
</file>

<file path=customXml/itemProps3.xml><?xml version="1.0" encoding="utf-8"?>
<ds:datastoreItem xmlns:ds="http://schemas.openxmlformats.org/officeDocument/2006/customXml" ds:itemID="{DD8986C7-9FA3-4A72-B401-438866A26F93}"/>
</file>

<file path=docProps/app.xml><?xml version="1.0" encoding="utf-8"?>
<Properties xmlns="http://schemas.openxmlformats.org/officeDocument/2006/extended-properties" xmlns:vt="http://schemas.openxmlformats.org/officeDocument/2006/docPropsVTypes">
  <Template>Normal.dotm</Template>
  <TotalTime>1</TotalTime>
  <Pages>12</Pages>
  <Words>4233</Words>
  <Characters>23282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contribution to HRC RES 55/8</dc:title>
  <dc:subject/>
  <dc:creator>Widmer-Iliescu, Roxana</dc:creator>
  <cp:keywords/>
  <dc:description/>
  <cp:lastModifiedBy>sfomario sfomario</cp:lastModifiedBy>
  <cp:revision>2</cp:revision>
  <dcterms:created xsi:type="dcterms:W3CDTF">2024-09-02T09:55:00Z</dcterms:created>
  <dcterms:modified xsi:type="dcterms:W3CDTF">2024-09-02T09:55:00Z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