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CC8BC" w14:textId="557D61FD" w:rsidR="00CA41B9" w:rsidRDefault="00CA41B9" w:rsidP="00CA41B9">
      <w:pPr>
        <w:spacing w:after="0" w:line="240" w:lineRule="auto"/>
        <w:jc w:val="center"/>
        <w:rPr>
          <w:rFonts w:ascii="Calibri Light" w:eastAsia="Times New Roman" w:hAnsi="Calibri Light" w:cs="Times New Roman"/>
          <w:b/>
          <w:bCs/>
          <w:color w:val="1F4E79"/>
          <w:kern w:val="0"/>
          <w:sz w:val="40"/>
          <w:szCs w:val="40"/>
          <w:lang w:val="en-US"/>
          <w14:ligatures w14:val="none"/>
        </w:rPr>
      </w:pPr>
      <w:r w:rsidRPr="0016355A">
        <w:rPr>
          <w:rFonts w:ascii="Calibri Light" w:eastAsia="Times New Roman" w:hAnsi="Calibri Light" w:cs="Times New Roman"/>
          <w:b/>
          <w:bCs/>
          <w:color w:val="1F4E79"/>
          <w:kern w:val="0"/>
          <w:sz w:val="40"/>
          <w:szCs w:val="40"/>
          <w:lang w:val="en-US"/>
          <w14:ligatures w14:val="none"/>
        </w:rPr>
        <w:t xml:space="preserve">Autism-Europe submission </w:t>
      </w:r>
      <w:r>
        <w:rPr>
          <w:rFonts w:ascii="Calibri Light" w:eastAsia="Times New Roman" w:hAnsi="Calibri Light" w:cs="Times New Roman"/>
          <w:b/>
          <w:bCs/>
          <w:color w:val="1F4E79"/>
          <w:kern w:val="0"/>
          <w:sz w:val="40"/>
          <w:szCs w:val="40"/>
          <w:lang w:val="en-US"/>
          <w14:ligatures w14:val="none"/>
        </w:rPr>
        <w:t>to</w:t>
      </w:r>
      <w:r w:rsidRPr="00082159">
        <w:rPr>
          <w:rFonts w:ascii="Calibri Light" w:eastAsia="Times New Roman" w:hAnsi="Calibri Light" w:cs="Times New Roman"/>
          <w:b/>
          <w:bCs/>
          <w:color w:val="1F4E79"/>
          <w:kern w:val="0"/>
          <w:sz w:val="40"/>
          <w:szCs w:val="40"/>
          <w:lang w:val="en-US"/>
          <w14:ligatures w14:val="none"/>
        </w:rPr>
        <w:t xml:space="preserve"> the </w:t>
      </w:r>
      <w:r>
        <w:rPr>
          <w:rFonts w:ascii="Calibri Light" w:eastAsia="Times New Roman" w:hAnsi="Calibri Light" w:cs="Times New Roman"/>
          <w:b/>
          <w:bCs/>
          <w:color w:val="1F4E79"/>
          <w:kern w:val="0"/>
          <w:sz w:val="40"/>
          <w:szCs w:val="40"/>
          <w:lang w:val="en-US"/>
          <w14:ligatures w14:val="none"/>
        </w:rPr>
        <w:t xml:space="preserve">report: </w:t>
      </w:r>
      <w:r w:rsidRPr="00CA41B9">
        <w:rPr>
          <w:rFonts w:ascii="Calibri Light" w:eastAsia="Times New Roman" w:hAnsi="Calibri Light" w:cs="Times New Roman"/>
          <w:b/>
          <w:bCs/>
          <w:color w:val="1F4E79"/>
          <w:kern w:val="0"/>
          <w:sz w:val="40"/>
          <w:szCs w:val="40"/>
          <w:lang w:val="en-US"/>
          <w14:ligatures w14:val="none"/>
        </w:rPr>
        <w:t>Breaking the Glass Ceiling: Equal Participation of Autistic Persons in Political Life</w:t>
      </w:r>
    </w:p>
    <w:p w14:paraId="179694BE" w14:textId="77777777" w:rsidR="00CA41B9" w:rsidRPr="00CA41B9" w:rsidRDefault="00CA41B9" w:rsidP="00CA41B9">
      <w:pPr>
        <w:spacing w:after="0" w:line="240" w:lineRule="auto"/>
        <w:rPr>
          <w:rFonts w:ascii="Calibri Light" w:eastAsia="Times New Roman" w:hAnsi="Calibri Light" w:cs="Times New Roman"/>
          <w:b/>
          <w:bCs/>
          <w:color w:val="1F4E79"/>
          <w:kern w:val="0"/>
          <w:sz w:val="40"/>
          <w:szCs w:val="40"/>
          <w14:ligatures w14:val="none"/>
        </w:rPr>
      </w:pPr>
    </w:p>
    <w:p w14:paraId="43F56462" w14:textId="77777777" w:rsidR="00CA41B9" w:rsidRPr="00CA41B9" w:rsidRDefault="00CA41B9" w:rsidP="00CA41B9">
      <w:pPr>
        <w:numPr>
          <w:ilvl w:val="0"/>
          <w:numId w:val="1"/>
        </w:numPr>
        <w:rPr>
          <w:b/>
          <w:bCs/>
        </w:rPr>
      </w:pPr>
      <w:r w:rsidRPr="00CA41B9">
        <w:rPr>
          <w:b/>
          <w:bCs/>
        </w:rPr>
        <w:t>Introduction</w:t>
      </w:r>
    </w:p>
    <w:p w14:paraId="3818ECF4" w14:textId="77777777" w:rsidR="00CA41B9" w:rsidRPr="00CA41B9" w:rsidRDefault="00CA41B9" w:rsidP="00CA41B9">
      <w:r w:rsidRPr="00CA41B9">
        <w:t>Autism-Europe (AE) is an umbrella organisation representing more than 90 member associations across 40 countries, advocating for the rights and inclusion of autistic persons and their families. Guided by the UN Convention on the Rights of Persons with Disabilities (CRPD), particularly Article 29, AE works to ensure autistic persons’ equal participation in political and public life.</w:t>
      </w:r>
    </w:p>
    <w:p w14:paraId="2F470EF4" w14:textId="77777777" w:rsidR="00CA41B9" w:rsidRPr="00CA41B9" w:rsidRDefault="00CA41B9" w:rsidP="00CA41B9">
      <w:r w:rsidRPr="00CA41B9">
        <w:t>Despite significant commitments at EU and national levels to improve accessibility and inclusion, autistic persons remain severely underrepresented in political life, both as voters and as candidates. Autism-Europe coordinated the collection of data through a detailed online survey conducted among individuals from our member organisations across European Union member states which confirms that barriers persist across all stages of the political process, from access to information and campaign engagement, to candidacy and holding public office.</w:t>
      </w:r>
    </w:p>
    <w:p w14:paraId="541576F6" w14:textId="77777777" w:rsidR="00CA41B9" w:rsidRPr="00CA41B9" w:rsidRDefault="00CA41B9" w:rsidP="00CA41B9">
      <w:r w:rsidRPr="00CA41B9">
        <w:t>This submission highlights the systemic barriers autistic people face, the intersecting inequalities that exacerbate exclusion, and the emerging good practices that could guide future reforms across Europe.</w:t>
      </w:r>
    </w:p>
    <w:p w14:paraId="5681B0C7" w14:textId="77777777" w:rsidR="00CA41B9" w:rsidRPr="00CA41B9" w:rsidRDefault="00CA41B9" w:rsidP="00CA41B9"/>
    <w:p w14:paraId="4867B455" w14:textId="77777777" w:rsidR="00CA41B9" w:rsidRPr="00CA41B9" w:rsidRDefault="00CA41B9" w:rsidP="00CA41B9">
      <w:pPr>
        <w:rPr>
          <w:b/>
          <w:bCs/>
        </w:rPr>
      </w:pPr>
      <w:r w:rsidRPr="00CA41B9">
        <w:rPr>
          <w:b/>
          <w:bCs/>
        </w:rPr>
        <w:t>2. Data and representation</w:t>
      </w:r>
    </w:p>
    <w:p w14:paraId="4D7E0C40" w14:textId="794E3024" w:rsidR="00CA41B9" w:rsidRPr="00CA41B9" w:rsidRDefault="00CA41B9" w:rsidP="00CA41B9">
      <w:r w:rsidRPr="00CA41B9">
        <w:t xml:space="preserve">Across the European Union, there is no comprehensive data on the political participation or representation of autistic persons. Existing datasets rarely disaggregate by disability type, and almost never by neurodivergent identity. The </w:t>
      </w:r>
      <w:r w:rsidRPr="00CA41B9">
        <w:rPr>
          <w:i/>
          <w:iCs/>
        </w:rPr>
        <w:t xml:space="preserve">Political participation of people with disabilities </w:t>
      </w:r>
      <w:r w:rsidRPr="00CA41B9">
        <w:t>report 2024 by the FRA noted that even where data collection on disability in elections exists, it largely focuses on physical accessibility and voting infrastructure, not representation, candidacy, or autism incl</w:t>
      </w:r>
      <w:r w:rsidR="00D678B7">
        <w:t>usion.</w:t>
      </w:r>
      <w:r w:rsidRPr="00CA41B9">
        <w:rPr>
          <w:vertAlign w:val="superscript"/>
        </w:rPr>
        <w:footnoteReference w:id="1"/>
      </w:r>
      <w:r w:rsidRPr="00CA41B9">
        <w:t xml:space="preserve"> Official data by the FRA in 2024 show that while nine Member States now collect official data on parliamentarians who self-identify as disabled, an improvement from only four in 2014, there is still no systematic data collection on neurodivergent participation.</w:t>
      </w:r>
      <w:r w:rsidRPr="00CA41B9">
        <w:rPr>
          <w:vertAlign w:val="superscript"/>
        </w:rPr>
        <w:footnoteReference w:id="2"/>
      </w:r>
    </w:p>
    <w:p w14:paraId="77A8D840" w14:textId="77777777" w:rsidR="00CA41B9" w:rsidRPr="00CA41B9" w:rsidRDefault="00CA41B9" w:rsidP="00CA41B9">
      <w:r w:rsidRPr="00CA41B9">
        <w:lastRenderedPageBreak/>
        <w:t>AE’s member survey revealed that while 85% of autistic respondents had voted in at least one national or EU election, only 6% had ever considered running for political office. Further, 78% reported feeling “not represented” or “poorly represented” in political decision-making at local or national levels. Quite notably, fewer than 2% could identify an elected representative who identifies openly as autistic.</w:t>
      </w:r>
    </w:p>
    <w:p w14:paraId="237D09C3" w14:textId="77777777" w:rsidR="00CA41B9" w:rsidRPr="00CA41B9" w:rsidRDefault="00CA41B9" w:rsidP="00CA41B9">
      <w:r w:rsidRPr="00CA41B9">
        <w:t>The FRA data from 2024 indicates that although 62% of Member States now guarantee full participation for persons under guardianship, compared with 44% in 2014,  many continue to impose indirect restrictions on candidacy and office-holding for persons with psychosocial or intellectual disabilities.</w:t>
      </w:r>
      <w:r w:rsidRPr="00CA41B9">
        <w:rPr>
          <w:vertAlign w:val="superscript"/>
        </w:rPr>
        <w:footnoteReference w:id="3"/>
      </w:r>
      <w:r w:rsidRPr="00CA41B9">
        <w:t xml:space="preserve"> These findings are consistent with the EDF’s 2022 Human Rights report which highlights the “</w:t>
      </w:r>
      <w:r w:rsidRPr="00CA41B9">
        <w:rPr>
          <w:i/>
          <w:iCs/>
        </w:rPr>
        <w:t>severe underrepresentation of persons with intellectual and psychosocial disabilities in elected office</w:t>
      </w:r>
      <w:r w:rsidRPr="00CA41B9">
        <w:t>.”</w:t>
      </w:r>
      <w:r w:rsidRPr="00CA41B9">
        <w:rPr>
          <w:vertAlign w:val="superscript"/>
        </w:rPr>
        <w:footnoteReference w:id="4"/>
      </w:r>
      <w:r w:rsidRPr="00CA41B9">
        <w:t xml:space="preserve"> Autistic people remain largely invisible in official political representation data. This invisibility perpetuates a cycle of exclusion, where policies and institutions overlook autistic perspectives.</w:t>
      </w:r>
    </w:p>
    <w:p w14:paraId="0EEC30B8" w14:textId="77777777" w:rsidR="00CA41B9" w:rsidRPr="00CA41B9" w:rsidRDefault="00CA41B9" w:rsidP="00CA41B9"/>
    <w:p w14:paraId="1615C323" w14:textId="77777777" w:rsidR="00CA41B9" w:rsidRPr="00CA41B9" w:rsidRDefault="00CA41B9" w:rsidP="00CA41B9">
      <w:pPr>
        <w:rPr>
          <w:b/>
          <w:bCs/>
        </w:rPr>
      </w:pPr>
      <w:r w:rsidRPr="00CA41B9">
        <w:rPr>
          <w:b/>
          <w:bCs/>
        </w:rPr>
        <w:t xml:space="preserve">3. Legal and </w:t>
      </w:r>
      <w:r w:rsidRPr="00CA41B9">
        <w:rPr>
          <w:b/>
          <w:bCs/>
          <w:lang w:val="en-GB"/>
        </w:rPr>
        <w:t xml:space="preserve">access </w:t>
      </w:r>
      <w:r w:rsidRPr="00CA41B9">
        <w:rPr>
          <w:b/>
          <w:bCs/>
        </w:rPr>
        <w:t>barriers</w:t>
      </w:r>
    </w:p>
    <w:p w14:paraId="5BEBC358" w14:textId="77777777" w:rsidR="00CA41B9" w:rsidRPr="00CA41B9" w:rsidRDefault="00CA41B9" w:rsidP="00CA41B9">
      <w:r w:rsidRPr="00CA41B9">
        <w:t>Legal frameworks across Europe vary widely, but several de facto exclusions persist. Most Member States have removed explicit restrictions on voting for persons under guardianship, yet limitations on candidacy and holding public office remain in place in countries such as Hungary and Bulgaria.</w:t>
      </w:r>
      <w:r w:rsidRPr="00CA41B9">
        <w:rPr>
          <w:vertAlign w:val="superscript"/>
        </w:rPr>
        <w:footnoteReference w:id="5"/>
      </w:r>
      <w:r w:rsidRPr="00CA41B9">
        <w:t xml:space="preserve"> Malta remains the only EU Member State to have entered a reservation to Article 29 of the CRPD, maintaining its right to apply existing electoral legislation concerning voting assistance for persons with disabilities.</w:t>
      </w:r>
      <w:r w:rsidRPr="00CA41B9">
        <w:rPr>
          <w:vertAlign w:val="superscript"/>
        </w:rPr>
        <w:footnoteReference w:id="6"/>
      </w:r>
    </w:p>
    <w:p w14:paraId="7EB1F88E" w14:textId="77777777" w:rsidR="00CA41B9" w:rsidRPr="00CA41B9" w:rsidRDefault="00CA41B9" w:rsidP="00CA41B9">
      <w:r w:rsidRPr="00CA41B9">
        <w:t>At the European level, the 1976 Electoral Act continues to delegate electoral procedures to national laws, leading to inconsistent implementation of CRPD principles.</w:t>
      </w:r>
      <w:r w:rsidRPr="00CA41B9">
        <w:rPr>
          <w:vertAlign w:val="superscript"/>
        </w:rPr>
        <w:footnoteReference w:id="7"/>
      </w:r>
      <w:r w:rsidRPr="00CA41B9">
        <w:t xml:space="preserve"> A 2022 draft legislative act had proposed to align EU election law with the CRPD, including provisions to ensure that persons deprived of legal capacity can participate equally in European elections and receive appropriate support to vote independently or with assistance of their choice.</w:t>
      </w:r>
      <w:r w:rsidRPr="00CA41B9">
        <w:rPr>
          <w:vertAlign w:val="superscript"/>
        </w:rPr>
        <w:footnoteReference w:id="8"/>
      </w:r>
    </w:p>
    <w:p w14:paraId="0C996DE1" w14:textId="77777777" w:rsidR="00CA41B9" w:rsidRPr="00CA41B9" w:rsidRDefault="00CA41B9" w:rsidP="00CA41B9"/>
    <w:p w14:paraId="751901D0" w14:textId="77777777" w:rsidR="00CA41B9" w:rsidRPr="00CA41B9" w:rsidRDefault="00CA41B9" w:rsidP="00CA41B9">
      <w:r w:rsidRPr="00CA41B9">
        <w:lastRenderedPageBreak/>
        <w:t>The European Parliament resolution of 4 October 2023 on harmonising the rights of autistic persons calls on the Commission and the Member States to ensure that autistic persons are empowered and have full access to the justice system and to participate in political and public life.</w:t>
      </w:r>
      <w:r w:rsidRPr="00CA41B9">
        <w:rPr>
          <w:vertAlign w:val="superscript"/>
        </w:rPr>
        <w:footnoteReference w:id="9"/>
      </w:r>
      <w:r w:rsidRPr="00CA41B9">
        <w:t xml:space="preserve"> This reflects the position of the CRPD Committee, which has repeatedly emphasised that all persons, irrespective of impairment or legal status, must enjoy the right to vote and stand for election, and that voting must be fully accessible and supported through reasonable accommodation.</w:t>
      </w:r>
      <w:r w:rsidRPr="00CA41B9">
        <w:rPr>
          <w:vertAlign w:val="superscript"/>
        </w:rPr>
        <w:footnoteReference w:id="10"/>
      </w:r>
    </w:p>
    <w:p w14:paraId="5B6787CA" w14:textId="77777777" w:rsidR="00CA41B9" w:rsidRPr="00CA41B9" w:rsidRDefault="00CA41B9" w:rsidP="00CA41B9">
      <w:r w:rsidRPr="00CA41B9">
        <w:t xml:space="preserve">The </w:t>
      </w:r>
      <w:r w:rsidRPr="00CA41B9">
        <w:rPr>
          <w:i/>
          <w:iCs/>
        </w:rPr>
        <w:t>OSCE/ODIHR Handbook on Observing the Participation of Persons with Disabilities in Elections</w:t>
      </w:r>
      <w:r w:rsidRPr="00CA41B9">
        <w:t xml:space="preserve"> (2017) highlights that legal frameworks must not only ensure the right to vote, but also the right to be elected, to hold office, and to receive reasonable accommodation throughout the political process.</w:t>
      </w:r>
      <w:r w:rsidRPr="00CA41B9">
        <w:rPr>
          <w:vertAlign w:val="superscript"/>
        </w:rPr>
        <w:footnoteReference w:id="11"/>
      </w:r>
      <w:r w:rsidRPr="00CA41B9">
        <w:t xml:space="preserve"> However, AE’s survey found that only 11% of autistic respondents were aware that they had the right to request reasonable accommodation when engaging with political institutions and 60% reported difficulties accessing information about candidates or manifestos in accessible formats such as easy-to-read or plain language. These figures reflect gaps in both legal ambiguity and lack of public information.</w:t>
      </w:r>
    </w:p>
    <w:p w14:paraId="2DD13AB5" w14:textId="77777777" w:rsidR="00CA41B9" w:rsidRPr="00CA41B9" w:rsidRDefault="00CA41B9" w:rsidP="00CA41B9"/>
    <w:p w14:paraId="4EC601ED" w14:textId="77777777" w:rsidR="00CA41B9" w:rsidRPr="00CA41B9" w:rsidRDefault="00CA41B9" w:rsidP="00CA41B9">
      <w:pPr>
        <w:rPr>
          <w:b/>
          <w:bCs/>
        </w:rPr>
      </w:pPr>
      <w:r w:rsidRPr="00CA41B9">
        <w:rPr>
          <w:b/>
          <w:bCs/>
        </w:rPr>
        <w:t>4. Stigma and ableist attitudes</w:t>
      </w:r>
    </w:p>
    <w:p w14:paraId="1D44C893" w14:textId="77777777" w:rsidR="00CA41B9" w:rsidRPr="00CA41B9" w:rsidRDefault="00CA41B9" w:rsidP="00CA41B9">
      <w:r w:rsidRPr="00CA41B9">
        <w:t>Beyond regulatory and accessibility barriers, ableist attitudes and stigma play a central role in excluding autistic persons from political life. Autistic people are frequently perceived as lacking social skills, emotional intelligence or capacity for leadership, stereotypes that are deeply rooted in misconceptions about autism and communication differences.</w:t>
      </w:r>
    </w:p>
    <w:p w14:paraId="72CF8352" w14:textId="77777777" w:rsidR="00CA41B9" w:rsidRPr="00CA41B9" w:rsidRDefault="00CA41B9" w:rsidP="00CA41B9">
      <w:r w:rsidRPr="00CA41B9">
        <w:t>AE’s member organisations report that autistic self-advocates often experience tokenistic inclusion such as being invited to consultations without real decision-making power. This echoes the Special Rapporteur’s observation that “being present at the table has not systematically translated into real influence.”</w:t>
      </w:r>
    </w:p>
    <w:p w14:paraId="1DEDCB6A" w14:textId="77777777" w:rsidR="00CA41B9" w:rsidRPr="00CA41B9" w:rsidRDefault="00CA41B9" w:rsidP="00CA41B9">
      <w:r w:rsidRPr="00CA41B9">
        <w:t xml:space="preserve">The Irish study </w:t>
      </w:r>
      <w:r w:rsidRPr="00CA41B9">
        <w:rPr>
          <w:i/>
          <w:iCs/>
        </w:rPr>
        <w:t>Disability, Diversity and Identity in Ireland’s Local and European Elections 2024</w:t>
      </w:r>
      <w:r w:rsidRPr="00CA41B9">
        <w:t xml:space="preserve"> further reveals that fear of harassment and violence, especially among </w:t>
      </w:r>
      <w:r w:rsidRPr="00CA41B9">
        <w:lastRenderedPageBreak/>
        <w:t>disabled women and LGBTQI+ candidates, is a major deterrent to participation.</w:t>
      </w:r>
      <w:r w:rsidRPr="00CA41B9">
        <w:rPr>
          <w:vertAlign w:val="superscript"/>
        </w:rPr>
        <w:footnoteReference w:id="12"/>
      </w:r>
      <w:r w:rsidRPr="00CA41B9">
        <w:t xml:space="preserve"> Although this research was Ireland-specific, the themes, such as exposure to online abuse, lack of security, and pressure to “mask” one’s disability resonate across Europe.</w:t>
      </w:r>
    </w:p>
    <w:p w14:paraId="46A16744" w14:textId="77777777" w:rsidR="00CA41B9" w:rsidRPr="00CA41B9" w:rsidRDefault="00CA41B9" w:rsidP="00CA41B9">
      <w:r w:rsidRPr="00CA41B9">
        <w:t>The combination of stigma, lack of accommodations, and intersectional discrimination makes political engagement inaccessible for many autistic people, particularly autistic women, LGBTQI+ persons, and migrants.</w:t>
      </w:r>
    </w:p>
    <w:p w14:paraId="390379AA" w14:textId="77777777" w:rsidR="00CA41B9" w:rsidRPr="00CA41B9" w:rsidRDefault="00CA41B9" w:rsidP="00CA41B9"/>
    <w:p w14:paraId="555F400E" w14:textId="77777777" w:rsidR="00CA41B9" w:rsidRPr="00CA41B9" w:rsidRDefault="00CA41B9" w:rsidP="00CA41B9">
      <w:r w:rsidRPr="00CA41B9">
        <w:rPr>
          <w:b/>
          <w:bCs/>
        </w:rPr>
        <w:t>5. Economic and practical barriers</w:t>
      </w:r>
    </w:p>
    <w:p w14:paraId="422935FF" w14:textId="77777777" w:rsidR="00CA41B9" w:rsidRPr="00CA41B9" w:rsidRDefault="00CA41B9" w:rsidP="00CA41B9">
      <w:r w:rsidRPr="00CA41B9">
        <w:t>Running for election requires financial resources that many autistic people lack.</w:t>
      </w:r>
      <w:r w:rsidRPr="00CA41B9">
        <w:br/>
        <w:t>The Irish study found that candidates incurred additional costs for accessibility and safety (e.g., transport, personal assistance). Studies show that between 75-90% of autistic adults are unemployed.</w:t>
      </w:r>
      <w:r w:rsidRPr="00CA41B9">
        <w:rPr>
          <w:vertAlign w:val="superscript"/>
        </w:rPr>
        <w:footnoteReference w:id="13"/>
      </w:r>
      <w:r w:rsidRPr="00CA41B9">
        <w:t xml:space="preserve">  In Europe this means approximately only 20% of autistic adults have some form of employment, mainly sheltered or supported employment, compared to 51.3% of persons with disabilities and to 71.5% of persons without disabilities as reported by Eurostat. Campaign finance mechanisms rarely account for these disparities or cover disability-related costs, effectively excluding candidates with limited income or access to party support.</w:t>
      </w:r>
    </w:p>
    <w:p w14:paraId="42095A78" w14:textId="77777777" w:rsidR="00CA41B9" w:rsidRPr="00CA41B9" w:rsidRDefault="00CA41B9" w:rsidP="00CA41B9"/>
    <w:p w14:paraId="7BE07778" w14:textId="77777777" w:rsidR="00CA41B9" w:rsidRPr="00CA41B9" w:rsidRDefault="00CA41B9" w:rsidP="00CA41B9">
      <w:pPr>
        <w:rPr>
          <w:b/>
          <w:bCs/>
        </w:rPr>
      </w:pPr>
      <w:r w:rsidRPr="00CA41B9">
        <w:rPr>
          <w:b/>
          <w:bCs/>
        </w:rPr>
        <w:t>6. Promising practices and examples</w:t>
      </w:r>
    </w:p>
    <w:p w14:paraId="6D543A8A" w14:textId="77777777" w:rsidR="00CA41B9" w:rsidRPr="00CA41B9" w:rsidRDefault="00CA41B9" w:rsidP="00CA41B9">
      <w:r w:rsidRPr="00CA41B9">
        <w:t>Although barriers remain, several practices across Europe show that inclusion is achievable with deliberate planning, funding, and cooperation. In France, the “Facile à Lire et à Comprendre” (Easy to Read and Understand) initiative has been expanded to municipal election materials, improving cognitive accessibility for autistic and intellectually disabled voters.</w:t>
      </w:r>
      <w:r w:rsidRPr="00CA41B9">
        <w:rPr>
          <w:vertAlign w:val="superscript"/>
        </w:rPr>
        <w:footnoteReference w:id="14"/>
      </w:r>
      <w:r w:rsidRPr="00CA41B9">
        <w:t xml:space="preserve"> In Spain, collaboration between disability organisations and local authorities has resulted in accessibility audits of polling stations and the introduction of quiet voting hours for neurodivergent voters.</w:t>
      </w:r>
      <w:r w:rsidRPr="00CA41B9">
        <w:rPr>
          <w:vertAlign w:val="superscript"/>
        </w:rPr>
        <w:footnoteReference w:id="15"/>
      </w:r>
    </w:p>
    <w:p w14:paraId="5356BB64" w14:textId="77777777" w:rsidR="00CA41B9" w:rsidRPr="00CA41B9" w:rsidRDefault="00CA41B9" w:rsidP="00CA41B9"/>
    <w:p w14:paraId="415FBD86" w14:textId="77777777" w:rsidR="00CA41B9" w:rsidRPr="00CA41B9" w:rsidRDefault="00CA41B9" w:rsidP="00CA41B9">
      <w:pPr>
        <w:rPr>
          <w:b/>
          <w:bCs/>
        </w:rPr>
      </w:pPr>
      <w:r w:rsidRPr="00CA41B9">
        <w:rPr>
          <w:b/>
          <w:bCs/>
        </w:rPr>
        <w:t>7. Recommendations</w:t>
      </w:r>
    </w:p>
    <w:p w14:paraId="10F6A17D" w14:textId="77777777" w:rsidR="00CA41B9" w:rsidRPr="00CA41B9" w:rsidRDefault="00CA41B9" w:rsidP="00CA41B9">
      <w:r w:rsidRPr="00CA41B9">
        <w:t>Based on evidence from AE’s survey and the broader European research landscape, Autism-Europe recommends the following:</w:t>
      </w:r>
    </w:p>
    <w:p w14:paraId="609DE9C9" w14:textId="77777777" w:rsidR="00CA41B9" w:rsidRPr="00CA41B9" w:rsidRDefault="00CA41B9" w:rsidP="00CA41B9">
      <w:r w:rsidRPr="00CA41B9">
        <w:rPr>
          <w:b/>
          <w:bCs/>
        </w:rPr>
        <w:t>States and Electoral Authorities</w:t>
      </w:r>
    </w:p>
    <w:p w14:paraId="251EB8C3" w14:textId="77777777" w:rsidR="00CA41B9" w:rsidRPr="00CA41B9" w:rsidRDefault="00CA41B9" w:rsidP="00CA41B9">
      <w:r w:rsidRPr="00CA41B9">
        <w:t>States and electoral authorities should commit to collecting and publishing disaggregated data on the participation of persons with disabilities, including autism, through voluntary self-identification and appropriate safeguards. Legal frameworks should explicitly affirm the right of autistic persons to stand for election and hold public office, ensuring that reasonable accommodations are provided at every stage of the political process. Governments should establish dedicated funding to offset disability-related campaign costs and make electoral information fully accessible, including through plain language, easy-to-read materials, and sensory-friendly voting environments. They must also strengthen consultation mechanisms with DPOs, including autism-specific organisations, in the design and monitoring of electoral systems.</w:t>
      </w:r>
    </w:p>
    <w:p w14:paraId="26A2C42B" w14:textId="77777777" w:rsidR="00CA41B9" w:rsidRPr="00CA41B9" w:rsidRDefault="00CA41B9" w:rsidP="00CA41B9">
      <w:r w:rsidRPr="00CA41B9">
        <w:rPr>
          <w:b/>
          <w:bCs/>
        </w:rPr>
        <w:t>Political Parties</w:t>
      </w:r>
    </w:p>
    <w:p w14:paraId="4D4C695B" w14:textId="77777777" w:rsidR="00CA41B9" w:rsidRPr="00CA41B9" w:rsidRDefault="00CA41B9" w:rsidP="00CA41B9">
      <w:r w:rsidRPr="00CA41B9">
        <w:t>Political parties must address the exclusion of autistic persons as a matter of democratic equality. They should adopt accessibility and inclusion policies for communication, meetings, and candidate support, and implement mentoring programmes for autistic and neurodivergent members interested in political careers. Training on ableism and neurodiversity awareness should be embedded within all party structures, alongside transparent and inclusive candidate selection procedures.</w:t>
      </w:r>
    </w:p>
    <w:p w14:paraId="0772A9B2" w14:textId="77777777" w:rsidR="00CA41B9" w:rsidRPr="00CA41B9" w:rsidRDefault="00CA41B9" w:rsidP="00CA41B9">
      <w:pPr>
        <w:rPr>
          <w:b/>
          <w:bCs/>
        </w:rPr>
      </w:pPr>
      <w:r w:rsidRPr="00CA41B9">
        <w:rPr>
          <w:b/>
          <w:bCs/>
        </w:rPr>
        <w:t>Civil Society and DPOs</w:t>
      </w:r>
    </w:p>
    <w:p w14:paraId="54E4B8C7" w14:textId="77777777" w:rsidR="00CA41B9" w:rsidRPr="00CA41B9" w:rsidRDefault="00CA41B9" w:rsidP="00CA41B9">
      <w:r w:rsidRPr="00CA41B9">
        <w:t>Civil society organisations, particularly DPOs, should develop intersectional leadership and political education programmes for autistic persons, including women and youth. They should also strengthen alliances between autism organisations and other equality movements — such as those representing women, LGBTQ+ people, and migrants — to promote solidarity and shared advocacy for full implementation of Article 29 CRPD.</w:t>
      </w:r>
    </w:p>
    <w:p w14:paraId="65917D16" w14:textId="77777777" w:rsidR="00CA41B9" w:rsidRPr="00CA41B9" w:rsidRDefault="00CA41B9" w:rsidP="00CA41B9">
      <w:r w:rsidRPr="00CA41B9">
        <w:rPr>
          <w:b/>
          <w:bCs/>
        </w:rPr>
        <w:t>European Union</w:t>
      </w:r>
    </w:p>
    <w:p w14:paraId="1978AA2F" w14:textId="77777777" w:rsidR="00CA41B9" w:rsidRPr="00CA41B9" w:rsidRDefault="00CA41B9" w:rsidP="00CA41B9">
      <w:r w:rsidRPr="00CA41B9">
        <w:t xml:space="preserve">At the European level, it is imperative that the EU adopt a comprehensive legal instrument ensuring equal political participation for persons with disabilities. This could take the form of a Council Recommendation or a reformed Electoral Act aligned with the CRPD, clarifying the rights of all persons, regardless of legal capacity status, to vote and stand for election. As the European Disability Forum has argued, the EU must ensure that political rights are harmonised across Member States and guaranteed </w:t>
      </w:r>
      <w:r w:rsidRPr="00CA41B9">
        <w:lastRenderedPageBreak/>
        <w:t>equally for all citizens, including those whose legal capacity has been partially or fully restricted.</w:t>
      </w:r>
      <w:r w:rsidRPr="00CA41B9">
        <w:rPr>
          <w:vertAlign w:val="superscript"/>
        </w:rPr>
        <w:footnoteReference w:id="16"/>
      </w:r>
      <w:r w:rsidRPr="00CA41B9">
        <w:t xml:space="preserve"> The EU should also establish common accessibility standards for elections, covering information, campaign materials, and candidate registration, and should support comparative research on neurodiversity and political participation.</w:t>
      </w:r>
    </w:p>
    <w:p w14:paraId="452583D9" w14:textId="77777777" w:rsidR="00CA41B9" w:rsidRPr="00CA41B9" w:rsidRDefault="00CA41B9" w:rsidP="00CA41B9">
      <w:pPr>
        <w:rPr>
          <w:b/>
          <w:bCs/>
        </w:rPr>
      </w:pPr>
      <w:r w:rsidRPr="00CA41B9">
        <w:rPr>
          <w:b/>
          <w:bCs/>
        </w:rPr>
        <w:t>8. Conclusion</w:t>
      </w:r>
    </w:p>
    <w:p w14:paraId="4B3FED34" w14:textId="77777777" w:rsidR="00CA41B9" w:rsidRPr="00CA41B9" w:rsidRDefault="00CA41B9" w:rsidP="00CA41B9">
      <w:r w:rsidRPr="00CA41B9">
        <w:t>Autistic people in Europe continue to face significant, often invisible, barriers to political participation. These barriers are not merely logistical but deeply structural and rooted in ableist norms, inaccessible systems, and a lack of institutional support.</w:t>
      </w:r>
      <w:r w:rsidRPr="00CA41B9">
        <w:br/>
        <w:t>Ensuring equal participation is not only a question of access but of representation, recognition, and power. The right of autistic persons to stand for election and hold office must be realised not as an exception, but as a standard of inclusive democracy.</w:t>
      </w:r>
    </w:p>
    <w:p w14:paraId="6E7BC7C4" w14:textId="77777777" w:rsidR="00CA41B9" w:rsidRPr="00CA41B9" w:rsidRDefault="00CA41B9" w:rsidP="00CA41B9">
      <w:r w:rsidRPr="00CA41B9">
        <w:t>Autism-Europe calls upon the Special Rapporteur to recognise the unique challenges and contributions of autistic persons in political life, and to ensure that neurodiversity is fully integrated into the global agenda on disability rights and democratic participation.</w:t>
      </w:r>
    </w:p>
    <w:p w14:paraId="1DABAF47" w14:textId="77777777" w:rsidR="00CA41B9" w:rsidRPr="00CA41B9" w:rsidRDefault="00CA41B9" w:rsidP="00CA41B9"/>
    <w:p w14:paraId="102DD7CA" w14:textId="77777777" w:rsidR="00CA41B9" w:rsidRPr="00CA41B9" w:rsidRDefault="00CA41B9"/>
    <w:sectPr w:rsidR="00CA41B9" w:rsidRPr="00CA41B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83FD4" w14:textId="77777777" w:rsidR="00CA41B9" w:rsidRDefault="00CA41B9" w:rsidP="00CA41B9">
      <w:pPr>
        <w:spacing w:after="0" w:line="240" w:lineRule="auto"/>
      </w:pPr>
      <w:r>
        <w:separator/>
      </w:r>
    </w:p>
  </w:endnote>
  <w:endnote w:type="continuationSeparator" w:id="0">
    <w:p w14:paraId="1CC93115" w14:textId="77777777" w:rsidR="00CA41B9" w:rsidRDefault="00CA41B9" w:rsidP="00CA4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294330"/>
      <w:docPartObj>
        <w:docPartGallery w:val="Page Numbers (Bottom of Page)"/>
        <w:docPartUnique/>
      </w:docPartObj>
    </w:sdtPr>
    <w:sdtEndPr>
      <w:rPr>
        <w:noProof/>
      </w:rPr>
    </w:sdtEndPr>
    <w:sdtContent>
      <w:p w14:paraId="38FAB408" w14:textId="56E231DB" w:rsidR="00D678B7" w:rsidRDefault="00D678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53D033" w14:textId="77777777" w:rsidR="00D678B7" w:rsidRDefault="00D67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923E4" w14:textId="77777777" w:rsidR="00CA41B9" w:rsidRDefault="00CA41B9" w:rsidP="00CA41B9">
      <w:pPr>
        <w:spacing w:after="0" w:line="240" w:lineRule="auto"/>
      </w:pPr>
      <w:r>
        <w:separator/>
      </w:r>
    </w:p>
  </w:footnote>
  <w:footnote w:type="continuationSeparator" w:id="0">
    <w:p w14:paraId="4BFFE4E6" w14:textId="77777777" w:rsidR="00CA41B9" w:rsidRDefault="00CA41B9" w:rsidP="00CA41B9">
      <w:pPr>
        <w:spacing w:after="0" w:line="240" w:lineRule="auto"/>
      </w:pPr>
      <w:r>
        <w:continuationSeparator/>
      </w:r>
    </w:p>
  </w:footnote>
  <w:footnote w:id="1">
    <w:p w14:paraId="74871FB1" w14:textId="77777777" w:rsidR="00CA41B9" w:rsidRPr="00B03E83" w:rsidRDefault="00CA41B9" w:rsidP="00CA41B9">
      <w:pPr>
        <w:pStyle w:val="FootnoteText"/>
        <w:rPr>
          <w:lang w:val="en-IE"/>
        </w:rPr>
      </w:pPr>
      <w:r>
        <w:rPr>
          <w:rStyle w:val="FootnoteReference"/>
        </w:rPr>
        <w:footnoteRef/>
      </w:r>
      <w:r>
        <w:t xml:space="preserve"> </w:t>
      </w:r>
      <w:r w:rsidRPr="00E61255">
        <w:t xml:space="preserve">European Union Agency for Fundamental Rights, </w:t>
      </w:r>
      <w:r w:rsidRPr="00E61255">
        <w:rPr>
          <w:i/>
          <w:iCs/>
        </w:rPr>
        <w:t>Political Participation of People with Disabilities – New Developments</w:t>
      </w:r>
      <w:r w:rsidRPr="00E61255">
        <w:t xml:space="preserve"> (Vienna: FRA, May 2024)</w:t>
      </w:r>
      <w:r>
        <w:t xml:space="preserve"> </w:t>
      </w:r>
      <w:hyperlink r:id="rId1" w:tgtFrame="_new" w:history="1">
        <w:r w:rsidRPr="00E61255">
          <w:rPr>
            <w:rStyle w:val="Hyperlink"/>
          </w:rPr>
          <w:t>https://fra.europa.eu/en/publication/2024/political-participation?page=1</w:t>
        </w:r>
      </w:hyperlink>
      <w:r w:rsidRPr="00E61255">
        <w:t>.</w:t>
      </w:r>
    </w:p>
  </w:footnote>
  <w:footnote w:id="2">
    <w:p w14:paraId="7ED7ACA7" w14:textId="77777777" w:rsidR="00CA41B9" w:rsidRPr="00FC2B8D" w:rsidRDefault="00CA41B9" w:rsidP="00CA41B9">
      <w:pPr>
        <w:pStyle w:val="FootnoteText"/>
      </w:pPr>
      <w:r>
        <w:rPr>
          <w:rStyle w:val="FootnoteReference"/>
        </w:rPr>
        <w:footnoteRef/>
      </w:r>
      <w:r>
        <w:t xml:space="preserve"> </w:t>
      </w:r>
      <w:r w:rsidRPr="00661801">
        <w:t>FRA, Indicators on the Right to Political Participation of People with Disabilities (2024).</w:t>
      </w:r>
    </w:p>
  </w:footnote>
  <w:footnote w:id="3">
    <w:p w14:paraId="33077D7A" w14:textId="77777777" w:rsidR="00CA41B9" w:rsidRPr="00B8183D" w:rsidRDefault="00CA41B9" w:rsidP="00CA41B9">
      <w:pPr>
        <w:pStyle w:val="FootnoteText"/>
      </w:pPr>
      <w:r>
        <w:rPr>
          <w:rStyle w:val="FootnoteReference"/>
        </w:rPr>
        <w:footnoteRef/>
      </w:r>
      <w:r>
        <w:t xml:space="preserve"> ibid</w:t>
      </w:r>
    </w:p>
  </w:footnote>
  <w:footnote w:id="4">
    <w:p w14:paraId="41658012" w14:textId="77777777" w:rsidR="00CA41B9" w:rsidRPr="00D95D0F" w:rsidRDefault="00CA41B9" w:rsidP="00CA41B9">
      <w:pPr>
        <w:pStyle w:val="FootnoteText"/>
        <w:rPr>
          <w:lang w:val="en-IE"/>
        </w:rPr>
      </w:pPr>
      <w:r>
        <w:rPr>
          <w:rStyle w:val="FootnoteReference"/>
        </w:rPr>
        <w:footnoteRef/>
      </w:r>
      <w:r>
        <w:t xml:space="preserve"> </w:t>
      </w:r>
      <w:r w:rsidRPr="00D95D0F">
        <w:t xml:space="preserve">European Disability Forum, </w:t>
      </w:r>
      <w:r w:rsidRPr="00D95D0F">
        <w:rPr>
          <w:i/>
          <w:iCs/>
        </w:rPr>
        <w:t>European Human Rights Report Issue 6 – 2022</w:t>
      </w:r>
      <w:r w:rsidRPr="00D95D0F">
        <w:t xml:space="preserve"> (Vienna: EDF, October 2022), , </w:t>
      </w:r>
      <w:hyperlink r:id="rId2" w:tgtFrame="_new" w:history="1">
        <w:r w:rsidRPr="00D95D0F">
          <w:rPr>
            <w:rStyle w:val="Hyperlink"/>
          </w:rPr>
          <w:t>https://www.edf-feph.org/content/uploads/2022/10/edf_hr_report_issue_6_2022_accessible.pdf</w:t>
        </w:r>
      </w:hyperlink>
      <w:r w:rsidRPr="00D95D0F">
        <w:t>.</w:t>
      </w:r>
    </w:p>
  </w:footnote>
  <w:footnote w:id="5">
    <w:p w14:paraId="6DEF08B4" w14:textId="77777777" w:rsidR="00CA41B9" w:rsidRPr="00E870EC" w:rsidRDefault="00CA41B9" w:rsidP="00CA41B9">
      <w:pPr>
        <w:pStyle w:val="FootnoteText"/>
      </w:pPr>
      <w:r>
        <w:rPr>
          <w:rStyle w:val="FootnoteReference"/>
        </w:rPr>
        <w:footnoteRef/>
      </w:r>
      <w:r>
        <w:t xml:space="preserve"> </w:t>
      </w:r>
      <w:r w:rsidRPr="00E870EC">
        <w:t xml:space="preserve">ECtHR, </w:t>
      </w:r>
      <w:r w:rsidRPr="00E870EC">
        <w:rPr>
          <w:i/>
          <w:iCs/>
        </w:rPr>
        <w:t>Alajos Kiss v. Hungary</w:t>
      </w:r>
      <w:r w:rsidRPr="00E870EC">
        <w:t xml:space="preserve">, App. No. 38832/06; </w:t>
      </w:r>
      <w:r w:rsidRPr="00E870EC">
        <w:rPr>
          <w:i/>
          <w:iCs/>
        </w:rPr>
        <w:t>Anatoliy Marinov v. Bulgaria</w:t>
      </w:r>
      <w:r w:rsidRPr="00E870EC">
        <w:t>, App. No. 26081/17.</w:t>
      </w:r>
    </w:p>
  </w:footnote>
  <w:footnote w:id="6">
    <w:p w14:paraId="062DDD40" w14:textId="77777777" w:rsidR="00CA41B9" w:rsidRPr="00846C97" w:rsidRDefault="00CA41B9" w:rsidP="00CA41B9">
      <w:pPr>
        <w:pStyle w:val="FootnoteText"/>
      </w:pPr>
      <w:r>
        <w:rPr>
          <w:rStyle w:val="FootnoteReference"/>
        </w:rPr>
        <w:footnoteRef/>
      </w:r>
      <w:r>
        <w:t xml:space="preserve"> </w:t>
      </w:r>
      <w:r w:rsidRPr="009F2353">
        <w:t>UN Treaty Collection, Malta Reservation to Article 29 of the CRPD.</w:t>
      </w:r>
    </w:p>
  </w:footnote>
  <w:footnote w:id="7">
    <w:p w14:paraId="288D9D78" w14:textId="77777777" w:rsidR="00CA41B9" w:rsidRPr="001F2AB3" w:rsidRDefault="00CA41B9" w:rsidP="00CA41B9">
      <w:pPr>
        <w:pStyle w:val="FootnoteText"/>
      </w:pPr>
      <w:r>
        <w:rPr>
          <w:rStyle w:val="FootnoteReference"/>
        </w:rPr>
        <w:footnoteRef/>
      </w:r>
      <w:r>
        <w:t xml:space="preserve"> </w:t>
      </w:r>
      <w:r w:rsidRPr="004B126F">
        <w:rPr>
          <w:i/>
          <w:iCs/>
        </w:rPr>
        <w:t>Act concerning the election of the representatives of the Assembly by direct universal suffrage</w:t>
      </w:r>
      <w:r w:rsidRPr="004B126F">
        <w:t xml:space="preserve"> [1976] OJ L 278/5, </w:t>
      </w:r>
      <w:hyperlink r:id="rId3" w:history="1">
        <w:r w:rsidRPr="006D387D">
          <w:rPr>
            <w:rStyle w:val="Hyperlink"/>
          </w:rPr>
          <w:t>https://eur-lex.europa.eu/legal-content/EN/TXT/?uri=CELEX%3A41976X1008</w:t>
        </w:r>
      </w:hyperlink>
      <w:r>
        <w:t xml:space="preserve"> </w:t>
      </w:r>
    </w:p>
  </w:footnote>
  <w:footnote w:id="8">
    <w:p w14:paraId="5BDEC76E" w14:textId="77777777" w:rsidR="00CA41B9" w:rsidRPr="001F2AB3" w:rsidRDefault="00CA41B9" w:rsidP="00CA41B9">
      <w:pPr>
        <w:pStyle w:val="FootnoteText"/>
      </w:pPr>
      <w:r>
        <w:rPr>
          <w:rStyle w:val="FootnoteReference"/>
        </w:rPr>
        <w:footnoteRef/>
      </w:r>
      <w:r>
        <w:t xml:space="preserve"> </w:t>
      </w:r>
      <w:r w:rsidRPr="000F258C">
        <w:t xml:space="preserve">European Parliament, “Legislative Resolution of 3 May 2022 on the Proposal for a Council Regulation on the Election of the Members of the European Parliament by Direct Universal Suffrage” (OJ C 465, 6 December 2022) (Regulation No. 52022AP0129), EUR-Lex. </w:t>
      </w:r>
      <w:hyperlink r:id="rId4" w:tgtFrame="_new" w:history="1">
        <w:r w:rsidRPr="000F258C">
          <w:rPr>
            <w:rStyle w:val="Hyperlink"/>
          </w:rPr>
          <w:t>https://eur-lex.europa.eu/legal-content/EN/TXT/?uri=oj:JOC_2022_465_R_0018</w:t>
        </w:r>
      </w:hyperlink>
      <w:r w:rsidRPr="000F258C">
        <w:t>.</w:t>
      </w:r>
    </w:p>
  </w:footnote>
  <w:footnote w:id="9">
    <w:p w14:paraId="0C95A1B4" w14:textId="77777777" w:rsidR="00CA41B9" w:rsidRPr="008D27A0" w:rsidRDefault="00CA41B9" w:rsidP="00CA41B9">
      <w:pPr>
        <w:pStyle w:val="FootnoteText"/>
      </w:pPr>
      <w:r>
        <w:rPr>
          <w:rStyle w:val="FootnoteReference"/>
        </w:rPr>
        <w:footnoteRef/>
      </w:r>
      <w:r>
        <w:t xml:space="preserve"> </w:t>
      </w:r>
      <w:r w:rsidRPr="00655EAF">
        <w:t xml:space="preserve">European Parliament, </w:t>
      </w:r>
      <w:r w:rsidRPr="00655EAF">
        <w:rPr>
          <w:i/>
          <w:iCs/>
        </w:rPr>
        <w:t>Resolution of 4 October 2023 on Harmonising the Rights of Autistic Persons</w:t>
      </w:r>
      <w:r w:rsidRPr="00655EAF">
        <w:t xml:space="preserve"> (2023/2728(RSP)) [2024] OJ C 1181</w:t>
      </w:r>
      <w:r w:rsidRPr="00820A44">
        <w:t xml:space="preserve"> </w:t>
      </w:r>
      <w:hyperlink r:id="rId5" w:history="1">
        <w:r w:rsidRPr="006D387D">
          <w:rPr>
            <w:rStyle w:val="Hyperlink"/>
          </w:rPr>
          <w:t>https://eur-lex.europa.eu/eli/C/2024/1181/oj/eng</w:t>
        </w:r>
      </w:hyperlink>
      <w:r>
        <w:t xml:space="preserve"> </w:t>
      </w:r>
    </w:p>
  </w:footnote>
  <w:footnote w:id="10">
    <w:p w14:paraId="63692897" w14:textId="77777777" w:rsidR="00CA41B9" w:rsidRPr="008D27A0" w:rsidRDefault="00CA41B9" w:rsidP="00CA41B9">
      <w:pPr>
        <w:pStyle w:val="FootnoteText"/>
      </w:pPr>
      <w:r>
        <w:rPr>
          <w:rStyle w:val="FootnoteReference"/>
        </w:rPr>
        <w:footnoteRef/>
      </w:r>
      <w:r>
        <w:t xml:space="preserve"> </w:t>
      </w:r>
      <w:r w:rsidRPr="00802E34">
        <w:t xml:space="preserve">Committee on the Rights of Persons with Disabilities, </w:t>
      </w:r>
      <w:r w:rsidRPr="00802E34">
        <w:rPr>
          <w:i/>
          <w:iCs/>
        </w:rPr>
        <w:t xml:space="preserve">Concluding observations on the second/third periodic report of </w:t>
      </w:r>
      <w:r>
        <w:rPr>
          <w:i/>
          <w:iCs/>
        </w:rPr>
        <w:t>European Union</w:t>
      </w:r>
      <w:r w:rsidRPr="00802E34">
        <w:t>, CRPD/C/EUR/CO/2-3</w:t>
      </w:r>
      <w:r>
        <w:t xml:space="preserve"> </w:t>
      </w:r>
      <w:hyperlink r:id="rId6" w:history="1">
        <w:r w:rsidRPr="006D387D">
          <w:rPr>
            <w:rStyle w:val="Hyperlink"/>
          </w:rPr>
          <w:t>https://tbinternet.ohchr.org/_layouts/15/treatybodyexternal/Download.aspx?symbolno=CRPD%2FC%2FEUR%2FCO%2F2-3&amp;Lang=en</w:t>
        </w:r>
      </w:hyperlink>
      <w:r>
        <w:t xml:space="preserve"> </w:t>
      </w:r>
    </w:p>
  </w:footnote>
  <w:footnote w:id="11">
    <w:p w14:paraId="54471D85" w14:textId="77777777" w:rsidR="00CA41B9" w:rsidRPr="00E27CD0" w:rsidRDefault="00CA41B9" w:rsidP="00CA41B9">
      <w:pPr>
        <w:pStyle w:val="FootnoteText"/>
        <w:rPr>
          <w:lang w:val="en-IE"/>
        </w:rPr>
      </w:pPr>
      <w:r>
        <w:rPr>
          <w:rStyle w:val="FootnoteReference"/>
        </w:rPr>
        <w:footnoteRef/>
      </w:r>
      <w:r>
        <w:t xml:space="preserve"> </w:t>
      </w:r>
      <w:r w:rsidRPr="00E27CD0">
        <w:t xml:space="preserve">OSCE Office for Democratic Institutions and Human Rights, </w:t>
      </w:r>
      <w:r w:rsidRPr="00E27CD0">
        <w:rPr>
          <w:i/>
          <w:iCs/>
        </w:rPr>
        <w:t>Handbook on Observing and Promoting the Electoral Participation of Persons with Disabilities</w:t>
      </w:r>
      <w:r w:rsidRPr="00E27CD0">
        <w:t xml:space="preserve"> (Warsaw: OSCE/ODIHR, September 2017)</w:t>
      </w:r>
      <w:r>
        <w:t xml:space="preserve">, </w:t>
      </w:r>
      <w:hyperlink r:id="rId7" w:history="1">
        <w:r w:rsidRPr="005F438B">
          <w:rPr>
            <w:rStyle w:val="Hyperlink"/>
          </w:rPr>
          <w:t>https://www.osce.org/odihr/elections/handbook-observing-people-with-disabilities</w:t>
        </w:r>
      </w:hyperlink>
      <w:r>
        <w:t xml:space="preserve"> </w:t>
      </w:r>
    </w:p>
  </w:footnote>
  <w:footnote w:id="12">
    <w:p w14:paraId="47444A0A" w14:textId="77777777" w:rsidR="00CA41B9" w:rsidRPr="00D50D92" w:rsidRDefault="00CA41B9" w:rsidP="00CA41B9">
      <w:pPr>
        <w:pStyle w:val="FootnoteText"/>
        <w:rPr>
          <w:lang w:val="en-IE"/>
        </w:rPr>
      </w:pPr>
      <w:r>
        <w:rPr>
          <w:rStyle w:val="FootnoteReference"/>
        </w:rPr>
        <w:footnoteRef/>
      </w:r>
      <w:r>
        <w:t xml:space="preserve"> </w:t>
      </w:r>
      <w:r w:rsidRPr="00D50D92">
        <w:t xml:space="preserve">National Disability Authority, </w:t>
      </w:r>
      <w:r w:rsidRPr="00D50D92">
        <w:rPr>
          <w:i/>
          <w:iCs/>
        </w:rPr>
        <w:t>Disability, Diversity and Identity in Ireland’s Local and European Elections 2024</w:t>
      </w:r>
      <w:r w:rsidRPr="00D50D92">
        <w:t xml:space="preserve"> (Dublin: NDA, 2024), </w:t>
      </w:r>
      <w:hyperlink r:id="rId8" w:tgtFrame="_new" w:history="1">
        <w:r w:rsidRPr="00D50D92">
          <w:rPr>
            <w:rStyle w:val="Hyperlink"/>
          </w:rPr>
          <w:t>https://nda.ie/publications/disability-diversity-and-identity-in-irelands-local-and-european-elections-2024</w:t>
        </w:r>
      </w:hyperlink>
      <w:r w:rsidRPr="00D50D92">
        <w:t xml:space="preserve">. </w:t>
      </w:r>
      <w:hyperlink r:id="rId9" w:tgtFrame="_blank" w:history="1">
        <w:r w:rsidRPr="00D50D92">
          <w:rPr>
            <w:rStyle w:val="Hyperlink"/>
          </w:rPr>
          <w:t>nda.ie</w:t>
        </w:r>
      </w:hyperlink>
    </w:p>
  </w:footnote>
  <w:footnote w:id="13">
    <w:p w14:paraId="21D9297E" w14:textId="77777777" w:rsidR="00CA41B9" w:rsidRPr="00373472" w:rsidRDefault="00CA41B9" w:rsidP="00CA41B9">
      <w:pPr>
        <w:pStyle w:val="FootnoteText"/>
        <w:rPr>
          <w:lang w:val="en-IE"/>
        </w:rPr>
      </w:pPr>
      <w:r>
        <w:rPr>
          <w:rStyle w:val="FootnoteReference"/>
        </w:rPr>
        <w:footnoteRef/>
      </w:r>
      <w:r>
        <w:t xml:space="preserve"> </w:t>
      </w:r>
      <w:r w:rsidRPr="00373472">
        <w:t>Autism-Europe (2023) Bridging the autism employment gap in Europe: a compe</w:t>
      </w:r>
      <w:r>
        <w:t>n</w:t>
      </w:r>
      <w:r w:rsidRPr="00373472">
        <w:t xml:space="preserve">dium of current practices and initiatives  </w:t>
      </w:r>
      <w:hyperlink r:id="rId10" w:history="1">
        <w:r w:rsidRPr="002F79AC">
          <w:rPr>
            <w:rStyle w:val="Hyperlink"/>
          </w:rPr>
          <w:t>https://www.autismeurope.org/blog/2023/08/13/bridging-the-autism-employment-gap-in-europe-a-compedium-of-current-practices-and-initiatives/</w:t>
        </w:r>
      </w:hyperlink>
      <w:r>
        <w:t xml:space="preserve"> </w:t>
      </w:r>
    </w:p>
  </w:footnote>
  <w:footnote w:id="14">
    <w:p w14:paraId="231981AB" w14:textId="77777777" w:rsidR="00CA41B9" w:rsidRPr="000B3801" w:rsidRDefault="00CA41B9" w:rsidP="00CA41B9">
      <w:pPr>
        <w:pStyle w:val="FootnoteText"/>
        <w:rPr>
          <w:lang w:val="fr-BE"/>
        </w:rPr>
      </w:pPr>
      <w:r>
        <w:rPr>
          <w:rStyle w:val="FootnoteReference"/>
        </w:rPr>
        <w:footnoteRef/>
      </w:r>
      <w:r w:rsidRPr="000B3801">
        <w:rPr>
          <w:lang w:val="fr-BE"/>
        </w:rPr>
        <w:t xml:space="preserve"> Ministère de l’Intérieur, </w:t>
      </w:r>
      <w:r w:rsidRPr="000B3801">
        <w:rPr>
          <w:i/>
          <w:iCs/>
          <w:lang w:val="fr-BE"/>
        </w:rPr>
        <w:t>Accessibilité de la propagande et des campagnes électorales – le FALC</w:t>
      </w:r>
      <w:r w:rsidRPr="000B3801">
        <w:rPr>
          <w:lang w:val="fr-BE"/>
        </w:rPr>
        <w:t xml:space="preserve"> (26 April 2021) </w:t>
      </w:r>
      <w:hyperlink r:id="rId11" w:tgtFrame="_new" w:history="1">
        <w:r w:rsidRPr="000B3801">
          <w:rPr>
            <w:rStyle w:val="Hyperlink"/>
            <w:lang w:val="fr-BE"/>
          </w:rPr>
          <w:t>https://mobile.interieur.gouv.fr/Archives/Archives-elections/Etre-candidat/Accessibilite-de-la-propagande-et-des-campagnes-electorales-le-FALC</w:t>
        </w:r>
      </w:hyperlink>
    </w:p>
  </w:footnote>
  <w:footnote w:id="15">
    <w:p w14:paraId="24904E1F" w14:textId="77777777" w:rsidR="00CA41B9" w:rsidRPr="00CE2D07" w:rsidRDefault="00CA41B9" w:rsidP="00CA41B9">
      <w:pPr>
        <w:pStyle w:val="FootnoteText"/>
        <w:rPr>
          <w:lang w:val="en-IE"/>
        </w:rPr>
      </w:pPr>
      <w:r>
        <w:rPr>
          <w:rStyle w:val="FootnoteReference"/>
        </w:rPr>
        <w:footnoteRef/>
      </w:r>
      <w:r>
        <w:t xml:space="preserve"> </w:t>
      </w:r>
      <w:r w:rsidRPr="00CE2D07">
        <w:t xml:space="preserve">Ministerio de la Presidencia, Gobierno de España, </w:t>
      </w:r>
      <w:r w:rsidRPr="00CE2D07">
        <w:rPr>
          <w:i/>
          <w:iCs/>
        </w:rPr>
        <w:t>‘The Ministry of Home Affairs extends measures to facilitate accessible voting for people with disabilities’</w:t>
      </w:r>
      <w:r w:rsidRPr="00CE2D07">
        <w:t xml:space="preserve"> (La Moncloa, 20 May 2024) </w:t>
      </w:r>
      <w:hyperlink r:id="rId12" w:tgtFrame="_new" w:history="1">
        <w:r w:rsidRPr="00CE2D07">
          <w:rPr>
            <w:rStyle w:val="Hyperlink"/>
          </w:rPr>
          <w:t>https://www.lamoncloa.gob.es/lang/en/gobierno/news/paginas/2024/20240520-eu-elections-accessibility.aspx</w:t>
        </w:r>
      </w:hyperlink>
    </w:p>
  </w:footnote>
  <w:footnote w:id="16">
    <w:p w14:paraId="4F11BC4D" w14:textId="77777777" w:rsidR="00CA41B9" w:rsidRPr="00C01885" w:rsidRDefault="00CA41B9" w:rsidP="00CA41B9">
      <w:pPr>
        <w:pStyle w:val="FootnoteText"/>
        <w:rPr>
          <w:lang w:val="en-IE"/>
        </w:rPr>
      </w:pPr>
      <w:r>
        <w:rPr>
          <w:rStyle w:val="FootnoteReference"/>
        </w:rPr>
        <w:footnoteRef/>
      </w:r>
      <w:r>
        <w:t xml:space="preserve"> </w:t>
      </w:r>
      <w:r w:rsidRPr="00C01885">
        <w:t xml:space="preserve">European Disability Forum, </w:t>
      </w:r>
      <w:r w:rsidRPr="00C01885">
        <w:rPr>
          <w:i/>
          <w:iCs/>
        </w:rPr>
        <w:t>European Human Rights Report Issue 6 – 2022</w:t>
      </w:r>
      <w:r w:rsidRPr="00C01885">
        <w:t xml:space="preserve"> (Vienna: EDF, October 2022), , </w:t>
      </w:r>
      <w:hyperlink r:id="rId13" w:tgtFrame="_new" w:history="1">
        <w:r w:rsidRPr="00C01885">
          <w:rPr>
            <w:rStyle w:val="Hyperlink"/>
          </w:rPr>
          <w:t>https://www.edf-feph.org/content/uploads/2022/10/edf_hr_report_issue_6_2022_accessible.pdf</w:t>
        </w:r>
      </w:hyperlink>
      <w:r w:rsidRPr="00C0188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ADA0" w14:textId="6E5DD176" w:rsidR="00CA41B9" w:rsidRDefault="00CA41B9">
    <w:pPr>
      <w:pStyle w:val="Header"/>
    </w:pPr>
    <w:r>
      <w:rPr>
        <w:noProof/>
      </w:rPr>
      <w:drawing>
        <wp:anchor distT="0" distB="0" distL="114300" distR="114300" simplePos="0" relativeHeight="251658240" behindDoc="0" locked="0" layoutInCell="1" allowOverlap="1" wp14:anchorId="20397E7A" wp14:editId="7E51EE52">
          <wp:simplePos x="0" y="0"/>
          <wp:positionH relativeFrom="column">
            <wp:posOffset>4718050</wp:posOffset>
          </wp:positionH>
          <wp:positionV relativeFrom="paragraph">
            <wp:posOffset>-203200</wp:posOffset>
          </wp:positionV>
          <wp:extent cx="1579245" cy="540385"/>
          <wp:effectExtent l="0" t="0" r="1905" b="0"/>
          <wp:wrapSquare wrapText="bothSides"/>
          <wp:docPr id="149489053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90530"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79245" cy="5403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A17B4"/>
    <w:multiLevelType w:val="hybridMultilevel"/>
    <w:tmpl w:val="12FA82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80670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1B9"/>
    <w:rsid w:val="000B7584"/>
    <w:rsid w:val="00282403"/>
    <w:rsid w:val="00CA41B9"/>
    <w:rsid w:val="00D20B6B"/>
    <w:rsid w:val="00D678B7"/>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B91666"/>
  <w15:chartTrackingRefBased/>
  <w15:docId w15:val="{BE3C65D3-24D6-4899-BCC0-5B231708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1B9"/>
  </w:style>
  <w:style w:type="paragraph" w:styleId="Heading1">
    <w:name w:val="heading 1"/>
    <w:basedOn w:val="Normal"/>
    <w:next w:val="Normal"/>
    <w:link w:val="Heading1Char"/>
    <w:uiPriority w:val="9"/>
    <w:qFormat/>
    <w:rsid w:val="00CA4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4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41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41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41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41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41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41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41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4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4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4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4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4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4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4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41B9"/>
    <w:rPr>
      <w:rFonts w:eastAsiaTheme="majorEastAsia" w:cstheme="majorBidi"/>
      <w:color w:val="272727" w:themeColor="text1" w:themeTint="D8"/>
    </w:rPr>
  </w:style>
  <w:style w:type="paragraph" w:styleId="Title">
    <w:name w:val="Title"/>
    <w:basedOn w:val="Normal"/>
    <w:next w:val="Normal"/>
    <w:link w:val="TitleChar"/>
    <w:uiPriority w:val="10"/>
    <w:qFormat/>
    <w:rsid w:val="00CA4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41B9"/>
    <w:pPr>
      <w:spacing w:before="160"/>
      <w:jc w:val="center"/>
    </w:pPr>
    <w:rPr>
      <w:i/>
      <w:iCs/>
      <w:color w:val="404040" w:themeColor="text1" w:themeTint="BF"/>
    </w:rPr>
  </w:style>
  <w:style w:type="character" w:customStyle="1" w:styleId="QuoteChar">
    <w:name w:val="Quote Char"/>
    <w:basedOn w:val="DefaultParagraphFont"/>
    <w:link w:val="Quote"/>
    <w:uiPriority w:val="29"/>
    <w:rsid w:val="00CA41B9"/>
    <w:rPr>
      <w:i/>
      <w:iCs/>
      <w:color w:val="404040" w:themeColor="text1" w:themeTint="BF"/>
    </w:rPr>
  </w:style>
  <w:style w:type="paragraph" w:styleId="ListParagraph">
    <w:name w:val="List Paragraph"/>
    <w:basedOn w:val="Normal"/>
    <w:uiPriority w:val="34"/>
    <w:qFormat/>
    <w:rsid w:val="00CA41B9"/>
    <w:pPr>
      <w:ind w:left="720"/>
      <w:contextualSpacing/>
    </w:pPr>
  </w:style>
  <w:style w:type="character" w:styleId="IntenseEmphasis">
    <w:name w:val="Intense Emphasis"/>
    <w:basedOn w:val="DefaultParagraphFont"/>
    <w:uiPriority w:val="21"/>
    <w:qFormat/>
    <w:rsid w:val="00CA41B9"/>
    <w:rPr>
      <w:i/>
      <w:iCs/>
      <w:color w:val="0F4761" w:themeColor="accent1" w:themeShade="BF"/>
    </w:rPr>
  </w:style>
  <w:style w:type="paragraph" w:styleId="IntenseQuote">
    <w:name w:val="Intense Quote"/>
    <w:basedOn w:val="Normal"/>
    <w:next w:val="Normal"/>
    <w:link w:val="IntenseQuoteChar"/>
    <w:uiPriority w:val="30"/>
    <w:qFormat/>
    <w:rsid w:val="00CA4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41B9"/>
    <w:rPr>
      <w:i/>
      <w:iCs/>
      <w:color w:val="0F4761" w:themeColor="accent1" w:themeShade="BF"/>
    </w:rPr>
  </w:style>
  <w:style w:type="character" w:styleId="IntenseReference">
    <w:name w:val="Intense Reference"/>
    <w:basedOn w:val="DefaultParagraphFont"/>
    <w:uiPriority w:val="32"/>
    <w:qFormat/>
    <w:rsid w:val="00CA41B9"/>
    <w:rPr>
      <w:b/>
      <w:bCs/>
      <w:smallCaps/>
      <w:color w:val="0F4761" w:themeColor="accent1" w:themeShade="BF"/>
      <w:spacing w:val="5"/>
    </w:rPr>
  </w:style>
  <w:style w:type="paragraph" w:styleId="FootnoteText">
    <w:name w:val="footnote text"/>
    <w:basedOn w:val="Normal"/>
    <w:link w:val="FootnoteTextChar"/>
    <w:uiPriority w:val="99"/>
    <w:semiHidden/>
    <w:unhideWhenUsed/>
    <w:rsid w:val="00CA41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1B9"/>
    <w:rPr>
      <w:sz w:val="20"/>
      <w:szCs w:val="20"/>
    </w:rPr>
  </w:style>
  <w:style w:type="character" w:styleId="FootnoteReference">
    <w:name w:val="footnote reference"/>
    <w:basedOn w:val="DefaultParagraphFont"/>
    <w:uiPriority w:val="99"/>
    <w:semiHidden/>
    <w:unhideWhenUsed/>
    <w:rsid w:val="00CA41B9"/>
    <w:rPr>
      <w:vertAlign w:val="superscript"/>
    </w:rPr>
  </w:style>
  <w:style w:type="character" w:styleId="Hyperlink">
    <w:name w:val="Hyperlink"/>
    <w:basedOn w:val="DefaultParagraphFont"/>
    <w:uiPriority w:val="99"/>
    <w:unhideWhenUsed/>
    <w:rsid w:val="00CA41B9"/>
    <w:rPr>
      <w:color w:val="467886" w:themeColor="hyperlink"/>
      <w:u w:val="single"/>
    </w:rPr>
  </w:style>
  <w:style w:type="character" w:styleId="CommentReference">
    <w:name w:val="annotation reference"/>
    <w:basedOn w:val="DefaultParagraphFont"/>
    <w:uiPriority w:val="99"/>
    <w:semiHidden/>
    <w:unhideWhenUsed/>
    <w:rsid w:val="00CA41B9"/>
    <w:rPr>
      <w:sz w:val="16"/>
      <w:szCs w:val="16"/>
    </w:rPr>
  </w:style>
  <w:style w:type="paragraph" w:styleId="CommentText">
    <w:name w:val="annotation text"/>
    <w:basedOn w:val="Normal"/>
    <w:link w:val="CommentTextChar"/>
    <w:uiPriority w:val="99"/>
    <w:unhideWhenUsed/>
    <w:rsid w:val="00CA41B9"/>
    <w:pPr>
      <w:spacing w:line="240" w:lineRule="auto"/>
    </w:pPr>
    <w:rPr>
      <w:sz w:val="20"/>
      <w:szCs w:val="20"/>
    </w:rPr>
  </w:style>
  <w:style w:type="character" w:customStyle="1" w:styleId="CommentTextChar">
    <w:name w:val="Comment Text Char"/>
    <w:basedOn w:val="DefaultParagraphFont"/>
    <w:link w:val="CommentText"/>
    <w:uiPriority w:val="99"/>
    <w:rsid w:val="00CA41B9"/>
    <w:rPr>
      <w:sz w:val="20"/>
      <w:szCs w:val="20"/>
    </w:rPr>
  </w:style>
  <w:style w:type="paragraph" w:styleId="Header">
    <w:name w:val="header"/>
    <w:basedOn w:val="Normal"/>
    <w:link w:val="HeaderChar"/>
    <w:uiPriority w:val="99"/>
    <w:unhideWhenUsed/>
    <w:rsid w:val="00CA41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1B9"/>
  </w:style>
  <w:style w:type="paragraph" w:styleId="Footer">
    <w:name w:val="footer"/>
    <w:basedOn w:val="Normal"/>
    <w:link w:val="FooterChar"/>
    <w:uiPriority w:val="99"/>
    <w:unhideWhenUsed/>
    <w:rsid w:val="00CA41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nda.ie/publications/disability-diversity-and-identity-in-irelands-local-and-european-elections-2024?utm_source=chatgpt.com" TargetMode="External"/><Relationship Id="rId13" Type="http://schemas.openxmlformats.org/officeDocument/2006/relationships/hyperlink" Target="https://www.edf-feph.org/content/uploads/2022/10/edf_hr_report_issue_6_2022_accessible.pdf?utm_source=chatgpt.com" TargetMode="External"/><Relationship Id="rId3" Type="http://schemas.openxmlformats.org/officeDocument/2006/relationships/hyperlink" Target="https://eur-lex.europa.eu/legal-content/EN/TXT/?uri=CELEX%3A41976X1008" TargetMode="External"/><Relationship Id="rId7" Type="http://schemas.openxmlformats.org/officeDocument/2006/relationships/hyperlink" Target="https://www.osce.org/odihr/elections/handbook-observing-people-with-disabilities" TargetMode="External"/><Relationship Id="rId12" Type="http://schemas.openxmlformats.org/officeDocument/2006/relationships/hyperlink" Target="https://www.lamoncloa.gob.es/lang/en/gobierno/news/paginas/2024/20240520-eu-elections-accessibility.aspx?utm_source=chatgpt.com" TargetMode="External"/><Relationship Id="rId2" Type="http://schemas.openxmlformats.org/officeDocument/2006/relationships/hyperlink" Target="https://www.edf-feph.org/content/uploads/2022/10/edf_hr_report_issue_6_2022_accessible.pdf?utm_source=chatgpt.com" TargetMode="External"/><Relationship Id="rId1" Type="http://schemas.openxmlformats.org/officeDocument/2006/relationships/hyperlink" Target="https://fra.europa.eu/en/publication/2024/political-participation?page=1&amp;utm_source=chatgpt.com" TargetMode="External"/><Relationship Id="rId6" Type="http://schemas.openxmlformats.org/officeDocument/2006/relationships/hyperlink" Target="https://tbinternet.ohchr.org/_layouts/15/treatybodyexternal/Download.aspx?symbolno=CRPD%2FC%2FEUR%2FCO%2F2-3&amp;Lang=en" TargetMode="External"/><Relationship Id="rId11" Type="http://schemas.openxmlformats.org/officeDocument/2006/relationships/hyperlink" Target="https://mobile.interieur.gouv.fr/Archives/Archives-elections/Etre-candidat/Accessibilite-de-la-propagande-et-des-campagnes-electorales-le-FALC?utm_source=chatgpt.com" TargetMode="External"/><Relationship Id="rId5" Type="http://schemas.openxmlformats.org/officeDocument/2006/relationships/hyperlink" Target="https://eur-lex.europa.eu/eli/C/2024/1181/oj/eng" TargetMode="External"/><Relationship Id="rId10" Type="http://schemas.openxmlformats.org/officeDocument/2006/relationships/hyperlink" Target="https://www.autismeurope.org/blog/2023/08/13/bridging-the-autism-employment-gap-in-europe-a-compedium-of-current-practices-and-initiatives/" TargetMode="External"/><Relationship Id="rId4" Type="http://schemas.openxmlformats.org/officeDocument/2006/relationships/hyperlink" Target="https://eur-lex.europa.eu/legal-content/EN/TXT/?uri=oj:JOC_2022_465_R_0018&amp;utm_source=chatgpt.com" TargetMode="External"/><Relationship Id="rId9" Type="http://schemas.openxmlformats.org/officeDocument/2006/relationships/hyperlink" Target="https://nda.ie/publications/disability-diversity-and-identity-in-irelands-local-and-european-elections-20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6DC564EC-0905-430E-8F64-20834F437AEF}"/>
</file>

<file path=customXml/itemProps2.xml><?xml version="1.0" encoding="utf-8"?>
<ds:datastoreItem xmlns:ds="http://schemas.openxmlformats.org/officeDocument/2006/customXml" ds:itemID="{2BF042EB-B703-42F3-9E74-9EFCB8073E50}"/>
</file>

<file path=customXml/itemProps3.xml><?xml version="1.0" encoding="utf-8"?>
<ds:datastoreItem xmlns:ds="http://schemas.openxmlformats.org/officeDocument/2006/customXml" ds:itemID="{CAAE0A20-C357-4AA5-B368-7784261548B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1759</Words>
  <Characters>10031</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Aoife McGarry</dc:creator>
  <cp:keywords/>
  <dc:description/>
  <cp:lastModifiedBy>Barbora Zamrska</cp:lastModifiedBy>
  <cp:revision>2</cp:revision>
  <dcterms:created xsi:type="dcterms:W3CDTF">2025-11-04T09:26:00Z</dcterms:created>
  <dcterms:modified xsi:type="dcterms:W3CDTF">2025-11-04T09:26:00Z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