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8D64B" w14:textId="7BC3A628" w:rsidR="003B4E82" w:rsidRPr="006E4A31" w:rsidRDefault="000377B5" w:rsidP="003B4E82">
      <w:pPr>
        <w:jc w:val="right"/>
        <w:rPr>
          <w:rFonts w:cs="Tahoma"/>
          <w:lang w:val="en-GB"/>
        </w:rPr>
      </w:pPr>
      <w:r w:rsidRPr="006E4A31">
        <w:rPr>
          <w:rFonts w:cs="Tahoma"/>
          <w:lang w:val="en-GB"/>
        </w:rPr>
        <w:t xml:space="preserve"> </w:t>
      </w:r>
    </w:p>
    <w:bookmarkStart w:id="0" w:name="_Toc190081191"/>
    <w:bookmarkStart w:id="1" w:name="_Toc190089319"/>
    <w:bookmarkStart w:id="2" w:name="_Toc190091812"/>
    <w:bookmarkStart w:id="3" w:name="_Toc190260240"/>
    <w:bookmarkStart w:id="4" w:name="_Toc190260272"/>
    <w:bookmarkStart w:id="5" w:name="_Toc190260503"/>
    <w:bookmarkStart w:id="6" w:name="_Toc190435251"/>
    <w:bookmarkStart w:id="7" w:name="_Toc211519829"/>
    <w:bookmarkStart w:id="8" w:name="_Toc212464119"/>
    <w:p w14:paraId="3471C966" w14:textId="77777777" w:rsidR="003B4E82" w:rsidRPr="006E4A31" w:rsidRDefault="003B4E82" w:rsidP="003B4E82">
      <w:pPr>
        <w:pStyle w:val="Heading1"/>
        <w:rPr>
          <w:b w:val="0"/>
          <w:lang w:val="en-GB"/>
        </w:rPr>
      </w:pPr>
      <w:r w:rsidRPr="00F554FC">
        <w:rPr>
          <w:rFonts w:eastAsia="Calibri"/>
          <w:b w:val="0"/>
          <w:noProof/>
        </w:rPr>
        <mc:AlternateContent>
          <mc:Choice Requires="wpg">
            <w:drawing>
              <wp:anchor distT="0" distB="0" distL="114300" distR="114300" simplePos="0" relativeHeight="251659264" behindDoc="1" locked="0" layoutInCell="1" allowOverlap="1" wp14:anchorId="4BD68303" wp14:editId="7F6CDB29">
                <wp:simplePos x="0" y="0"/>
                <wp:positionH relativeFrom="margin">
                  <wp:posOffset>3208655</wp:posOffset>
                </wp:positionH>
                <wp:positionV relativeFrom="page">
                  <wp:posOffset>0</wp:posOffset>
                </wp:positionV>
                <wp:extent cx="2553335" cy="9752330"/>
                <wp:effectExtent l="0" t="0" r="0" b="1270"/>
                <wp:wrapNone/>
                <wp:docPr id="38" name="Group 6"/>
                <wp:cNvGraphicFramePr/>
                <a:graphic xmlns:a="http://schemas.openxmlformats.org/drawingml/2006/main">
                  <a:graphicData uri="http://schemas.microsoft.com/office/word/2010/wordprocessingGroup">
                    <wpg:wgp>
                      <wpg:cNvGrpSpPr/>
                      <wpg:grpSpPr>
                        <a:xfrm>
                          <a:off x="0" y="0"/>
                          <a:ext cx="2553335" cy="9752330"/>
                          <a:chOff x="0" y="0"/>
                          <a:chExt cx="3128026" cy="6866467"/>
                        </a:xfrm>
                      </wpg:grpSpPr>
                      <wps:wsp>
                        <wps:cNvPr id="39" name="Rectangle 27"/>
                        <wps:cNvSpPr/>
                        <wps:spPr>
                          <a:xfrm>
                            <a:off x="0" y="0"/>
                            <a:ext cx="2854326" cy="6866467"/>
                          </a:xfrm>
                          <a:custGeom>
                            <a:avLst/>
                            <a:gdLst/>
                            <a:ahLst/>
                            <a:cxnLst/>
                            <a:rect l="l" t="t" r="r" b="b"/>
                            <a:pathLst>
                              <a:path w="2858013" h="6866467">
                                <a:moveTo>
                                  <a:pt x="0" y="0"/>
                                </a:moveTo>
                                <a:lnTo>
                                  <a:pt x="2858013" y="0"/>
                                </a:lnTo>
                                <a:lnTo>
                                  <a:pt x="2858013" y="6866467"/>
                                </a:lnTo>
                                <a:lnTo>
                                  <a:pt x="2473942" y="6866467"/>
                                </a:lnTo>
                                <a:lnTo>
                                  <a:pt x="0" y="0"/>
                                </a:lnTo>
                                <a:close/>
                              </a:path>
                            </a:pathLst>
                          </a:custGeom>
                          <a:solidFill>
                            <a:srgbClr val="008D51"/>
                          </a:solidFill>
                          <a:ln w="6350" cap="flat" cmpd="sng" algn="ctr">
                            <a:noFill/>
                            <a:prstDash val="solid"/>
                            <a:miter lim="800000"/>
                          </a:ln>
                          <a:effectLst/>
                        </wps:spPr>
                        <wps:bodyPr/>
                      </wps:wsp>
                      <wps:wsp>
                        <wps:cNvPr id="40" name="Rectangle 28"/>
                        <wps:cNvSpPr/>
                        <wps:spPr>
                          <a:xfrm>
                            <a:off x="1837932" y="0"/>
                            <a:ext cx="1290094" cy="6866467"/>
                          </a:xfrm>
                          <a:custGeom>
                            <a:avLst/>
                            <a:gdLst/>
                            <a:ahLst/>
                            <a:cxnLst/>
                            <a:rect l="l" t="t" r="r" b="b"/>
                            <a:pathLst>
                              <a:path w="1290094" h="6858000">
                                <a:moveTo>
                                  <a:pt x="1019735" y="0"/>
                                </a:moveTo>
                                <a:lnTo>
                                  <a:pt x="1290094" y="0"/>
                                </a:lnTo>
                                <a:lnTo>
                                  <a:pt x="1290094" y="6858000"/>
                                </a:lnTo>
                                <a:lnTo>
                                  <a:pt x="0" y="6858000"/>
                                </a:lnTo>
                                <a:lnTo>
                                  <a:pt x="1019735" y="0"/>
                                </a:lnTo>
                                <a:close/>
                              </a:path>
                            </a:pathLst>
                          </a:custGeom>
                          <a:solidFill>
                            <a:srgbClr val="70AD47">
                              <a:lumMod val="40000"/>
                              <a:lumOff val="60000"/>
                              <a:alpha val="70000"/>
                            </a:srgbClr>
                          </a:solidFill>
                          <a:ln w="6350" cap="flat" cmpd="sng" algn="ctr">
                            <a:noFill/>
                            <a:prstDash val="solid"/>
                            <a:miter lim="800000"/>
                          </a:ln>
                          <a:effectLst/>
                        </wps:spPr>
                        <wps:bodyPr/>
                      </wps:wsp>
                      <wps:wsp>
                        <wps:cNvPr id="41" name="Rectangle 29"/>
                        <wps:cNvSpPr/>
                        <wps:spPr>
                          <a:xfrm>
                            <a:off x="1604499" y="0"/>
                            <a:ext cx="1249825" cy="6866467"/>
                          </a:xfrm>
                          <a:custGeom>
                            <a:avLst/>
                            <a:gdLst/>
                            <a:ahLst/>
                            <a:cxnLst/>
                            <a:rect l="l" t="t" r="r" b="b"/>
                            <a:pathLst>
                              <a:path w="1249825" h="6858000">
                                <a:moveTo>
                                  <a:pt x="0" y="0"/>
                                </a:moveTo>
                                <a:lnTo>
                                  <a:pt x="1249825" y="0"/>
                                </a:lnTo>
                                <a:lnTo>
                                  <a:pt x="1249825" y="6858000"/>
                                </a:lnTo>
                                <a:lnTo>
                                  <a:pt x="1109382" y="6858000"/>
                                </a:lnTo>
                                <a:lnTo>
                                  <a:pt x="0" y="0"/>
                                </a:lnTo>
                                <a:close/>
                              </a:path>
                            </a:pathLst>
                          </a:custGeom>
                          <a:solidFill>
                            <a:srgbClr val="92D050">
                              <a:alpha val="65000"/>
                            </a:srgbClr>
                          </a:solidFill>
                          <a:ln w="6350" cap="flat" cmpd="sng" algn="ctr">
                            <a:no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993B539" id="Group 6" o:spid="_x0000_s1026" style="position:absolute;margin-left:252.65pt;margin-top:0;width:201.05pt;height:767.9pt;z-index:-251657216;mso-position-horizontal-relative:margin;mso-position-vertical-relative:page;mso-width-relative:margin;mso-height-relative:margin" coordsize="31280,6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gHlggMAAMUMAAAOAAAAZHJzL2Uyb0RvYy54bWzsV9uO3CgQfV8p/4B4z/jutlvTE0XpZF6S&#10;3WiTfACD8UXCBgF9mb9PgY3bPZdsbzZZKVL6wcZQFMWpcwr6+tWx52jPlO7EsMHRVYgRG6iouqHZ&#10;4C+f370sMNKGDBXhYmAbfM80fnXz4o/rg1yzWLSCV0whcDLo9UFucGuMXAeBpi3rib4Skg0wWAvV&#10;EwOfqgkqRQ7gvedBHIZ5cBCqkkpQpjX0bsdBfOP81zWj5q+61swgvsEQm3FP5Z539hncXJN1o4hs&#10;OzqFQb4jip50Ayw6u9oSQ9BOdY9c9R1VQovaXFHRB6KuO8rcHmA3UfhgN7dK7KTbS7M+NHKGCaB9&#10;gNN3u6V/7m+V/CQ/KkDiIBvAwn3ZvRxr1ds3RImODrL7GTJ2NIhCZ5xlSZJkGFEYK1dZnCQTqLQF&#10;5B/No+3baWYSxUUY5+PMvMjzNF/ZdAR+4eAsnIMEgugTBvq/YfCpJZI5aPUaMPioUFdtcFJiNJAe&#10;ePo3MIcMDWcodlHZ5cFuBkqvNWB2MUpFlibf2itZ0502t0w4wMn+vTYjMyvfIq1v0ePgmwqitMzm&#10;jtkGI2C2wgiYfTcyWxJj59k4bRMdIGNFVoRRglG7wR52O96LPfssnKV5kDZIyWmUD0ur2ZunBth6&#10;C/+Wzt/S0q87ptvb+fdkn66SMo0xAs+X2IO6n4iBcqHZuIwFwNFrBgViXcKuBe+qdx3nFgStmrs3&#10;XKE9sZUjLLZZNLHzzIwPFtM8yWB5SqCA1ZxAHmgvgU56aDAivIHKSI1y9WEQdgGXW6m02RLdjks4&#10;r2PS+s5ATeRdv8FFaH/TwnywgTFX1UYGgEQ8EW3rTlT3TsiuH9RiJf0/yCaFzT+STWGjvlg2UZGs&#10;ymTM9lRAfImJ4jIMy/T5QnGexZ8qnjkWJx4QEiTnKfFEYVSubFlcUPI5Cc0+F7ZeCv49SmJpmVsZ&#10;L6gxivLcfpTEJZZPxet9/RgJrcLX23TlwOK7/oOoRtqnnt9QNna9PTGc4PJTN+GyJWPvyveCcCd9&#10;OkH/VuSstOkgS6MnFFn+O0XmYZqWcCB6WkLpmY7uKE7LIp4O/fPa7O8My7r6kxU5xfIPijw/Hp7X&#10;4uTNb/rZ42zGACwvUlgUlknhj7NLtXsq/aO+f4wWy3gbwoFlC9dCXXl2qie/rLrcpRHuyq4uTPd6&#10;exlffkN7+e/j5isAAAD//wMAUEsDBBQABgAIAAAAIQBnl/KD4AAAAAkBAAAPAAAAZHJzL2Rvd25y&#10;ZXYueG1sTI/BTsMwEETvSPyDtUjcqB2CoYQ4VVUBp6oSLVLVmxtvk6ixHcVukv49ywmOq3mafZMv&#10;JtuyAfvQeKcgmQlg6EpvGlcp+N59PMyBhaid0a13qOCKARbF7U2uM+NH94XDNlaMSlzItII6xi7j&#10;PJQ1Wh1mvkNH2cn3Vkc6+4qbXo9Ublv+KMQzt7px9KHWHa5qLM/bi1XwOepxmSbvw/p8Wl0PO7nZ&#10;rxNU6v5uWr4BizjFPxh+9UkdCnI6+oszgbUKpJApoQpoEcWv4uUJ2JE4mco58CLn/xcUPwAAAP//&#10;AwBQSwECLQAUAAYACAAAACEAtoM4kv4AAADhAQAAEwAAAAAAAAAAAAAAAAAAAAAAW0NvbnRlbnRf&#10;VHlwZXNdLnhtbFBLAQItABQABgAIAAAAIQA4/SH/1gAAAJQBAAALAAAAAAAAAAAAAAAAAC8BAABf&#10;cmVscy8ucmVsc1BLAQItABQABgAIAAAAIQBmYgHlggMAAMUMAAAOAAAAAAAAAAAAAAAAAC4CAABk&#10;cnMvZTJvRG9jLnhtbFBLAQItABQABgAIAAAAIQBnl/KD4AAAAAkBAAAPAAAAAAAAAAAAAAAAANwF&#10;AABkcnMvZG93bnJldi54bWxQSwUGAAAAAAQABADzAAAA6QYAAAAA&#10;">
                <v:shape id="Rectangle 27" o:spid="_x0000_s1027" style="position:absolute;width:28543;height:68664;visibility:visible;mso-wrap-style:square;v-text-anchor:top" coordsize="2858013,6866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M4BwwAAANsAAAAPAAAAZHJzL2Rvd25yZXYueG1sRI9BawIx&#10;FITvBf9DeIK3mlWhratRRBGk9OJWPD82z81i8rJs4rr665tCocdhZr5hluveWdFRG2rPCibjDARx&#10;6XXNlYLT9/71A0SIyBqtZ1LwoADr1eBlibn2dz5SV8RKJAiHHBWYGJtcylAachjGviFO3sW3DmOS&#10;bSV1i/cEd1ZOs+xNOqw5LRhsaGuovBY3p6A6Zl3x9fncGXt+31z2pX3ow0Sp0bDfLEBE6uN/+K99&#10;0Apmc/j9kn6AXP0AAAD//wMAUEsBAi0AFAAGAAgAAAAhANvh9svuAAAAhQEAABMAAAAAAAAAAAAA&#10;AAAAAAAAAFtDb250ZW50X1R5cGVzXS54bWxQSwECLQAUAAYACAAAACEAWvQsW78AAAAVAQAACwAA&#10;AAAAAAAAAAAAAAAfAQAAX3JlbHMvLnJlbHNQSwECLQAUAAYACAAAACEAkejOAcMAAADbAAAADwAA&#10;AAAAAAAAAAAAAAAHAgAAZHJzL2Rvd25yZXYueG1sUEsFBgAAAAADAAMAtwAAAPcCAAAAAA==&#10;" path="m,l2858013,r,6866467l2473942,6866467,,xe" fillcolor="#008d51" stroked="f" strokeweight=".5pt">
                  <v:stroke joinstyle="miter"/>
                  <v:path arrowok="t"/>
                </v:shape>
                <v:shape id="Rectangle 28" o:spid="_x0000_s1028" style="position:absolute;left:18379;width:12901;height:68664;visibility:visible;mso-wrap-style:square;v-text-anchor:top" coordsize="1290094,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ZC6wgAAANsAAAAPAAAAZHJzL2Rvd25yZXYueG1sRE9da8Iw&#10;FH0f+B/CFXwZmk5EXWeUMnGKOMbcYK+X5toUm5uSZLb798vDYI+H873a9LYRN/KhdqzgYZKBIC6d&#10;rrlS8PmxGy9BhIissXFMCn4owGY9uFthrl3H73Q7x0qkEA45KjAxtrmUoTRkMUxcS5y4i/MWY4K+&#10;ktpjl8JtI6dZNpcWa04NBlt6NlRez99WwXxvaPHqT+7t6/DYbV+ORXdvCqVGw754AhGpj//iP/dB&#10;K5il9elL+gFy/QsAAP//AwBQSwECLQAUAAYACAAAACEA2+H2y+4AAACFAQAAEwAAAAAAAAAAAAAA&#10;AAAAAAAAW0NvbnRlbnRfVHlwZXNdLnhtbFBLAQItABQABgAIAAAAIQBa9CxbvwAAABUBAAALAAAA&#10;AAAAAAAAAAAAAB8BAABfcmVscy8ucmVsc1BLAQItABQABgAIAAAAIQBQZZC6wgAAANsAAAAPAAAA&#10;AAAAAAAAAAAAAAcCAABkcnMvZG93bnJldi54bWxQSwUGAAAAAAMAAwC3AAAA9gIAAAAA&#10;" path="m1019735,r270359,l1290094,6858000,,6858000,1019735,xe" fillcolor="#c5e0b4" stroked="f" strokeweight=".5pt">
                  <v:fill opacity="46003f"/>
                  <v:stroke joinstyle="miter"/>
                  <v:path arrowok="t"/>
                </v:shape>
                <v:shape id="Rectangle 29" o:spid="_x0000_s1029" style="position:absolute;left:16044;width:12499;height:68664;visibility:visible;mso-wrap-style:square;v-text-anchor:top" coordsize="1249825,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T5zxAAAANsAAAAPAAAAZHJzL2Rvd25yZXYueG1sRI9PawIx&#10;FMTvhX6H8ApepGaVKrI1uxRBtEf/ID0+Nq+7SzcvaxI17ac3gtDjMDO/YRZlNJ24kPOtZQXjUQaC&#10;uLK65VrBYb96nYPwAVljZ5kU/JKHsnh+WmCu7ZW3dNmFWiQI+xwVNCH0uZS+asigH9meOHnf1hkM&#10;SbpaaofXBDednGTZTBpsOS002NOyoepndzYKJp+0nJ7/kL42EU+z9fwYh+6o1OAlfryDCBTDf/jR&#10;3mgFb2O4f0k/QBY3AAAA//8DAFBLAQItABQABgAIAAAAIQDb4fbL7gAAAIUBAAATAAAAAAAAAAAA&#10;AAAAAAAAAABbQ29udGVudF9UeXBlc10ueG1sUEsBAi0AFAAGAAgAAAAhAFr0LFu/AAAAFQEAAAsA&#10;AAAAAAAAAAAAAAAAHwEAAF9yZWxzLy5yZWxzUEsBAi0AFAAGAAgAAAAhADFVPnPEAAAA2wAAAA8A&#10;AAAAAAAAAAAAAAAABwIAAGRycy9kb3ducmV2LnhtbFBLBQYAAAAAAwADALcAAAD4AgAAAAA=&#10;" path="m,l1249825,r,6858000l1109382,6858000,,xe" fillcolor="#92d050" stroked="f" strokeweight=".5pt">
                  <v:fill opacity="42662f"/>
                  <v:stroke joinstyle="miter"/>
                  <v:path arrowok="t"/>
                </v:shape>
                <w10:wrap anchorx="margin" anchory="page"/>
              </v:group>
            </w:pict>
          </mc:Fallback>
        </mc:AlternateContent>
      </w:r>
      <w:r w:rsidRPr="00F554FC">
        <w:rPr>
          <w:rFonts w:eastAsia="Calibri"/>
          <w:b w:val="0"/>
          <w:noProof/>
          <w:sz w:val="24"/>
          <w:szCs w:val="22"/>
        </w:rPr>
        <w:drawing>
          <wp:anchor distT="0" distB="0" distL="114300" distR="114300" simplePos="0" relativeHeight="251660288" behindDoc="0" locked="0" layoutInCell="1" allowOverlap="1" wp14:anchorId="0E20A244" wp14:editId="14FDD39C">
            <wp:simplePos x="0" y="0"/>
            <wp:positionH relativeFrom="margin">
              <wp:posOffset>0</wp:posOffset>
            </wp:positionH>
            <wp:positionV relativeFrom="paragraph">
              <wp:posOffset>0</wp:posOffset>
            </wp:positionV>
            <wp:extent cx="3060700" cy="946150"/>
            <wp:effectExtent l="0" t="0" r="6350" b="6350"/>
            <wp:wrapNone/>
            <wp:docPr id="2009856906" name="Grafik 2009856906" descr="Österreichischer Behindertenr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0700" cy="9461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r w:rsidRPr="006E4A31">
        <w:rPr>
          <w:b w:val="0"/>
          <w:lang w:val="en-GB"/>
        </w:rPr>
        <w:tab/>
      </w:r>
    </w:p>
    <w:p w14:paraId="0C4812D8" w14:textId="77777777" w:rsidR="003B4E82" w:rsidRPr="006E4A31" w:rsidRDefault="003B4E82" w:rsidP="003B4E82">
      <w:pPr>
        <w:rPr>
          <w:lang w:val="en-GB"/>
        </w:rPr>
      </w:pPr>
    </w:p>
    <w:p w14:paraId="44079234" w14:textId="77777777" w:rsidR="003B4E82" w:rsidRPr="006E4A31" w:rsidRDefault="003B4E82" w:rsidP="003B4E82">
      <w:pPr>
        <w:rPr>
          <w:lang w:val="en-GB"/>
        </w:rPr>
      </w:pPr>
    </w:p>
    <w:p w14:paraId="7180B565" w14:textId="77777777" w:rsidR="003B4E82" w:rsidRPr="006E4A31" w:rsidRDefault="003B4E82" w:rsidP="003B4E82">
      <w:pPr>
        <w:rPr>
          <w:lang w:val="en-GB"/>
        </w:rPr>
      </w:pPr>
    </w:p>
    <w:p w14:paraId="410A6AD8" w14:textId="77777777" w:rsidR="004253EE" w:rsidRPr="006E4A31" w:rsidRDefault="004253EE" w:rsidP="003B4E82">
      <w:pPr>
        <w:spacing w:after="120" w:line="240" w:lineRule="auto"/>
        <w:rPr>
          <w:lang w:val="en-GB"/>
        </w:rPr>
      </w:pPr>
    </w:p>
    <w:p w14:paraId="180AE0BF" w14:textId="77777777" w:rsidR="00F554FC" w:rsidRPr="00137839" w:rsidRDefault="0052273B" w:rsidP="00F554FC">
      <w:pPr>
        <w:spacing w:after="120" w:line="240" w:lineRule="auto"/>
        <w:rPr>
          <w:b/>
          <w:bCs/>
          <w:sz w:val="28"/>
          <w:szCs w:val="28"/>
          <w:lang w:val="en-GB"/>
        </w:rPr>
      </w:pPr>
      <w:r w:rsidRPr="00137839">
        <w:rPr>
          <w:b/>
          <w:bCs/>
          <w:sz w:val="28"/>
          <w:szCs w:val="28"/>
          <w:lang w:val="en-GB"/>
        </w:rPr>
        <w:t xml:space="preserve">Written submission </w:t>
      </w:r>
      <w:r w:rsidR="00F554FC" w:rsidRPr="00137839">
        <w:rPr>
          <w:b/>
          <w:bCs/>
          <w:sz w:val="28"/>
          <w:szCs w:val="28"/>
          <w:lang w:val="en-GB"/>
        </w:rPr>
        <w:t xml:space="preserve">on the call for input on </w:t>
      </w:r>
    </w:p>
    <w:p w14:paraId="23FBBD50" w14:textId="77777777" w:rsidR="00F554FC" w:rsidRPr="00137839" w:rsidRDefault="00F554FC" w:rsidP="00F554FC">
      <w:pPr>
        <w:spacing w:after="120" w:line="240" w:lineRule="auto"/>
        <w:rPr>
          <w:b/>
          <w:bCs/>
          <w:sz w:val="28"/>
          <w:szCs w:val="28"/>
          <w:lang w:val="en-GB"/>
        </w:rPr>
      </w:pPr>
      <w:r w:rsidRPr="00137839">
        <w:rPr>
          <w:b/>
          <w:bCs/>
          <w:sz w:val="28"/>
          <w:szCs w:val="28"/>
          <w:lang w:val="en-GB"/>
        </w:rPr>
        <w:t xml:space="preserve">equal participation of persons with </w:t>
      </w:r>
    </w:p>
    <w:p w14:paraId="5F451F2B" w14:textId="745CB795" w:rsidR="00943D94" w:rsidRPr="00137839" w:rsidRDefault="00F554FC" w:rsidP="00F554FC">
      <w:pPr>
        <w:spacing w:after="120" w:line="240" w:lineRule="auto"/>
        <w:rPr>
          <w:b/>
          <w:bCs/>
          <w:sz w:val="28"/>
          <w:szCs w:val="28"/>
          <w:lang w:val="en-GB"/>
        </w:rPr>
      </w:pPr>
      <w:r w:rsidRPr="00137839">
        <w:rPr>
          <w:b/>
          <w:bCs/>
          <w:sz w:val="28"/>
          <w:szCs w:val="28"/>
          <w:lang w:val="en-GB"/>
        </w:rPr>
        <w:t>disabilities in political life</w:t>
      </w:r>
    </w:p>
    <w:p w14:paraId="55130934" w14:textId="77777777" w:rsidR="004253EE" w:rsidRPr="00137839" w:rsidRDefault="004253EE" w:rsidP="003B4E82">
      <w:pPr>
        <w:spacing w:after="120" w:line="240" w:lineRule="auto"/>
        <w:rPr>
          <w:b/>
          <w:bCs/>
          <w:sz w:val="28"/>
          <w:szCs w:val="28"/>
          <w:lang w:val="en-GB"/>
        </w:rPr>
      </w:pPr>
    </w:p>
    <w:p w14:paraId="53E3E235" w14:textId="60B04A0E" w:rsidR="003B4E82" w:rsidRPr="00137839" w:rsidRDefault="003B4E82" w:rsidP="00F554FC">
      <w:pPr>
        <w:spacing w:after="120" w:line="240" w:lineRule="auto"/>
        <w:rPr>
          <w:b/>
          <w:bCs/>
          <w:sz w:val="28"/>
          <w:szCs w:val="28"/>
          <w:lang w:val="en-GB"/>
        </w:rPr>
      </w:pPr>
      <w:r w:rsidRPr="00137839">
        <w:rPr>
          <w:b/>
          <w:bCs/>
          <w:sz w:val="28"/>
          <w:szCs w:val="28"/>
          <w:lang w:val="en-GB"/>
        </w:rPr>
        <w:t xml:space="preserve">Submitted </w:t>
      </w:r>
      <w:proofErr w:type="gramStart"/>
      <w:r w:rsidRPr="00137839">
        <w:rPr>
          <w:b/>
          <w:bCs/>
          <w:sz w:val="28"/>
          <w:szCs w:val="28"/>
          <w:lang w:val="en-GB"/>
        </w:rPr>
        <w:t xml:space="preserve">on the occasion </w:t>
      </w:r>
      <w:r w:rsidR="00F554FC" w:rsidRPr="00137839">
        <w:rPr>
          <w:b/>
          <w:bCs/>
          <w:sz w:val="28"/>
          <w:szCs w:val="28"/>
          <w:lang w:val="en-GB"/>
        </w:rPr>
        <w:t>of</w:t>
      </w:r>
      <w:proofErr w:type="gramEnd"/>
      <w:r w:rsidR="00F554FC" w:rsidRPr="00137839">
        <w:rPr>
          <w:b/>
          <w:bCs/>
          <w:sz w:val="28"/>
          <w:szCs w:val="28"/>
          <w:lang w:val="en-GB"/>
        </w:rPr>
        <w:t xml:space="preserve"> the 61</w:t>
      </w:r>
      <w:r w:rsidR="00F554FC" w:rsidRPr="00137839">
        <w:rPr>
          <w:b/>
          <w:bCs/>
          <w:sz w:val="28"/>
          <w:szCs w:val="28"/>
          <w:vertAlign w:val="superscript"/>
          <w:lang w:val="en-GB"/>
        </w:rPr>
        <w:t>st</w:t>
      </w:r>
      <w:r w:rsidR="00F554FC" w:rsidRPr="00137839">
        <w:rPr>
          <w:b/>
          <w:bCs/>
          <w:sz w:val="28"/>
          <w:szCs w:val="28"/>
          <w:lang w:val="en-GB"/>
        </w:rPr>
        <w:t xml:space="preserve"> session</w:t>
      </w:r>
    </w:p>
    <w:p w14:paraId="728FEBFC" w14:textId="093D0723" w:rsidR="00F554FC" w:rsidRPr="00137839" w:rsidRDefault="00F554FC" w:rsidP="00F554FC">
      <w:pPr>
        <w:spacing w:after="120" w:line="240" w:lineRule="auto"/>
        <w:rPr>
          <w:b/>
          <w:bCs/>
          <w:sz w:val="28"/>
          <w:szCs w:val="28"/>
          <w:lang w:val="en-GB"/>
        </w:rPr>
      </w:pPr>
      <w:r w:rsidRPr="00137839">
        <w:rPr>
          <w:b/>
          <w:bCs/>
          <w:sz w:val="28"/>
          <w:szCs w:val="28"/>
          <w:lang w:val="en-GB"/>
        </w:rPr>
        <w:t xml:space="preserve">Of the Human Rights Council </w:t>
      </w:r>
    </w:p>
    <w:p w14:paraId="6869FFEB" w14:textId="77777777" w:rsidR="003B4E82" w:rsidRPr="00F554FC" w:rsidRDefault="003B4E82" w:rsidP="003B4E82">
      <w:pPr>
        <w:spacing w:after="360"/>
        <w:jc w:val="center"/>
        <w:rPr>
          <w:color w:val="00B050"/>
          <w:sz w:val="28"/>
          <w:szCs w:val="28"/>
          <w:lang w:val="en-GB"/>
        </w:rPr>
      </w:pPr>
    </w:p>
    <w:p w14:paraId="693F80F2" w14:textId="77777777" w:rsidR="004253EE" w:rsidRPr="00F554FC" w:rsidRDefault="004253EE" w:rsidP="003B4E82">
      <w:pPr>
        <w:spacing w:after="360"/>
        <w:rPr>
          <w:sz w:val="28"/>
          <w:szCs w:val="28"/>
          <w:lang w:val="en-GB"/>
        </w:rPr>
      </w:pPr>
    </w:p>
    <w:p w14:paraId="692A9A17" w14:textId="4464B405" w:rsidR="003B4E82" w:rsidRPr="00F554FC" w:rsidRDefault="003B4E82" w:rsidP="003B4E82">
      <w:pPr>
        <w:spacing w:after="360"/>
        <w:rPr>
          <w:sz w:val="28"/>
          <w:szCs w:val="28"/>
          <w:lang w:val="en-GB"/>
        </w:rPr>
      </w:pPr>
      <w:r w:rsidRPr="00F554FC">
        <w:rPr>
          <w:sz w:val="28"/>
          <w:szCs w:val="28"/>
          <w:lang w:val="en-GB"/>
        </w:rPr>
        <w:t xml:space="preserve">Vienna, </w:t>
      </w:r>
      <w:r w:rsidR="006E4A31">
        <w:rPr>
          <w:sz w:val="28"/>
          <w:szCs w:val="28"/>
          <w:lang w:val="en-GB"/>
        </w:rPr>
        <w:t>31</w:t>
      </w:r>
      <w:r w:rsidR="006E4A31" w:rsidRPr="006E4A31">
        <w:rPr>
          <w:sz w:val="28"/>
          <w:szCs w:val="28"/>
          <w:vertAlign w:val="superscript"/>
          <w:lang w:val="en-GB"/>
        </w:rPr>
        <w:t>st</w:t>
      </w:r>
      <w:r w:rsidR="006E4A31">
        <w:rPr>
          <w:sz w:val="28"/>
          <w:szCs w:val="28"/>
          <w:lang w:val="en-GB"/>
        </w:rPr>
        <w:t xml:space="preserve"> October 2025</w:t>
      </w:r>
    </w:p>
    <w:p w14:paraId="7C73FCB8" w14:textId="77777777" w:rsidR="004253EE" w:rsidRPr="00F554FC" w:rsidRDefault="004253EE" w:rsidP="004253EE">
      <w:pPr>
        <w:spacing w:after="0"/>
        <w:rPr>
          <w:rFonts w:cs="Tahoma"/>
          <w:lang w:val="en-GB"/>
        </w:rPr>
      </w:pPr>
    </w:p>
    <w:p w14:paraId="0F0CE0ED" w14:textId="77777777" w:rsidR="004253EE" w:rsidRPr="00F554FC" w:rsidRDefault="004253EE" w:rsidP="004253EE">
      <w:pPr>
        <w:spacing w:after="0"/>
        <w:rPr>
          <w:rFonts w:cs="Tahoma"/>
          <w:lang w:val="en-GB"/>
        </w:rPr>
      </w:pPr>
    </w:p>
    <w:p w14:paraId="3D6884B1" w14:textId="77777777" w:rsidR="004253EE" w:rsidRPr="00F554FC" w:rsidRDefault="004253EE" w:rsidP="004253EE">
      <w:pPr>
        <w:spacing w:after="0"/>
        <w:rPr>
          <w:rFonts w:cs="Tahoma"/>
          <w:lang w:val="en-GB"/>
        </w:rPr>
      </w:pPr>
    </w:p>
    <w:p w14:paraId="03907CD9" w14:textId="7AD44BAF" w:rsidR="004253EE" w:rsidRPr="00F554FC" w:rsidRDefault="006E6B7C" w:rsidP="004253EE">
      <w:pPr>
        <w:spacing w:after="0"/>
        <w:rPr>
          <w:rFonts w:cs="Tahoma"/>
          <w:lang w:val="en-GB"/>
        </w:rPr>
      </w:pPr>
      <w:r w:rsidRPr="00F554FC">
        <w:rPr>
          <w:rFonts w:cs="Tahoma"/>
          <w:lang w:val="en-GB"/>
        </w:rPr>
        <w:t xml:space="preserve">The report at hand is mostly based on documents from the Austrian </w:t>
      </w:r>
    </w:p>
    <w:p w14:paraId="1F2E2FB0" w14:textId="77777777" w:rsidR="004253EE" w:rsidRPr="00F554FC" w:rsidRDefault="006E6B7C" w:rsidP="004253EE">
      <w:pPr>
        <w:spacing w:after="0"/>
        <w:rPr>
          <w:rFonts w:cs="Tahoma"/>
          <w:lang w:val="en-GB"/>
        </w:rPr>
      </w:pPr>
      <w:r w:rsidRPr="00F554FC">
        <w:rPr>
          <w:rFonts w:cs="Tahoma"/>
          <w:lang w:val="en-GB"/>
        </w:rPr>
        <w:t xml:space="preserve">Disability Council, the umbrella organization of over 85 </w:t>
      </w:r>
      <w:proofErr w:type="gramStart"/>
      <w:r w:rsidR="009B1CB5" w:rsidRPr="00F554FC">
        <w:rPr>
          <w:rFonts w:cs="Tahoma"/>
          <w:lang w:val="en-GB"/>
        </w:rPr>
        <w:t>m</w:t>
      </w:r>
      <w:r w:rsidRPr="00F554FC">
        <w:rPr>
          <w:rFonts w:cs="Tahoma"/>
          <w:lang w:val="en-GB"/>
        </w:rPr>
        <w:t>ember</w:t>
      </w:r>
      <w:proofErr w:type="gramEnd"/>
      <w:r w:rsidRPr="00F554FC">
        <w:rPr>
          <w:rFonts w:cs="Tahoma"/>
          <w:lang w:val="en-GB"/>
        </w:rPr>
        <w:t xml:space="preserve"> </w:t>
      </w:r>
    </w:p>
    <w:p w14:paraId="2285E80E" w14:textId="77777777" w:rsidR="004253EE" w:rsidRPr="00F554FC" w:rsidRDefault="009B1CB5" w:rsidP="004253EE">
      <w:pPr>
        <w:spacing w:after="0"/>
        <w:rPr>
          <w:rFonts w:cs="Tahoma"/>
          <w:lang w:val="en-GB"/>
        </w:rPr>
      </w:pPr>
      <w:r w:rsidRPr="00F554FC">
        <w:rPr>
          <w:rFonts w:cs="Tahoma"/>
          <w:lang w:val="en-GB"/>
        </w:rPr>
        <w:t>organisations</w:t>
      </w:r>
      <w:r w:rsidR="006E6B7C" w:rsidRPr="00F554FC">
        <w:rPr>
          <w:rFonts w:cs="Tahoma"/>
          <w:lang w:val="en-GB"/>
        </w:rPr>
        <w:t xml:space="preserve"> representing approximately 1.4 million persons with </w:t>
      </w:r>
    </w:p>
    <w:p w14:paraId="39A189EC" w14:textId="77777777" w:rsidR="004253EE" w:rsidRPr="00F554FC" w:rsidRDefault="006E6B7C" w:rsidP="004253EE">
      <w:pPr>
        <w:spacing w:after="0"/>
        <w:rPr>
          <w:rFonts w:cs="Tahoma"/>
          <w:lang w:val="en-GB"/>
        </w:rPr>
      </w:pPr>
      <w:r w:rsidRPr="00F554FC">
        <w:rPr>
          <w:rFonts w:cs="Tahoma"/>
          <w:lang w:val="en-GB"/>
        </w:rPr>
        <w:t xml:space="preserve">disabilities in Austria. These documents on a broad range of topics </w:t>
      </w:r>
    </w:p>
    <w:p w14:paraId="2C5438E7" w14:textId="77777777" w:rsidR="004253EE" w:rsidRPr="00F554FC" w:rsidRDefault="006E6B7C" w:rsidP="004253EE">
      <w:pPr>
        <w:spacing w:after="0"/>
        <w:rPr>
          <w:rFonts w:cs="Tahoma"/>
          <w:lang w:val="en-GB"/>
        </w:rPr>
      </w:pPr>
      <w:r w:rsidRPr="00F554FC">
        <w:rPr>
          <w:rFonts w:cs="Tahoma"/>
          <w:lang w:val="en-GB"/>
        </w:rPr>
        <w:t xml:space="preserve">relate to the implementation of the </w:t>
      </w:r>
      <w:r w:rsidR="009B1CB5" w:rsidRPr="00F554FC">
        <w:rPr>
          <w:rFonts w:cs="Tahoma"/>
          <w:lang w:val="en-GB"/>
        </w:rPr>
        <w:t xml:space="preserve">Convention on the Rights of </w:t>
      </w:r>
    </w:p>
    <w:p w14:paraId="61328660" w14:textId="77777777" w:rsidR="004253EE" w:rsidRPr="00F554FC" w:rsidRDefault="009B1CB5" w:rsidP="004253EE">
      <w:pPr>
        <w:spacing w:after="0"/>
        <w:rPr>
          <w:rFonts w:cs="Tahoma"/>
          <w:lang w:val="en-GB"/>
        </w:rPr>
      </w:pPr>
      <w:r w:rsidRPr="00F554FC">
        <w:rPr>
          <w:rFonts w:cs="Tahoma"/>
          <w:lang w:val="en-GB"/>
        </w:rPr>
        <w:t>Persons</w:t>
      </w:r>
      <w:r w:rsidR="00C636DB" w:rsidRPr="00F554FC">
        <w:rPr>
          <w:rFonts w:cs="Tahoma"/>
          <w:lang w:val="en-GB"/>
        </w:rPr>
        <w:t xml:space="preserve"> with Disabilities</w:t>
      </w:r>
      <w:r w:rsidR="006E6B7C" w:rsidRPr="00F554FC">
        <w:rPr>
          <w:rFonts w:cs="Tahoma"/>
          <w:lang w:val="en-GB"/>
        </w:rPr>
        <w:t xml:space="preserve"> and the life of persons with disabilities in </w:t>
      </w:r>
    </w:p>
    <w:p w14:paraId="7CFCF0F9" w14:textId="1AD7BB20" w:rsidR="00943D94" w:rsidRPr="00F554FC" w:rsidRDefault="006E6B7C" w:rsidP="004253EE">
      <w:pPr>
        <w:spacing w:after="0"/>
        <w:rPr>
          <w:rFonts w:cs="Tahoma"/>
          <w:lang w:val="en-GB"/>
        </w:rPr>
      </w:pPr>
      <w:r w:rsidRPr="00F554FC">
        <w:rPr>
          <w:rFonts w:cs="Tahoma"/>
          <w:lang w:val="en-GB"/>
        </w:rPr>
        <w:t xml:space="preserve">Austria. </w:t>
      </w:r>
    </w:p>
    <w:p w14:paraId="1F93155D" w14:textId="77777777" w:rsidR="004903D8" w:rsidRPr="00F554FC" w:rsidRDefault="004903D8" w:rsidP="006E6B7C">
      <w:pPr>
        <w:rPr>
          <w:rFonts w:cs="Tahoma"/>
          <w:lang w:val="en-GB"/>
        </w:rPr>
      </w:pPr>
    </w:p>
    <w:sdt>
      <w:sdtPr>
        <w:rPr>
          <w:rFonts w:eastAsiaTheme="minorHAnsi" w:cstheme="minorBidi"/>
          <w:b w:val="0"/>
          <w:lang w:val="de-DE"/>
        </w:rPr>
        <w:id w:val="-1410543282"/>
        <w:docPartObj>
          <w:docPartGallery w:val="Table of Contents"/>
          <w:docPartUnique/>
        </w:docPartObj>
      </w:sdtPr>
      <w:sdtEndPr/>
      <w:sdtContent>
        <w:p w14:paraId="45F4BF7B" w14:textId="77777777" w:rsidR="00F554FC" w:rsidRPr="00F554FC" w:rsidRDefault="00F554FC" w:rsidP="00EF4341">
          <w:pPr>
            <w:pStyle w:val="berschrift3schwarz"/>
            <w:outlineLvl w:val="9"/>
            <w:rPr>
              <w:rFonts w:eastAsiaTheme="minorHAnsi" w:cstheme="minorBidi"/>
              <w:b w:val="0"/>
              <w:lang w:val="de-DE"/>
            </w:rPr>
          </w:pPr>
          <w:r w:rsidRPr="00F554FC">
            <w:rPr>
              <w:rFonts w:eastAsiaTheme="minorHAnsi" w:cstheme="minorBidi"/>
              <w:b w:val="0"/>
              <w:lang w:val="de-DE"/>
            </w:rPr>
            <w:br w:type="page"/>
          </w:r>
        </w:p>
        <w:p w14:paraId="50059362" w14:textId="77777777" w:rsidR="00874AD7" w:rsidRDefault="00E70D9F" w:rsidP="00EF4341">
          <w:pPr>
            <w:pStyle w:val="berschrift3schwarz"/>
            <w:outlineLvl w:val="9"/>
            <w:rPr>
              <w:noProof/>
            </w:rPr>
          </w:pPr>
          <w:r w:rsidRPr="00137839">
            <w:rPr>
              <w:bCs/>
              <w:lang w:val="de-DE"/>
            </w:rPr>
            <w:lastRenderedPageBreak/>
            <w:t>Table of Contents</w:t>
          </w:r>
          <w:r w:rsidR="00943D94" w:rsidRPr="00F554FC">
            <w:rPr>
              <w:rFonts w:cs="Tahoma"/>
              <w:bCs/>
              <w:noProof/>
            </w:rPr>
            <w:fldChar w:fldCharType="begin"/>
          </w:r>
          <w:r w:rsidR="00943D94" w:rsidRPr="00137839">
            <w:rPr>
              <w:bCs/>
            </w:rPr>
            <w:instrText xml:space="preserve"> TOC \o "1-3" \h \z \u </w:instrText>
          </w:r>
          <w:r w:rsidR="00943D94" w:rsidRPr="00F554FC">
            <w:rPr>
              <w:rFonts w:cs="Tahoma"/>
              <w:bCs/>
              <w:noProof/>
            </w:rPr>
            <w:fldChar w:fldCharType="separate"/>
          </w:r>
        </w:p>
        <w:p w14:paraId="2696352A" w14:textId="6C56CB82" w:rsidR="00874AD7" w:rsidRPr="00874AD7" w:rsidRDefault="00874AD7">
          <w:pPr>
            <w:pStyle w:val="TOC1"/>
            <w:rPr>
              <w:rFonts w:asciiTheme="minorHAnsi" w:eastAsiaTheme="minorEastAsia" w:hAnsiTheme="minorHAnsi" w:cstheme="minorBidi"/>
              <w:kern w:val="2"/>
              <w:lang w:val="de-AT" w:eastAsia="de-AT"/>
              <w14:ligatures w14:val="standardContextual"/>
            </w:rPr>
          </w:pPr>
          <w:hyperlink w:anchor="_Toc212464120" w:history="1">
            <w:r w:rsidRPr="00874AD7">
              <w:rPr>
                <w:rStyle w:val="Hyperlink"/>
              </w:rPr>
              <w:t>1.</w:t>
            </w:r>
            <w:r w:rsidRPr="00874AD7">
              <w:rPr>
                <w:rFonts w:asciiTheme="minorHAnsi" w:eastAsiaTheme="minorEastAsia" w:hAnsiTheme="minorHAnsi" w:cstheme="minorBidi"/>
                <w:kern w:val="2"/>
                <w:lang w:val="de-AT" w:eastAsia="de-AT"/>
                <w14:ligatures w14:val="standardContextual"/>
              </w:rPr>
              <w:tab/>
            </w:r>
            <w:r w:rsidRPr="00874AD7">
              <w:rPr>
                <w:rStyle w:val="Hyperlink"/>
              </w:rPr>
              <w:t>Existing data as well as monitoring and data collection tools on the level of political representation of persons with disabilities within local and national elected bodies.</w:t>
            </w:r>
            <w:r w:rsidRPr="00874AD7">
              <w:rPr>
                <w:webHidden/>
              </w:rPr>
              <w:tab/>
            </w:r>
            <w:r w:rsidRPr="00874AD7">
              <w:rPr>
                <w:webHidden/>
              </w:rPr>
              <w:fldChar w:fldCharType="begin"/>
            </w:r>
            <w:r w:rsidRPr="00874AD7">
              <w:rPr>
                <w:webHidden/>
              </w:rPr>
              <w:instrText xml:space="preserve"> PAGEREF _Toc212464120 \h </w:instrText>
            </w:r>
            <w:r w:rsidRPr="00874AD7">
              <w:rPr>
                <w:webHidden/>
              </w:rPr>
            </w:r>
            <w:r w:rsidRPr="00874AD7">
              <w:rPr>
                <w:webHidden/>
              </w:rPr>
              <w:fldChar w:fldCharType="separate"/>
            </w:r>
            <w:r w:rsidRPr="00874AD7">
              <w:rPr>
                <w:webHidden/>
              </w:rPr>
              <w:t>3</w:t>
            </w:r>
            <w:r w:rsidRPr="00874AD7">
              <w:rPr>
                <w:webHidden/>
              </w:rPr>
              <w:fldChar w:fldCharType="end"/>
            </w:r>
          </w:hyperlink>
        </w:p>
        <w:p w14:paraId="6B824A39" w14:textId="5F30B6BA" w:rsidR="00874AD7" w:rsidRPr="00874AD7" w:rsidRDefault="00874AD7">
          <w:pPr>
            <w:pStyle w:val="TOC1"/>
            <w:rPr>
              <w:rFonts w:asciiTheme="minorHAnsi" w:eastAsiaTheme="minorEastAsia" w:hAnsiTheme="minorHAnsi" w:cstheme="minorBidi"/>
              <w:kern w:val="2"/>
              <w:lang w:val="de-AT" w:eastAsia="de-AT"/>
              <w14:ligatures w14:val="standardContextual"/>
            </w:rPr>
          </w:pPr>
          <w:hyperlink w:anchor="_Toc212464121" w:history="1">
            <w:r w:rsidRPr="00874AD7">
              <w:rPr>
                <w:rStyle w:val="Hyperlink"/>
              </w:rPr>
              <w:t>2.</w:t>
            </w:r>
            <w:r w:rsidRPr="00874AD7">
              <w:rPr>
                <w:rFonts w:asciiTheme="minorHAnsi" w:eastAsiaTheme="minorEastAsia" w:hAnsiTheme="minorHAnsi" w:cstheme="minorBidi"/>
                <w:kern w:val="2"/>
                <w:lang w:val="de-AT" w:eastAsia="de-AT"/>
                <w14:ligatures w14:val="standardContextual"/>
              </w:rPr>
              <w:tab/>
            </w:r>
            <w:r w:rsidRPr="00874AD7">
              <w:rPr>
                <w:rStyle w:val="Hyperlink"/>
              </w:rPr>
              <w:t>Legal restrictions on running in elections or holding public office based on disability, including for people with intellectual and psychosocial disabilities, and specific examples of such legislation and policies.</w:t>
            </w:r>
            <w:r w:rsidRPr="00874AD7">
              <w:rPr>
                <w:webHidden/>
              </w:rPr>
              <w:tab/>
            </w:r>
            <w:r w:rsidRPr="00874AD7">
              <w:rPr>
                <w:webHidden/>
              </w:rPr>
              <w:fldChar w:fldCharType="begin"/>
            </w:r>
            <w:r w:rsidRPr="00874AD7">
              <w:rPr>
                <w:webHidden/>
              </w:rPr>
              <w:instrText xml:space="preserve"> PAGEREF _Toc212464121 \h </w:instrText>
            </w:r>
            <w:r w:rsidRPr="00874AD7">
              <w:rPr>
                <w:webHidden/>
              </w:rPr>
            </w:r>
            <w:r w:rsidRPr="00874AD7">
              <w:rPr>
                <w:webHidden/>
              </w:rPr>
              <w:fldChar w:fldCharType="separate"/>
            </w:r>
            <w:r w:rsidRPr="00874AD7">
              <w:rPr>
                <w:webHidden/>
              </w:rPr>
              <w:t>3</w:t>
            </w:r>
            <w:r w:rsidRPr="00874AD7">
              <w:rPr>
                <w:webHidden/>
              </w:rPr>
              <w:fldChar w:fldCharType="end"/>
            </w:r>
          </w:hyperlink>
        </w:p>
        <w:p w14:paraId="00664EDE" w14:textId="03A6F58D" w:rsidR="00874AD7" w:rsidRPr="00874AD7" w:rsidRDefault="00874AD7">
          <w:pPr>
            <w:pStyle w:val="TOC1"/>
            <w:rPr>
              <w:rFonts w:asciiTheme="minorHAnsi" w:eastAsiaTheme="minorEastAsia" w:hAnsiTheme="minorHAnsi" w:cstheme="minorBidi"/>
              <w:kern w:val="2"/>
              <w:lang w:val="de-AT" w:eastAsia="de-AT"/>
              <w14:ligatures w14:val="standardContextual"/>
            </w:rPr>
          </w:pPr>
          <w:hyperlink w:anchor="_Toc212464122" w:history="1">
            <w:r w:rsidRPr="00874AD7">
              <w:rPr>
                <w:rStyle w:val="Hyperlink"/>
              </w:rPr>
              <w:t>3.</w:t>
            </w:r>
            <w:r w:rsidRPr="00874AD7">
              <w:rPr>
                <w:rFonts w:asciiTheme="minorHAnsi" w:eastAsiaTheme="minorEastAsia" w:hAnsiTheme="minorHAnsi" w:cstheme="minorBidi"/>
                <w:kern w:val="2"/>
                <w:lang w:val="de-AT" w:eastAsia="de-AT"/>
                <w14:ligatures w14:val="standardContextual"/>
              </w:rPr>
              <w:tab/>
            </w:r>
            <w:r w:rsidRPr="00874AD7">
              <w:rPr>
                <w:rStyle w:val="Hyperlink"/>
              </w:rPr>
              <w:t>Existing stigma and ableist attitudes concerning the capacity of persons with disabilities to stand for elections and hold public office effectively.</w:t>
            </w:r>
            <w:r w:rsidRPr="00874AD7">
              <w:rPr>
                <w:webHidden/>
              </w:rPr>
              <w:tab/>
            </w:r>
            <w:r w:rsidRPr="00874AD7">
              <w:rPr>
                <w:webHidden/>
              </w:rPr>
              <w:fldChar w:fldCharType="begin"/>
            </w:r>
            <w:r w:rsidRPr="00874AD7">
              <w:rPr>
                <w:webHidden/>
              </w:rPr>
              <w:instrText xml:space="preserve"> PAGEREF _Toc212464122 \h </w:instrText>
            </w:r>
            <w:r w:rsidRPr="00874AD7">
              <w:rPr>
                <w:webHidden/>
              </w:rPr>
            </w:r>
            <w:r w:rsidRPr="00874AD7">
              <w:rPr>
                <w:webHidden/>
              </w:rPr>
              <w:fldChar w:fldCharType="separate"/>
            </w:r>
            <w:r w:rsidRPr="00874AD7">
              <w:rPr>
                <w:webHidden/>
              </w:rPr>
              <w:t>4</w:t>
            </w:r>
            <w:r w:rsidRPr="00874AD7">
              <w:rPr>
                <w:webHidden/>
              </w:rPr>
              <w:fldChar w:fldCharType="end"/>
            </w:r>
          </w:hyperlink>
        </w:p>
        <w:p w14:paraId="6FEC4C53" w14:textId="67CA06BB" w:rsidR="00874AD7" w:rsidRPr="00874AD7" w:rsidRDefault="00874AD7">
          <w:pPr>
            <w:pStyle w:val="TOC1"/>
            <w:rPr>
              <w:rFonts w:asciiTheme="minorHAnsi" w:eastAsiaTheme="minorEastAsia" w:hAnsiTheme="minorHAnsi" w:cstheme="minorBidi"/>
              <w:kern w:val="2"/>
              <w:lang w:val="de-AT" w:eastAsia="de-AT"/>
              <w14:ligatures w14:val="standardContextual"/>
            </w:rPr>
          </w:pPr>
          <w:hyperlink w:anchor="_Toc212464123" w:history="1">
            <w:r w:rsidRPr="00874AD7">
              <w:rPr>
                <w:rStyle w:val="Hyperlink"/>
              </w:rPr>
              <w:t>4.</w:t>
            </w:r>
            <w:r w:rsidRPr="00874AD7">
              <w:rPr>
                <w:rFonts w:asciiTheme="minorHAnsi" w:eastAsiaTheme="minorEastAsia" w:hAnsiTheme="minorHAnsi" w:cstheme="minorBidi"/>
                <w:kern w:val="2"/>
                <w:lang w:val="de-AT" w:eastAsia="de-AT"/>
                <w14:ligatures w14:val="standardContextual"/>
              </w:rPr>
              <w:tab/>
            </w:r>
            <w:r w:rsidRPr="00874AD7">
              <w:rPr>
                <w:rStyle w:val="Hyperlink"/>
              </w:rPr>
              <w:t>Other barriers that persons with disabilities face to enter politics, stand for elections and reach senior roles, including structural inaccessibility, financial challenges, and multiple and intersecting forms of discrimination.</w:t>
            </w:r>
            <w:r w:rsidRPr="00874AD7">
              <w:rPr>
                <w:webHidden/>
              </w:rPr>
              <w:tab/>
            </w:r>
            <w:r w:rsidRPr="00874AD7">
              <w:rPr>
                <w:webHidden/>
              </w:rPr>
              <w:fldChar w:fldCharType="begin"/>
            </w:r>
            <w:r w:rsidRPr="00874AD7">
              <w:rPr>
                <w:webHidden/>
              </w:rPr>
              <w:instrText xml:space="preserve"> PAGEREF _Toc212464123 \h </w:instrText>
            </w:r>
            <w:r w:rsidRPr="00874AD7">
              <w:rPr>
                <w:webHidden/>
              </w:rPr>
            </w:r>
            <w:r w:rsidRPr="00874AD7">
              <w:rPr>
                <w:webHidden/>
              </w:rPr>
              <w:fldChar w:fldCharType="separate"/>
            </w:r>
            <w:r w:rsidRPr="00874AD7">
              <w:rPr>
                <w:webHidden/>
              </w:rPr>
              <w:t>5</w:t>
            </w:r>
            <w:r w:rsidRPr="00874AD7">
              <w:rPr>
                <w:webHidden/>
              </w:rPr>
              <w:fldChar w:fldCharType="end"/>
            </w:r>
          </w:hyperlink>
        </w:p>
        <w:p w14:paraId="5738F667" w14:textId="2D09BE7A" w:rsidR="00874AD7" w:rsidRDefault="00874AD7">
          <w:pPr>
            <w:pStyle w:val="TOC1"/>
            <w:rPr>
              <w:rFonts w:asciiTheme="minorHAnsi" w:eastAsiaTheme="minorEastAsia" w:hAnsiTheme="minorHAnsi" w:cstheme="minorBidi"/>
              <w:kern w:val="2"/>
              <w:lang w:val="de-AT" w:eastAsia="de-AT"/>
              <w14:ligatures w14:val="standardContextual"/>
            </w:rPr>
          </w:pPr>
          <w:hyperlink w:anchor="_Toc212464124" w:history="1">
            <w:r w:rsidRPr="00365EF7">
              <w:rPr>
                <w:rStyle w:val="Hyperlink"/>
              </w:rPr>
              <w:t>5.</w:t>
            </w:r>
            <w:r>
              <w:rPr>
                <w:rFonts w:asciiTheme="minorHAnsi" w:eastAsiaTheme="minorEastAsia" w:hAnsiTheme="minorHAnsi" w:cstheme="minorBidi"/>
                <w:kern w:val="2"/>
                <w:lang w:val="de-AT" w:eastAsia="de-AT"/>
                <w14:ligatures w14:val="standardContextual"/>
              </w:rPr>
              <w:tab/>
            </w:r>
            <w:r w:rsidRPr="00365EF7">
              <w:rPr>
                <w:rStyle w:val="Hyperlink"/>
              </w:rPr>
              <w:t>Examples of successful measures and supports to ensure equal rights to stand in elections and hold public office effectively for persons with disabilities, including through reasonable accommodation, as well as specific examples and individual cases.</w:t>
            </w:r>
            <w:r>
              <w:rPr>
                <w:webHidden/>
              </w:rPr>
              <w:tab/>
            </w:r>
            <w:r>
              <w:rPr>
                <w:webHidden/>
              </w:rPr>
              <w:fldChar w:fldCharType="begin"/>
            </w:r>
            <w:r>
              <w:rPr>
                <w:webHidden/>
              </w:rPr>
              <w:instrText xml:space="preserve"> PAGEREF _Toc212464124 \h </w:instrText>
            </w:r>
            <w:r>
              <w:rPr>
                <w:webHidden/>
              </w:rPr>
            </w:r>
            <w:r>
              <w:rPr>
                <w:webHidden/>
              </w:rPr>
              <w:fldChar w:fldCharType="separate"/>
            </w:r>
            <w:r>
              <w:rPr>
                <w:webHidden/>
              </w:rPr>
              <w:t>7</w:t>
            </w:r>
            <w:r>
              <w:rPr>
                <w:webHidden/>
              </w:rPr>
              <w:fldChar w:fldCharType="end"/>
            </w:r>
          </w:hyperlink>
        </w:p>
        <w:p w14:paraId="295E0175" w14:textId="77777777" w:rsidR="00823AC3" w:rsidRPr="00F554FC" w:rsidRDefault="00943D94" w:rsidP="00BE13D5">
          <w:pPr>
            <w:rPr>
              <w:lang w:val="de-DE"/>
            </w:rPr>
          </w:pPr>
          <w:r w:rsidRPr="00F554FC">
            <w:rPr>
              <w:lang w:val="de-DE"/>
            </w:rPr>
            <w:fldChar w:fldCharType="end"/>
          </w:r>
        </w:p>
      </w:sdtContent>
    </w:sdt>
    <w:p w14:paraId="45B6EF84" w14:textId="77777777" w:rsidR="00137839" w:rsidRDefault="00137839" w:rsidP="00DC2ED4">
      <w:pPr>
        <w:pStyle w:val="ListParagraph"/>
        <w:numPr>
          <w:ilvl w:val="0"/>
          <w:numId w:val="30"/>
        </w:numPr>
        <w:outlineLvl w:val="0"/>
        <w:rPr>
          <w:rFonts w:eastAsiaTheme="majorEastAsia" w:cs="Tahoma"/>
          <w:b/>
          <w:bCs/>
          <w:color w:val="008746"/>
          <w:sz w:val="28"/>
          <w:szCs w:val="26"/>
          <w:lang w:val="en-GB"/>
        </w:rPr>
      </w:pPr>
      <w:r>
        <w:rPr>
          <w:rFonts w:eastAsiaTheme="majorEastAsia" w:cs="Tahoma"/>
          <w:b/>
          <w:bCs/>
          <w:color w:val="008746"/>
          <w:sz w:val="28"/>
          <w:szCs w:val="26"/>
          <w:lang w:val="en-GB"/>
        </w:rPr>
        <w:br w:type="page"/>
      </w:r>
    </w:p>
    <w:p w14:paraId="61F9218D" w14:textId="23D14FB3" w:rsidR="00F554FC" w:rsidRPr="00137839" w:rsidRDefault="00F554FC" w:rsidP="00137839">
      <w:pPr>
        <w:pStyle w:val="ListParagraph"/>
        <w:numPr>
          <w:ilvl w:val="0"/>
          <w:numId w:val="38"/>
        </w:numPr>
        <w:outlineLvl w:val="0"/>
        <w:rPr>
          <w:rFonts w:eastAsiaTheme="majorEastAsia" w:cs="Tahoma"/>
          <w:b/>
          <w:bCs/>
          <w:color w:val="008746"/>
          <w:sz w:val="28"/>
          <w:szCs w:val="26"/>
          <w:lang w:val="en-GB"/>
        </w:rPr>
      </w:pPr>
      <w:bookmarkStart w:id="9" w:name="_Toc212464120"/>
      <w:r w:rsidRPr="00137839">
        <w:rPr>
          <w:rFonts w:eastAsiaTheme="majorEastAsia" w:cs="Tahoma"/>
          <w:b/>
          <w:bCs/>
          <w:color w:val="008746"/>
          <w:sz w:val="28"/>
          <w:szCs w:val="26"/>
          <w:lang w:val="en-GB"/>
        </w:rPr>
        <w:lastRenderedPageBreak/>
        <w:t>Existing data as well as monitoring and data collection tools on the level of political representation of persons with disabilities within local and national elected bodies.</w:t>
      </w:r>
      <w:bookmarkEnd w:id="9"/>
    </w:p>
    <w:p w14:paraId="1B0A1E20" w14:textId="0D8836DF" w:rsidR="00F554FC" w:rsidRPr="00F554FC" w:rsidRDefault="00F554FC" w:rsidP="00C66AED">
      <w:pPr>
        <w:rPr>
          <w:rFonts w:cs="Tahoma"/>
          <w:lang w:val="en-GB"/>
        </w:rPr>
      </w:pPr>
      <w:r w:rsidRPr="00F554FC">
        <w:rPr>
          <w:rFonts w:cs="Tahoma"/>
          <w:lang w:val="en-GB"/>
        </w:rPr>
        <w:t xml:space="preserve">There </w:t>
      </w:r>
      <w:proofErr w:type="gramStart"/>
      <w:r w:rsidRPr="00F554FC">
        <w:rPr>
          <w:rFonts w:cs="Tahoma"/>
          <w:lang w:val="en-GB"/>
        </w:rPr>
        <w:t>is</w:t>
      </w:r>
      <w:proofErr w:type="gramEnd"/>
      <w:r w:rsidRPr="00F554FC">
        <w:rPr>
          <w:rFonts w:cs="Tahoma"/>
          <w:lang w:val="en-GB"/>
        </w:rPr>
        <w:t xml:space="preserve"> no such data or monitoring and data collection tools available in Austria regarding the political representation of persons with disabilities within local or national elected bodies, at least none that we are aware of.</w:t>
      </w:r>
    </w:p>
    <w:p w14:paraId="2858D723" w14:textId="77777777" w:rsidR="00F554FC" w:rsidRPr="00F554FC" w:rsidRDefault="00F554FC" w:rsidP="00137839">
      <w:pPr>
        <w:pStyle w:val="ListParagraph"/>
        <w:numPr>
          <w:ilvl w:val="0"/>
          <w:numId w:val="38"/>
        </w:numPr>
        <w:outlineLvl w:val="0"/>
        <w:rPr>
          <w:rFonts w:eastAsiaTheme="majorEastAsia" w:cs="Tahoma"/>
          <w:b/>
          <w:bCs/>
          <w:color w:val="008746"/>
          <w:sz w:val="28"/>
          <w:szCs w:val="26"/>
          <w:lang w:val="en-GB"/>
        </w:rPr>
      </w:pPr>
      <w:bookmarkStart w:id="10" w:name="_Toc212464121"/>
      <w:r w:rsidRPr="00F554FC">
        <w:rPr>
          <w:rFonts w:eastAsiaTheme="majorEastAsia" w:cs="Tahoma"/>
          <w:b/>
          <w:bCs/>
          <w:color w:val="008746"/>
          <w:sz w:val="28"/>
          <w:szCs w:val="26"/>
          <w:lang w:val="en-GB"/>
        </w:rPr>
        <w:t>Legal restrictions on running in elections or holding public office based on disability, including for people with intellectual and psychosocial disabilities, and specific examples of such legislation and policies.</w:t>
      </w:r>
      <w:bookmarkEnd w:id="10"/>
    </w:p>
    <w:p w14:paraId="0F6388B5" w14:textId="792DEDB5" w:rsidR="00F554FC" w:rsidRPr="00F554FC" w:rsidRDefault="00F554FC" w:rsidP="00F554FC">
      <w:pPr>
        <w:rPr>
          <w:rFonts w:cs="Tahoma"/>
          <w:lang w:val="en-GB"/>
        </w:rPr>
      </w:pPr>
      <w:r w:rsidRPr="00F554FC">
        <w:rPr>
          <w:rFonts w:cs="Tahoma"/>
          <w:lang w:val="en-GB"/>
        </w:rPr>
        <w:t>There are no legal restrictions for persons with disabilities on running in elections or holding public office in Austria, including for persons with intellectual or psychosocial disabilities.</w:t>
      </w:r>
    </w:p>
    <w:p w14:paraId="78803887" w14:textId="17A55F38" w:rsidR="00F554FC" w:rsidRPr="00F554FC" w:rsidRDefault="00F554FC" w:rsidP="00F554FC">
      <w:pPr>
        <w:rPr>
          <w:rFonts w:cs="Tahoma"/>
          <w:lang w:val="en-GB"/>
        </w:rPr>
      </w:pPr>
      <w:r w:rsidRPr="00F554FC">
        <w:rPr>
          <w:rFonts w:cs="Tahoma"/>
          <w:lang w:val="en-GB"/>
        </w:rPr>
        <w:t>In Austria, a person can lose their right to vote or to stand for election only in very limited cases. According to § 22 of the National Council Elections Act (</w:t>
      </w:r>
      <w:proofErr w:type="spellStart"/>
      <w:r w:rsidRPr="00F554FC">
        <w:rPr>
          <w:rFonts w:cs="Tahoma"/>
          <w:lang w:val="en-GB"/>
        </w:rPr>
        <w:t>Nationalrats-Wahlordnung</w:t>
      </w:r>
      <w:proofErr w:type="spellEnd"/>
      <w:r w:rsidRPr="00F554FC">
        <w:rPr>
          <w:rFonts w:cs="Tahoma"/>
          <w:lang w:val="en-GB"/>
        </w:rPr>
        <w:t>)</w:t>
      </w:r>
      <w:r w:rsidR="0028778E">
        <w:rPr>
          <w:rStyle w:val="FootnoteReference"/>
          <w:rFonts w:cs="Tahoma"/>
          <w:lang w:val="en-GB"/>
        </w:rPr>
        <w:footnoteReference w:id="1"/>
      </w:r>
      <w:r w:rsidRPr="00F554FC">
        <w:rPr>
          <w:rFonts w:cs="Tahoma"/>
          <w:lang w:val="en-GB"/>
        </w:rPr>
        <w:t>, this is possible only if a person has been convicted of a criminal offence and sentenced to more than one year of imprisonment, and the court explicitly decides to withdraw the voting rights. This measure must be specifically justified by the court and is not applied automatically.</w:t>
      </w:r>
    </w:p>
    <w:p w14:paraId="6A059CC2" w14:textId="19D98FE2" w:rsidR="00F554FC" w:rsidRPr="00F554FC" w:rsidRDefault="00F554FC" w:rsidP="00F554FC">
      <w:pPr>
        <w:rPr>
          <w:rFonts w:cs="Tahoma"/>
          <w:lang w:val="en-GB"/>
        </w:rPr>
      </w:pPr>
      <w:r w:rsidRPr="00F554FC">
        <w:rPr>
          <w:rFonts w:cs="Tahoma"/>
          <w:lang w:val="en-GB"/>
        </w:rPr>
        <w:t xml:space="preserve">Importantly, disability </w:t>
      </w:r>
      <w:r>
        <w:rPr>
          <w:rFonts w:cs="Tahoma"/>
          <w:lang w:val="en-GB"/>
        </w:rPr>
        <w:t>-</w:t>
      </w:r>
      <w:r w:rsidRPr="00F554FC">
        <w:rPr>
          <w:rFonts w:cs="Tahoma"/>
          <w:lang w:val="en-GB"/>
        </w:rPr>
        <w:t xml:space="preserve"> including intellectual </w:t>
      </w:r>
      <w:r w:rsidR="006E4A31">
        <w:rPr>
          <w:rFonts w:cs="Tahoma"/>
          <w:lang w:val="en-GB"/>
        </w:rPr>
        <w:t>and/</w:t>
      </w:r>
      <w:r w:rsidRPr="00F554FC">
        <w:rPr>
          <w:rFonts w:cs="Tahoma"/>
          <w:lang w:val="en-GB"/>
        </w:rPr>
        <w:t xml:space="preserve">or psychosocial disabilities </w:t>
      </w:r>
      <w:r>
        <w:rPr>
          <w:rFonts w:cs="Tahoma"/>
          <w:lang w:val="en-GB"/>
        </w:rPr>
        <w:t>-</w:t>
      </w:r>
      <w:r w:rsidRPr="00F554FC">
        <w:rPr>
          <w:rFonts w:cs="Tahoma"/>
          <w:lang w:val="en-GB"/>
        </w:rPr>
        <w:t xml:space="preserve"> is not a reason for losing the right to vote or to stand for election. The withdrawal of voting rights also cannot be based on guardianship (court-appointed adult representation) or a limitation of decision-making capacity.</w:t>
      </w:r>
    </w:p>
    <w:p w14:paraId="745BB948" w14:textId="41E24F01" w:rsidR="00F554FC" w:rsidRPr="00F554FC" w:rsidRDefault="00F554FC" w:rsidP="00F554FC">
      <w:pPr>
        <w:rPr>
          <w:rFonts w:cs="Tahoma"/>
          <w:lang w:val="en-GB"/>
        </w:rPr>
      </w:pPr>
      <w:r w:rsidRPr="00F554FC">
        <w:rPr>
          <w:rFonts w:cs="Tahoma"/>
          <w:lang w:val="en-GB"/>
        </w:rPr>
        <w:t>The general eligibility requirements to run for the National Council (</w:t>
      </w:r>
      <w:proofErr w:type="spellStart"/>
      <w:r w:rsidRPr="00F554FC">
        <w:rPr>
          <w:rFonts w:cs="Tahoma"/>
          <w:lang w:val="en-GB"/>
        </w:rPr>
        <w:t>Nationalrat</w:t>
      </w:r>
      <w:proofErr w:type="spellEnd"/>
      <w:r w:rsidRPr="00F554FC">
        <w:rPr>
          <w:rFonts w:cs="Tahoma"/>
          <w:lang w:val="en-GB"/>
        </w:rPr>
        <w:t>) are:</w:t>
      </w:r>
      <w:r w:rsidR="00503B7C">
        <w:rPr>
          <w:rStyle w:val="FootnoteReference"/>
          <w:rFonts w:cs="Tahoma"/>
          <w:lang w:val="en-GB"/>
        </w:rPr>
        <w:footnoteReference w:id="2"/>
      </w:r>
    </w:p>
    <w:p w14:paraId="7DDFF431" w14:textId="77777777" w:rsidR="00F554FC" w:rsidRPr="00F554FC" w:rsidRDefault="00F554FC" w:rsidP="00F554FC">
      <w:pPr>
        <w:numPr>
          <w:ilvl w:val="0"/>
          <w:numId w:val="33"/>
        </w:numPr>
        <w:rPr>
          <w:rFonts w:cs="Tahoma"/>
        </w:rPr>
      </w:pPr>
      <w:r w:rsidRPr="00F554FC">
        <w:rPr>
          <w:rFonts w:cs="Tahoma"/>
        </w:rPr>
        <w:t xml:space="preserve">Austrian </w:t>
      </w:r>
      <w:proofErr w:type="spellStart"/>
      <w:r w:rsidRPr="00F554FC">
        <w:rPr>
          <w:rFonts w:cs="Tahoma"/>
        </w:rPr>
        <w:t>citizenship</w:t>
      </w:r>
      <w:proofErr w:type="spellEnd"/>
      <w:r w:rsidRPr="00F554FC">
        <w:rPr>
          <w:rFonts w:cs="Tahoma"/>
        </w:rPr>
        <w:t>,</w:t>
      </w:r>
    </w:p>
    <w:p w14:paraId="13A7F184" w14:textId="77777777" w:rsidR="00F554FC" w:rsidRPr="00F554FC" w:rsidRDefault="00F554FC" w:rsidP="00F554FC">
      <w:pPr>
        <w:numPr>
          <w:ilvl w:val="0"/>
          <w:numId w:val="33"/>
        </w:numPr>
        <w:rPr>
          <w:rFonts w:cs="Tahoma"/>
          <w:lang w:val="en-GB"/>
        </w:rPr>
      </w:pPr>
      <w:r w:rsidRPr="00F554FC">
        <w:rPr>
          <w:rFonts w:cs="Tahoma"/>
          <w:lang w:val="en-GB"/>
        </w:rPr>
        <w:t>at least 18 years of age on election day, and</w:t>
      </w:r>
    </w:p>
    <w:p w14:paraId="2CE91638" w14:textId="77777777" w:rsidR="00F554FC" w:rsidRPr="00F554FC" w:rsidRDefault="00F554FC" w:rsidP="00F554FC">
      <w:pPr>
        <w:numPr>
          <w:ilvl w:val="0"/>
          <w:numId w:val="33"/>
        </w:numPr>
        <w:rPr>
          <w:rFonts w:cs="Tahoma"/>
          <w:lang w:val="en-GB"/>
        </w:rPr>
      </w:pPr>
      <w:r w:rsidRPr="00F554FC">
        <w:rPr>
          <w:rFonts w:cs="Tahoma"/>
          <w:lang w:val="en-GB"/>
        </w:rPr>
        <w:t>eligibility to vote in National Council elections (i.e. not being excluded from voting rights by a court decision).</w:t>
      </w:r>
    </w:p>
    <w:p w14:paraId="05061DD7" w14:textId="34143FC5" w:rsidR="00F554FC" w:rsidRPr="00F554FC" w:rsidRDefault="00F554FC" w:rsidP="00F554FC">
      <w:pPr>
        <w:rPr>
          <w:rFonts w:cs="Tahoma"/>
          <w:lang w:val="en-GB"/>
        </w:rPr>
      </w:pPr>
      <w:r w:rsidRPr="00F554FC">
        <w:rPr>
          <w:rFonts w:cs="Tahoma"/>
          <w:lang w:val="en-GB"/>
        </w:rPr>
        <w:lastRenderedPageBreak/>
        <w:t>Thus, unless a person has been deprived of their voting rights by a judicial decision</w:t>
      </w:r>
      <w:r>
        <w:rPr>
          <w:rFonts w:cs="Tahoma"/>
          <w:lang w:val="en-GB"/>
        </w:rPr>
        <w:t xml:space="preserve"> -</w:t>
      </w:r>
      <w:r w:rsidRPr="00F554FC">
        <w:rPr>
          <w:rFonts w:cs="Tahoma"/>
          <w:lang w:val="en-GB"/>
        </w:rPr>
        <w:t>which is very rare and not disability-specific</w:t>
      </w:r>
      <w:r>
        <w:rPr>
          <w:rFonts w:cs="Tahoma"/>
          <w:lang w:val="en-GB"/>
        </w:rPr>
        <w:t xml:space="preserve"> - </w:t>
      </w:r>
      <w:r w:rsidRPr="00F554FC">
        <w:rPr>
          <w:rFonts w:cs="Tahoma"/>
          <w:lang w:val="en-GB"/>
        </w:rPr>
        <w:t>persons with disabilities have the same rights to stand for election as any other citizen.</w:t>
      </w:r>
    </w:p>
    <w:p w14:paraId="538B0FEE" w14:textId="6BA323EC" w:rsidR="00F554FC" w:rsidRPr="00F554FC" w:rsidRDefault="00F554FC" w:rsidP="00137839">
      <w:pPr>
        <w:pStyle w:val="Heading1"/>
        <w:numPr>
          <w:ilvl w:val="0"/>
          <w:numId w:val="38"/>
        </w:numPr>
        <w:jc w:val="left"/>
        <w:rPr>
          <w:rFonts w:cs="Tahoma"/>
          <w:sz w:val="28"/>
          <w:szCs w:val="26"/>
          <w:lang w:val="en-GB"/>
        </w:rPr>
      </w:pPr>
      <w:bookmarkStart w:id="11" w:name="_Toc212464122"/>
      <w:r w:rsidRPr="00F554FC">
        <w:rPr>
          <w:rFonts w:cs="Tahoma"/>
          <w:sz w:val="28"/>
          <w:szCs w:val="26"/>
          <w:lang w:val="en-GB"/>
        </w:rPr>
        <w:t>Existing stigma and ableist attitudes concerning the capacity of persons with disabilities to stand for elections and hold public office effectively.</w:t>
      </w:r>
      <w:bookmarkEnd w:id="11"/>
    </w:p>
    <w:p w14:paraId="136C2C6F" w14:textId="7FA46809" w:rsidR="00F554FC" w:rsidRPr="00F554FC" w:rsidRDefault="00F554FC" w:rsidP="00F554FC">
      <w:pPr>
        <w:rPr>
          <w:rFonts w:cs="Tahoma"/>
          <w:lang w:val="en-GB"/>
        </w:rPr>
      </w:pPr>
      <w:r w:rsidRPr="00F554FC">
        <w:rPr>
          <w:rFonts w:cs="Tahoma"/>
          <w:lang w:val="en-GB"/>
        </w:rPr>
        <w:t>There is no specific data or research in Austria on stigma or ableist attitudes regarding the capacity of persons with disabilities to stand for elections or hold public office effectively.</w:t>
      </w:r>
    </w:p>
    <w:p w14:paraId="1F463DA5" w14:textId="0278F69A" w:rsidR="00F554FC" w:rsidRPr="00F554FC" w:rsidRDefault="00F554FC" w:rsidP="00F554FC">
      <w:pPr>
        <w:rPr>
          <w:rFonts w:cs="Tahoma"/>
          <w:lang w:val="en-GB"/>
        </w:rPr>
      </w:pPr>
      <w:r w:rsidRPr="00F554FC">
        <w:rPr>
          <w:rFonts w:cs="Tahoma"/>
          <w:lang w:val="en-GB"/>
        </w:rPr>
        <w:t xml:space="preserve">However, it can be observed that persons with disabilities in general continue to face stigma and ableist assumptions in society </w:t>
      </w:r>
      <w:r w:rsidR="006E4A31">
        <w:rPr>
          <w:rFonts w:cs="Tahoma"/>
          <w:lang w:val="en-GB"/>
        </w:rPr>
        <w:t>-</w:t>
      </w:r>
      <w:r w:rsidRPr="00F554FC">
        <w:rPr>
          <w:rFonts w:cs="Tahoma"/>
          <w:lang w:val="en-GB"/>
        </w:rPr>
        <w:t xml:space="preserve"> including perceptions that they are less capable, less competent, or less credible in positions of responsibility or public leadership. Such attitudes contribute to the broader underrepresentation of persons with disabilities in political life and may discourage individuals from seeking public office or active political participation.</w:t>
      </w:r>
    </w:p>
    <w:p w14:paraId="0C6BD226" w14:textId="7205428B" w:rsidR="00FF4018" w:rsidRDefault="00F554FC" w:rsidP="00C66AED">
      <w:pPr>
        <w:rPr>
          <w:rFonts w:cs="Tahoma"/>
          <w:lang w:val="en-GB"/>
        </w:rPr>
      </w:pPr>
      <w:r w:rsidRPr="00F554FC">
        <w:rPr>
          <w:rFonts w:cs="Tahoma"/>
          <w:lang w:val="en-GB"/>
        </w:rPr>
        <w:t>These barriers are often even more pronounced for women with disabilities, who experience intersectional discrimination based on both gender and disability, further limiting their opportunities and visibility in political roles.</w:t>
      </w:r>
    </w:p>
    <w:p w14:paraId="34620FBC" w14:textId="45EF86F6" w:rsidR="00FF4018" w:rsidRDefault="00FF4018" w:rsidP="00C66AED">
      <w:pPr>
        <w:rPr>
          <w:rFonts w:cs="Tahoma"/>
          <w:lang w:val="en-GB"/>
        </w:rPr>
      </w:pPr>
      <w:r w:rsidRPr="00FF4018">
        <w:rPr>
          <w:rFonts w:cs="Tahoma"/>
          <w:lang w:val="en-GB"/>
        </w:rPr>
        <w:t>The CEDAW Committee specifically recommended that Austria adopt temporary special measures and time-bound targets to increase the participation of women, including women with disabilities, in political and public life.</w:t>
      </w:r>
      <w:r w:rsidRPr="00FF4018">
        <w:rPr>
          <w:rStyle w:val="FootnoteReference"/>
          <w:rFonts w:cs="Tahoma"/>
          <w:lang w:val="en-GB"/>
        </w:rPr>
        <w:t xml:space="preserve"> </w:t>
      </w:r>
      <w:r>
        <w:rPr>
          <w:rStyle w:val="FootnoteReference"/>
          <w:rFonts w:cs="Tahoma"/>
          <w:lang w:val="en-GB"/>
        </w:rPr>
        <w:footnoteReference w:id="3"/>
      </w:r>
      <w:r w:rsidRPr="00FF4018">
        <w:rPr>
          <w:rFonts w:cs="Tahoma"/>
          <w:lang w:val="en-GB"/>
        </w:rPr>
        <w:t xml:space="preserve"> Similarly, the CRPD Committee noted that participation in political and public life by children and young persons with disabilities is seriously limited, highlighting the need for measures that ensure political inclusion across all age groups.</w:t>
      </w:r>
      <w:r>
        <w:rPr>
          <w:rStyle w:val="FootnoteReference"/>
          <w:rFonts w:cs="Tahoma"/>
          <w:lang w:val="en-GB"/>
        </w:rPr>
        <w:footnoteReference w:id="4"/>
      </w:r>
    </w:p>
    <w:p w14:paraId="0D1D60F4" w14:textId="1D9563EB" w:rsidR="00FF4018" w:rsidRPr="00FF4018" w:rsidRDefault="00FF4018" w:rsidP="00137839">
      <w:pPr>
        <w:pStyle w:val="Heading1"/>
        <w:numPr>
          <w:ilvl w:val="0"/>
          <w:numId w:val="38"/>
        </w:numPr>
        <w:jc w:val="left"/>
        <w:rPr>
          <w:rFonts w:cs="Tahoma"/>
          <w:sz w:val="28"/>
          <w:szCs w:val="26"/>
          <w:lang w:val="en-GB"/>
        </w:rPr>
      </w:pPr>
      <w:bookmarkStart w:id="12" w:name="_Toc212464123"/>
      <w:r w:rsidRPr="00FF4018">
        <w:rPr>
          <w:rFonts w:cs="Tahoma"/>
          <w:sz w:val="28"/>
          <w:szCs w:val="26"/>
          <w:lang w:val="en-GB"/>
        </w:rPr>
        <w:lastRenderedPageBreak/>
        <w:t>Other barriers that persons with disabilities face to enter politics, stand for elections and reach senior roles, including structural inaccessibility, financial challenges, and multiple and intersecting forms of discrimination.</w:t>
      </w:r>
      <w:bookmarkEnd w:id="12"/>
    </w:p>
    <w:p w14:paraId="219621C7" w14:textId="05B20B71" w:rsidR="00F554FC" w:rsidRDefault="00DC2ED4" w:rsidP="00FF4018">
      <w:pPr>
        <w:rPr>
          <w:rFonts w:cs="Tahoma"/>
          <w:lang w:val="en-GB"/>
        </w:rPr>
      </w:pPr>
      <w:r>
        <w:rPr>
          <w:rFonts w:cs="Tahoma"/>
          <w:lang w:val="en-GB"/>
        </w:rPr>
        <w:t>There are several barriers in Austria that persons with disabilities face when entering politics, standing for elections, and reaching senior roles.</w:t>
      </w:r>
    </w:p>
    <w:p w14:paraId="736F9658" w14:textId="4ED6D032" w:rsidR="00FF4018" w:rsidRPr="00F554FC" w:rsidRDefault="00137839" w:rsidP="00FF4018">
      <w:pPr>
        <w:spacing w:after="160"/>
        <w:rPr>
          <w:rFonts w:cs="Tahoma"/>
          <w:lang w:val="en-GB"/>
        </w:rPr>
      </w:pPr>
      <w:r>
        <w:rPr>
          <w:rFonts w:cs="Tahoma"/>
          <w:lang w:val="en-GB"/>
        </w:rPr>
        <w:t>T</w:t>
      </w:r>
      <w:r w:rsidR="00DC2ED4" w:rsidRPr="00DC2ED4">
        <w:rPr>
          <w:rFonts w:cs="Tahoma"/>
          <w:lang w:val="en-GB"/>
        </w:rPr>
        <w:t>hese barriers often begin early, in schools</w:t>
      </w:r>
      <w:r w:rsidR="00FF4018" w:rsidRPr="00F554FC">
        <w:rPr>
          <w:rFonts w:cs="Tahoma"/>
          <w:lang w:val="en-GB"/>
        </w:rPr>
        <w:t xml:space="preserve">, where inclusive education is </w:t>
      </w:r>
      <w:r w:rsidR="00DC2ED4">
        <w:rPr>
          <w:rFonts w:cs="Tahoma"/>
          <w:lang w:val="en-GB"/>
        </w:rPr>
        <w:t xml:space="preserve">still </w:t>
      </w:r>
      <w:r w:rsidR="00FF4018" w:rsidRPr="00F554FC">
        <w:rPr>
          <w:rFonts w:cs="Tahoma"/>
          <w:lang w:val="en-GB"/>
        </w:rPr>
        <w:t>lacking</w:t>
      </w:r>
      <w:r w:rsidR="00FF4018" w:rsidRPr="00F554FC">
        <w:rPr>
          <w:rStyle w:val="FootnoteReference"/>
          <w:rFonts w:cs="Tahoma"/>
          <w:lang w:val="en-GB"/>
        </w:rPr>
        <w:footnoteReference w:id="5"/>
      </w:r>
      <w:r w:rsidR="00FF4018" w:rsidRPr="00F554FC">
        <w:rPr>
          <w:rFonts w:cs="Tahoma"/>
          <w:lang w:val="en-GB"/>
        </w:rPr>
        <w:t>, and political education for persons with disabilities remains insufficient. The Federal Constitutional Law in Austria identifies education that promotes an understanding of democracy and empowers participation in political processes as a key goal of the Austrian education system.</w:t>
      </w:r>
      <w:r w:rsidR="00FF4018" w:rsidRPr="00F554FC">
        <w:rPr>
          <w:rStyle w:val="FootnoteReference"/>
          <w:rFonts w:cs="Tahoma"/>
          <w:lang w:val="en-GB"/>
        </w:rPr>
        <w:footnoteReference w:id="6"/>
      </w:r>
      <w:r w:rsidR="00FF4018" w:rsidRPr="00F554FC">
        <w:rPr>
          <w:rFonts w:cs="Tahoma"/>
          <w:lang w:val="en-GB"/>
        </w:rPr>
        <w:t xml:space="preserve"> However, outside of schools providing vocational education (</w:t>
      </w:r>
      <w:proofErr w:type="spellStart"/>
      <w:r w:rsidR="00FF4018" w:rsidRPr="00F554FC">
        <w:rPr>
          <w:rFonts w:cs="Tahoma"/>
          <w:lang w:val="en-GB"/>
        </w:rPr>
        <w:t>Berufsschule</w:t>
      </w:r>
      <w:proofErr w:type="spellEnd"/>
      <w:r w:rsidR="00FF4018" w:rsidRPr="00F554FC">
        <w:rPr>
          <w:rFonts w:cs="Tahoma"/>
          <w:lang w:val="en-GB"/>
        </w:rPr>
        <w:t>), there is no specific subject dedicated to political education. The concept of political education is an instructional principle rather than a separate subject, which is why there is no specialized teacher training program for it. This principle of political education is meant to be integrated across all subjects. Typically, from the 9</w:t>
      </w:r>
      <w:r w:rsidR="00FF4018" w:rsidRPr="00F554FC">
        <w:rPr>
          <w:rFonts w:cs="Tahoma"/>
          <w:vertAlign w:val="superscript"/>
          <w:lang w:val="en-GB"/>
        </w:rPr>
        <w:t>th</w:t>
      </w:r>
      <w:r w:rsidR="00FF4018" w:rsidRPr="00F554FC">
        <w:rPr>
          <w:rFonts w:cs="Tahoma"/>
          <w:lang w:val="en-GB"/>
        </w:rPr>
        <w:t xml:space="preserve"> grade onwards, political education is primarily taught as part of history and social studies lessons.</w:t>
      </w:r>
      <w:r w:rsidR="00FF4018" w:rsidRPr="00F554FC">
        <w:rPr>
          <w:rStyle w:val="FootnoteReference"/>
          <w:rFonts w:cs="Tahoma"/>
          <w:lang w:val="en-GB"/>
        </w:rPr>
        <w:footnoteReference w:id="7"/>
      </w:r>
      <w:r w:rsidR="00FF4018" w:rsidRPr="00F554FC">
        <w:rPr>
          <w:lang w:val="en-GB"/>
        </w:rPr>
        <w:t xml:space="preserve"> </w:t>
      </w:r>
      <w:r w:rsidR="00FF4018" w:rsidRPr="00F554FC">
        <w:rPr>
          <w:rFonts w:cs="Tahoma"/>
          <w:lang w:val="en-GB"/>
        </w:rPr>
        <w:t xml:space="preserve">As a result, political education is poorly covered in regular schools. For persons with disabilities, political education tends to play an even more subordinate role in Austria´s still segregated education system, further limiting their opportunities for full participation in democratic processes. </w:t>
      </w:r>
    </w:p>
    <w:p w14:paraId="1AE7B0F2" w14:textId="759926B1" w:rsidR="00FF4018" w:rsidRPr="00F554FC" w:rsidRDefault="00FF4018" w:rsidP="00FF4018">
      <w:pPr>
        <w:spacing w:after="160"/>
        <w:rPr>
          <w:rFonts w:cs="Tahoma"/>
          <w:highlight w:val="yellow"/>
          <w:lang w:val="en-GB"/>
        </w:rPr>
      </w:pPr>
      <w:r w:rsidRPr="00F554FC">
        <w:rPr>
          <w:rFonts w:cs="Tahoma"/>
          <w:lang w:val="en-GB"/>
        </w:rPr>
        <w:t>Moreover, information about the political system, electoral processes, and key political issues is often not available in accessible formats, whether at the regional, national, European, or international level. This makes it significantly harder for persons with disabilities to actively engage in political discourse. Without equal access to political knowledge, meaningful participation remains limited. To promote true democratic inclusion, it is essential to ensure that political education is available in accessible formats for everyone.</w:t>
      </w:r>
      <w:r w:rsidRPr="00F554FC">
        <w:rPr>
          <w:rStyle w:val="FootnoteReference"/>
          <w:rFonts w:cs="Tahoma"/>
          <w:lang w:val="en-GB"/>
        </w:rPr>
        <w:footnoteReference w:id="8"/>
      </w:r>
      <w:r w:rsidRPr="00F554FC">
        <w:rPr>
          <w:rFonts w:cs="Tahoma"/>
          <w:highlight w:val="yellow"/>
          <w:lang w:val="en-GB"/>
        </w:rPr>
        <w:t xml:space="preserve"> </w:t>
      </w:r>
    </w:p>
    <w:p w14:paraId="7B9D94A2" w14:textId="2590C824" w:rsidR="00FF4018" w:rsidRPr="00F554FC" w:rsidRDefault="00FF4018" w:rsidP="00FF4018">
      <w:pPr>
        <w:rPr>
          <w:rFonts w:cs="Tahoma"/>
          <w:lang w:val="en-GB"/>
        </w:rPr>
      </w:pPr>
      <w:r w:rsidRPr="00F554FC">
        <w:rPr>
          <w:rFonts w:cs="Tahoma"/>
          <w:lang w:val="en-GB"/>
        </w:rPr>
        <w:lastRenderedPageBreak/>
        <w:t>A key indicator of full political inclusion is the representation of persons with disabilities in parliaments and public office. Representation of persons with disabilities in the parliament in Austria has historically been very limited. This absence is a strong signal of the systemic barriers that still exist in political participation. Additionally, each party represented in parliament has its own spokesperson for disability issues, responsible for addressing the concerns of persons with disabilities. However, these representatives rarely identify as persons with disabilities themselves.</w:t>
      </w:r>
    </w:p>
    <w:p w14:paraId="675BF5FF" w14:textId="77777777" w:rsidR="00FF4018" w:rsidRPr="00F554FC" w:rsidRDefault="00FF4018" w:rsidP="00FF4018">
      <w:pPr>
        <w:rPr>
          <w:rFonts w:cs="Tahoma"/>
          <w:lang w:val="en-GB"/>
        </w:rPr>
      </w:pPr>
      <w:r w:rsidRPr="00F554FC">
        <w:rPr>
          <w:rFonts w:cs="Tahoma"/>
          <w:lang w:val="en-GB"/>
        </w:rPr>
        <w:t>This lack of representation extends to the European level. It appears that no Austrian politician with a disability was included on any party list for the European Parliament elections, at least none who openly identified as a person with a disability. This reflects a broader issue: if persons with disabilities are already underrepresented at the national level, their presence at the European level becomes even less likely. The barriers at the EU level are even greater, as political campaigns often require extensive resources and international mobility.</w:t>
      </w:r>
    </w:p>
    <w:p w14:paraId="4DF92E3F" w14:textId="77777777" w:rsidR="00FF4018" w:rsidRPr="00F554FC" w:rsidRDefault="00FF4018" w:rsidP="00FF4018">
      <w:pPr>
        <w:rPr>
          <w:rFonts w:cs="Tahoma"/>
          <w:lang w:val="en-GB"/>
        </w:rPr>
      </w:pPr>
      <w:r w:rsidRPr="00F554FC">
        <w:rPr>
          <w:rFonts w:cs="Tahoma"/>
          <w:lang w:val="en-GB"/>
        </w:rPr>
        <w:t>However, three Austrian representatives are members of the Disability Intergroup in the European Parliament</w:t>
      </w:r>
      <w:r w:rsidRPr="00F554FC">
        <w:rPr>
          <w:lang w:val="en-GB"/>
        </w:rPr>
        <w:t>,</w:t>
      </w:r>
      <w:r w:rsidRPr="00F554FC">
        <w:rPr>
          <w:rFonts w:cs="Tahoma"/>
          <w:lang w:val="en-GB"/>
        </w:rPr>
        <w:t xml:space="preserve"> although they are not persons with disabilities themselves, highlighting that disability-related issues are at least recognized.</w:t>
      </w:r>
      <w:r w:rsidRPr="00F554FC">
        <w:rPr>
          <w:rStyle w:val="FootnoteReference"/>
          <w:rFonts w:cs="Tahoma"/>
          <w:lang w:val="en-GB"/>
        </w:rPr>
        <w:footnoteReference w:id="9"/>
      </w:r>
    </w:p>
    <w:p w14:paraId="6B701554" w14:textId="77777777" w:rsidR="00FF4018" w:rsidRPr="00F554FC" w:rsidRDefault="00FF4018" w:rsidP="00FF4018">
      <w:pPr>
        <w:spacing w:after="160"/>
        <w:rPr>
          <w:rFonts w:cs="Tahoma"/>
          <w:lang w:val="en-GB"/>
        </w:rPr>
      </w:pPr>
      <w:r w:rsidRPr="00F554FC">
        <w:rPr>
          <w:rFonts w:cs="Tahoma"/>
          <w:lang w:val="en-GB"/>
        </w:rPr>
        <w:t>Moreover, local political parties, where one might begin their political career, are often not designed to be accessible or inclusive. As a result, persons with disabilities are excluded from the start, with limited opportunities to engage in political activities, join party structures, or gain experience in public office. This early exclusion creates significant barriers to political participation that persist throughout their lives.</w:t>
      </w:r>
    </w:p>
    <w:p w14:paraId="57870023" w14:textId="77777777" w:rsidR="00FF4018" w:rsidRPr="00F554FC" w:rsidRDefault="00FF4018" w:rsidP="00FF4018">
      <w:pPr>
        <w:rPr>
          <w:rFonts w:cs="Tahoma"/>
          <w:lang w:val="en-GB"/>
        </w:rPr>
      </w:pPr>
      <w:r w:rsidRPr="00F554FC">
        <w:rPr>
          <w:rFonts w:cs="Tahoma"/>
          <w:lang w:val="en-GB"/>
        </w:rPr>
        <w:t>The significance of local-level participation is undeniable, as it is often the closest point of interaction between citizens and political decision-making. However, persons with disabilities face major barriers to engagement at this level. Additionally, limited opportunities to represent themselves and external limitations further restrict their ability to engage fully in political processes.</w:t>
      </w:r>
      <w:r w:rsidRPr="00F554FC">
        <w:rPr>
          <w:rStyle w:val="FootnoteReference"/>
          <w:rFonts w:cs="Tahoma"/>
          <w:lang w:val="en-GB"/>
        </w:rPr>
        <w:footnoteReference w:id="10"/>
      </w:r>
    </w:p>
    <w:p w14:paraId="4671790B" w14:textId="0E2CBBAF" w:rsidR="00FF4018" w:rsidRPr="00F554FC" w:rsidRDefault="00137839" w:rsidP="00FF4018">
      <w:pPr>
        <w:rPr>
          <w:rFonts w:cs="Tahoma"/>
          <w:lang w:val="en-GB"/>
        </w:rPr>
      </w:pPr>
      <w:r>
        <w:rPr>
          <w:rFonts w:cs="Tahoma"/>
          <w:lang w:val="en-GB"/>
        </w:rPr>
        <w:t>Moreover</w:t>
      </w:r>
      <w:r w:rsidR="00DC2ED4">
        <w:rPr>
          <w:rFonts w:cs="Tahoma"/>
          <w:lang w:val="en-GB"/>
        </w:rPr>
        <w:t>, t</w:t>
      </w:r>
      <w:r w:rsidR="00FF4018" w:rsidRPr="00F554FC">
        <w:rPr>
          <w:rFonts w:cs="Tahoma"/>
          <w:lang w:val="en-GB"/>
        </w:rPr>
        <w:t xml:space="preserve">here is a significant underrepresentation of women in political decision-making roles. Women are also notably underrepresented in high-level and </w:t>
      </w:r>
      <w:r w:rsidR="00FF4018" w:rsidRPr="00F554FC">
        <w:rPr>
          <w:rFonts w:cs="Tahoma"/>
          <w:lang w:val="en-GB"/>
        </w:rPr>
        <w:lastRenderedPageBreak/>
        <w:t>managerial positions, as well as on the boards of private enterprises.</w:t>
      </w:r>
      <w:r w:rsidR="00FF4018" w:rsidRPr="00F554FC">
        <w:rPr>
          <w:rStyle w:val="FootnoteReference"/>
          <w:rFonts w:cs="Tahoma"/>
          <w:lang w:val="en-GB"/>
        </w:rPr>
        <w:footnoteReference w:id="11"/>
      </w:r>
      <w:r w:rsidR="006E4A31">
        <w:rPr>
          <w:rFonts w:cs="Tahoma"/>
          <w:lang w:val="en-GB"/>
        </w:rPr>
        <w:t xml:space="preserve"> </w:t>
      </w:r>
      <w:r w:rsidR="00FF4018" w:rsidRPr="00F554FC">
        <w:rPr>
          <w:rFonts w:cs="Tahoma"/>
          <w:lang w:val="en-GB"/>
        </w:rPr>
        <w:t>These issues are even more pronounced for women with disabilities, who face additional barriers to participation.</w:t>
      </w:r>
    </w:p>
    <w:p w14:paraId="0A3D6BEC" w14:textId="7E157931" w:rsidR="00FF4018" w:rsidRDefault="00FF4018" w:rsidP="00FF4018">
      <w:pPr>
        <w:rPr>
          <w:rFonts w:cs="Tahoma"/>
          <w:lang w:val="en-GB"/>
        </w:rPr>
      </w:pPr>
      <w:r w:rsidRPr="00F554FC">
        <w:rPr>
          <w:rFonts w:cs="Tahoma"/>
          <w:lang w:val="en-GB"/>
        </w:rPr>
        <w:t xml:space="preserve">The underrepresentation of women in political leadership is </w:t>
      </w:r>
      <w:r w:rsidR="00137839">
        <w:rPr>
          <w:rFonts w:cs="Tahoma"/>
          <w:lang w:val="en-GB"/>
        </w:rPr>
        <w:t xml:space="preserve">partly </w:t>
      </w:r>
      <w:r w:rsidRPr="00F554FC">
        <w:rPr>
          <w:rFonts w:cs="Tahoma"/>
          <w:lang w:val="en-GB"/>
        </w:rPr>
        <w:t>documented. Currently, only 11.</w:t>
      </w:r>
      <w:r w:rsidR="006E4A31">
        <w:rPr>
          <w:rFonts w:cs="Tahoma"/>
          <w:lang w:val="en-GB"/>
        </w:rPr>
        <w:t>7</w:t>
      </w:r>
      <w:r w:rsidRPr="00F554FC">
        <w:rPr>
          <w:rFonts w:cs="Tahoma"/>
          <w:lang w:val="en-GB"/>
        </w:rPr>
        <w:t>% of Austrian mayors are women.</w:t>
      </w:r>
      <w:r w:rsidRPr="00F554FC">
        <w:rPr>
          <w:rStyle w:val="FootnoteReference"/>
          <w:rFonts w:cs="Tahoma"/>
          <w:lang w:val="en-GB"/>
        </w:rPr>
        <w:footnoteReference w:id="12"/>
      </w:r>
      <w:r w:rsidRPr="00F554FC">
        <w:rPr>
          <w:rFonts w:cs="Tahoma"/>
          <w:lang w:val="en-GB"/>
        </w:rPr>
        <w:t xml:space="preserve"> However, there is no data on how many of these women</w:t>
      </w:r>
      <w:r w:rsidR="00DC2ED4">
        <w:rPr>
          <w:rFonts w:cs="Tahoma"/>
          <w:lang w:val="en-GB"/>
        </w:rPr>
        <w:t xml:space="preserve"> - </w:t>
      </w:r>
      <w:r w:rsidRPr="00F554FC">
        <w:rPr>
          <w:rFonts w:cs="Tahoma"/>
          <w:lang w:val="en-GB"/>
        </w:rPr>
        <w:t>or elected municipal council members</w:t>
      </w:r>
      <w:r w:rsidR="00DC2ED4">
        <w:rPr>
          <w:rFonts w:cs="Tahoma"/>
          <w:lang w:val="en-GB"/>
        </w:rPr>
        <w:t xml:space="preserve"> - </w:t>
      </w:r>
      <w:r w:rsidRPr="00F554FC">
        <w:rPr>
          <w:rFonts w:cs="Tahoma"/>
          <w:lang w:val="en-GB"/>
        </w:rPr>
        <w:t xml:space="preserve">identify as persons with disabilities. </w:t>
      </w:r>
    </w:p>
    <w:p w14:paraId="2CB5F4D5" w14:textId="06479453" w:rsidR="00DC2ED4" w:rsidRPr="00DC2ED4" w:rsidRDefault="00DC2ED4" w:rsidP="00FF4018">
      <w:pPr>
        <w:rPr>
          <w:rFonts w:cs="Tahoma"/>
          <w:lang w:val="en-GB"/>
        </w:rPr>
      </w:pPr>
      <w:r w:rsidRPr="00DC2ED4">
        <w:rPr>
          <w:rFonts w:cs="Tahoma"/>
          <w:lang w:val="en-GB"/>
        </w:rPr>
        <w:t>Overall, structural inaccessibility, insufficient political education, limited access to information, and intersecting forms of discrimination create a complex set of barriers that hinder the full political participation of persons with disabilities in Austria.</w:t>
      </w:r>
    </w:p>
    <w:p w14:paraId="7E777453" w14:textId="11253385" w:rsidR="00FF4018" w:rsidRPr="00FF4018" w:rsidRDefault="00FF4018" w:rsidP="00137839">
      <w:pPr>
        <w:pStyle w:val="Heading1"/>
        <w:numPr>
          <w:ilvl w:val="0"/>
          <w:numId w:val="38"/>
        </w:numPr>
        <w:jc w:val="left"/>
        <w:rPr>
          <w:rFonts w:cs="Tahoma"/>
          <w:sz w:val="28"/>
          <w:szCs w:val="26"/>
          <w:lang w:val="en-GB"/>
        </w:rPr>
      </w:pPr>
      <w:bookmarkStart w:id="13" w:name="_Toc212464124"/>
      <w:r w:rsidRPr="00FF4018">
        <w:rPr>
          <w:rFonts w:cs="Tahoma"/>
          <w:sz w:val="28"/>
          <w:szCs w:val="26"/>
          <w:lang w:val="en-GB"/>
        </w:rPr>
        <w:t>Examples of successful measures and supports to ensure equal rights to stand in elections and hold public office effectively for persons with disabilities, including through reasonable accommodation, as well as specific examples and individual cases.</w:t>
      </w:r>
      <w:bookmarkEnd w:id="13"/>
    </w:p>
    <w:p w14:paraId="1DB375A1" w14:textId="62B50B63" w:rsidR="00FF4018" w:rsidRPr="00DC2ED4" w:rsidRDefault="00DC2ED4" w:rsidP="00FF4018">
      <w:pPr>
        <w:rPr>
          <w:rFonts w:cs="Tahoma"/>
          <w:lang w:val="en-GB"/>
        </w:rPr>
      </w:pPr>
      <w:r w:rsidRPr="00DC2ED4">
        <w:rPr>
          <w:rFonts w:cs="Tahoma"/>
          <w:lang w:val="en-GB"/>
        </w:rPr>
        <w:t>No specific examples or individual cases of successful measures or supports to ensure equal rights for persons with disabilities to stand in elections and hold public office effectively, including through reasonable accommodations, are known to us in Austria.</w:t>
      </w:r>
    </w:p>
    <w:p w14:paraId="3B4ED536" w14:textId="37846E3E" w:rsidR="007774D7" w:rsidRPr="00F554FC" w:rsidRDefault="007774D7" w:rsidP="0020723A">
      <w:pPr>
        <w:rPr>
          <w:rFonts w:cs="Tahoma"/>
          <w:lang w:val="en-GB"/>
        </w:rPr>
      </w:pPr>
    </w:p>
    <w:sectPr w:rsidR="007774D7" w:rsidRPr="00F554FC" w:rsidSect="00632925">
      <w:headerReference w:type="default" r:id="rId9"/>
      <w:type w:val="continuous"/>
      <w:pgSz w:w="11906" w:h="16838"/>
      <w:pgMar w:top="1417" w:right="1417" w:bottom="1134" w:left="1417"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09FD8" w14:textId="77777777" w:rsidR="00DA50D9" w:rsidRDefault="00DA50D9" w:rsidP="006376AE">
      <w:pPr>
        <w:spacing w:after="0" w:line="240" w:lineRule="auto"/>
      </w:pPr>
      <w:r>
        <w:separator/>
      </w:r>
    </w:p>
  </w:endnote>
  <w:endnote w:type="continuationSeparator" w:id="0">
    <w:p w14:paraId="298F0218" w14:textId="77777777" w:rsidR="00DA50D9" w:rsidRDefault="00DA50D9" w:rsidP="00637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33694" w14:textId="77777777" w:rsidR="00DA50D9" w:rsidRDefault="00DA50D9" w:rsidP="006376AE">
      <w:pPr>
        <w:spacing w:after="0" w:line="240" w:lineRule="auto"/>
      </w:pPr>
      <w:r>
        <w:separator/>
      </w:r>
    </w:p>
  </w:footnote>
  <w:footnote w:type="continuationSeparator" w:id="0">
    <w:p w14:paraId="29E0F2A3" w14:textId="77777777" w:rsidR="00DA50D9" w:rsidRDefault="00DA50D9" w:rsidP="006376AE">
      <w:pPr>
        <w:spacing w:after="0" w:line="240" w:lineRule="auto"/>
      </w:pPr>
      <w:r>
        <w:continuationSeparator/>
      </w:r>
    </w:p>
  </w:footnote>
  <w:footnote w:id="1">
    <w:p w14:paraId="3E429294" w14:textId="1E852368" w:rsidR="0028778E" w:rsidRPr="0028778E" w:rsidRDefault="0028778E" w:rsidP="0028778E">
      <w:pPr>
        <w:pStyle w:val="FootnoteText"/>
        <w:jc w:val="both"/>
      </w:pPr>
      <w:r>
        <w:rPr>
          <w:rStyle w:val="FootnoteReference"/>
        </w:rPr>
        <w:footnoteRef/>
      </w:r>
      <w:r w:rsidRPr="0028778E">
        <w:t xml:space="preserve"> § 22 Bundesgesetz über die Wahl des </w:t>
      </w:r>
      <w:r>
        <w:t>Nationalrates BGBl 1992/471 i.d.F. BGBl 2025/50.</w:t>
      </w:r>
    </w:p>
  </w:footnote>
  <w:footnote w:id="2">
    <w:p w14:paraId="21FDB946" w14:textId="553BC6A5" w:rsidR="00503B7C" w:rsidRPr="00503B7C" w:rsidRDefault="00503B7C">
      <w:pPr>
        <w:pStyle w:val="FootnoteText"/>
      </w:pPr>
      <w:r>
        <w:rPr>
          <w:rStyle w:val="FootnoteReference"/>
        </w:rPr>
        <w:footnoteRef/>
      </w:r>
      <w:r w:rsidRPr="00503B7C">
        <w:t xml:space="preserve"> § 26 Bundes-Verfassungsgesetz BGBl 1930/1 </w:t>
      </w:r>
      <w:r w:rsidRPr="00503B7C">
        <w:t>i.d</w:t>
      </w:r>
      <w:r>
        <w:t>.F. BGBl 2024/89.</w:t>
      </w:r>
    </w:p>
  </w:footnote>
  <w:footnote w:id="3">
    <w:p w14:paraId="096AD5EB" w14:textId="2D463196" w:rsidR="00FF4018" w:rsidRPr="00FF4018" w:rsidRDefault="00FF4018" w:rsidP="00FF4018">
      <w:pPr>
        <w:pStyle w:val="FootnoteText"/>
        <w:rPr>
          <w:lang w:val="en-GB"/>
        </w:rPr>
      </w:pPr>
      <w:r>
        <w:rPr>
          <w:rStyle w:val="FootnoteReference"/>
        </w:rPr>
        <w:footnoteRef/>
      </w:r>
      <w:r w:rsidRPr="00FF4018">
        <w:rPr>
          <w:lang w:val="en-GB"/>
        </w:rPr>
        <w:t xml:space="preserve"> </w:t>
      </w:r>
      <w:r w:rsidR="00033566">
        <w:rPr>
          <w:lang w:val="en-GB"/>
        </w:rPr>
        <w:t>Convention on the Elimination of All Forms of Discrimination against Women, CEDAW/C/AUT/CO/9, 5 (18a).</w:t>
      </w:r>
    </w:p>
  </w:footnote>
  <w:footnote w:id="4">
    <w:p w14:paraId="11197804" w14:textId="36443BD6" w:rsidR="00FF4018" w:rsidRPr="00FF4018" w:rsidRDefault="00FF4018">
      <w:pPr>
        <w:pStyle w:val="FootnoteText"/>
        <w:rPr>
          <w:lang w:val="en-GB"/>
        </w:rPr>
      </w:pPr>
      <w:r>
        <w:rPr>
          <w:rStyle w:val="FootnoteReference"/>
        </w:rPr>
        <w:footnoteRef/>
      </w:r>
      <w:r w:rsidRPr="00FF4018">
        <w:rPr>
          <w:lang w:val="en-GB"/>
        </w:rPr>
        <w:t xml:space="preserve"> </w:t>
      </w:r>
      <w:r w:rsidR="006E4A31" w:rsidRPr="00335542">
        <w:rPr>
          <w:lang w:val="en-GB"/>
        </w:rPr>
        <w:t>Convention on the Rights o</w:t>
      </w:r>
      <w:r w:rsidR="006E4A31">
        <w:rPr>
          <w:lang w:val="en-GB"/>
        </w:rPr>
        <w:t>f Persons with Disabilities, Concluding observations on the combined second and third periodic reports of Austria, CRPD/C/AUT/CO/2-3, 13 (67b).</w:t>
      </w:r>
    </w:p>
  </w:footnote>
  <w:footnote w:id="5">
    <w:p w14:paraId="457BFADF" w14:textId="77777777" w:rsidR="00FF4018" w:rsidRPr="00335542" w:rsidRDefault="00FF4018" w:rsidP="00FF4018">
      <w:pPr>
        <w:pStyle w:val="FootnoteText"/>
        <w:rPr>
          <w:lang w:val="en-GB"/>
        </w:rPr>
      </w:pPr>
      <w:r>
        <w:rPr>
          <w:rStyle w:val="FootnoteReference"/>
        </w:rPr>
        <w:footnoteRef/>
      </w:r>
      <w:r w:rsidRPr="00335542">
        <w:rPr>
          <w:lang w:val="en-GB"/>
        </w:rPr>
        <w:t xml:space="preserve"> Convention on the Rights o</w:t>
      </w:r>
      <w:r>
        <w:rPr>
          <w:lang w:val="en-GB"/>
        </w:rPr>
        <w:t>f Persons with Disabilities, Concluding observations on the combined second and third periodic reports of Austria, CRPD/C/AUT/CO/2-3, 10 (57).</w:t>
      </w:r>
    </w:p>
  </w:footnote>
  <w:footnote w:id="6">
    <w:p w14:paraId="40541760" w14:textId="77777777" w:rsidR="00FF4018" w:rsidRPr="008542B7" w:rsidRDefault="00FF4018" w:rsidP="00FF4018">
      <w:pPr>
        <w:pStyle w:val="FootnoteText"/>
      </w:pPr>
      <w:r>
        <w:rPr>
          <w:rStyle w:val="FootnoteReference"/>
        </w:rPr>
        <w:footnoteRef/>
      </w:r>
      <w:r>
        <w:t xml:space="preserve"> § 14 Abs 5a Bundes-Verfassungsgesetz BGBl. 1930/1 </w:t>
      </w:r>
      <w:r>
        <w:t>i.d.F. BGBl. 2017/138.</w:t>
      </w:r>
    </w:p>
  </w:footnote>
  <w:footnote w:id="7">
    <w:p w14:paraId="751199F5" w14:textId="2685ABED" w:rsidR="00FF4018" w:rsidRPr="001903FC" w:rsidRDefault="00FF4018" w:rsidP="00FF4018">
      <w:pPr>
        <w:pStyle w:val="FootnoteText"/>
        <w:rPr>
          <w:lang w:val="en-GB"/>
        </w:rPr>
      </w:pPr>
      <w:r>
        <w:rPr>
          <w:rStyle w:val="FootnoteReference"/>
        </w:rPr>
        <w:footnoteRef/>
      </w:r>
      <w:r>
        <w:t xml:space="preserve"> Parlament Österreich, Welche Bedeutung hat politische Bildung für eine </w:t>
      </w:r>
      <w:r>
        <w:t>Demokratie?,</w:t>
      </w:r>
      <w:r w:rsidRPr="00A372D0">
        <w:t xml:space="preserve"> </w:t>
      </w:r>
      <w:hyperlink r:id="rId1" w:history="1">
        <w:r w:rsidRPr="00A372D0">
          <w:rPr>
            <w:rStyle w:val="Hyperlink"/>
          </w:rPr>
          <w:t xml:space="preserve">Welche Bedeutung hat politische Bildung für eine Demokratie? </w:t>
        </w:r>
        <w:r w:rsidRPr="001903FC">
          <w:rPr>
            <w:rStyle w:val="Hyperlink"/>
            <w:lang w:val="en-GB"/>
          </w:rPr>
          <w:t xml:space="preserve">| </w:t>
        </w:r>
        <w:r w:rsidRPr="001903FC">
          <w:rPr>
            <w:rStyle w:val="Hyperlink"/>
            <w:lang w:val="en-GB"/>
          </w:rPr>
          <w:t>Parlament Österreich</w:t>
        </w:r>
      </w:hyperlink>
      <w:r w:rsidRPr="001903FC">
        <w:rPr>
          <w:lang w:val="en-GB"/>
        </w:rPr>
        <w:t xml:space="preserve"> (last accessed: </w:t>
      </w:r>
      <w:r w:rsidR="006E4A31">
        <w:rPr>
          <w:lang w:val="en-GB"/>
        </w:rPr>
        <w:t>27.10</w:t>
      </w:r>
      <w:r w:rsidRPr="001903FC">
        <w:rPr>
          <w:lang w:val="en-GB"/>
        </w:rPr>
        <w:t>.2025).</w:t>
      </w:r>
    </w:p>
  </w:footnote>
  <w:footnote w:id="8">
    <w:p w14:paraId="3F4C5546" w14:textId="369158A5" w:rsidR="00FF4018" w:rsidRPr="000513C9" w:rsidRDefault="00FF4018" w:rsidP="00FF4018">
      <w:pPr>
        <w:pStyle w:val="FootnoteText"/>
        <w:rPr>
          <w:lang w:val="en-GB"/>
        </w:rPr>
      </w:pPr>
      <w:r>
        <w:rPr>
          <w:rStyle w:val="FootnoteReference"/>
        </w:rPr>
        <w:footnoteRef/>
      </w:r>
      <w:r w:rsidRPr="0074578C">
        <w:rPr>
          <w:lang w:val="en-GB"/>
        </w:rPr>
        <w:t xml:space="preserve"> European Human Rights Report. </w:t>
      </w:r>
      <w:r w:rsidRPr="000513C9">
        <w:rPr>
          <w:lang w:val="en-US"/>
        </w:rPr>
        <w:t xml:space="preserve">Issue 6 – 2022. Human Rights Report on political participation of persons with disabilities (2022), </w:t>
      </w:r>
      <w:hyperlink r:id="rId2" w:history="1">
        <w:r w:rsidRPr="000513C9">
          <w:rPr>
            <w:rStyle w:val="Hyperlink"/>
            <w:lang w:val="en-US"/>
          </w:rPr>
          <w:t>https://www.edf-feph.org/content/uploads/2022/10/edf_hr_report_issue_6_2022_accessible.pdf</w:t>
        </w:r>
      </w:hyperlink>
      <w:r w:rsidRPr="000513C9">
        <w:rPr>
          <w:lang w:val="en-US"/>
        </w:rPr>
        <w:t xml:space="preserve"> (</w:t>
      </w:r>
      <w:r>
        <w:rPr>
          <w:lang w:val="en-US"/>
        </w:rPr>
        <w:t>last accessed:</w:t>
      </w:r>
      <w:r w:rsidRPr="000513C9">
        <w:rPr>
          <w:lang w:val="en-US"/>
        </w:rPr>
        <w:t xml:space="preserve"> 05.02.2025) </w:t>
      </w:r>
      <w:r>
        <w:rPr>
          <w:lang w:val="en-US"/>
        </w:rPr>
        <w:t>a</w:t>
      </w:r>
      <w:r w:rsidRPr="000513C9">
        <w:rPr>
          <w:lang w:val="en-US"/>
        </w:rPr>
        <w:t xml:space="preserve">nd FRA, Political Participation of People with Disabilities – New Developments (2024), </w:t>
      </w:r>
      <w:hyperlink r:id="rId3" w:history="1">
        <w:r w:rsidRPr="000513C9">
          <w:rPr>
            <w:rStyle w:val="Hyperlink"/>
            <w:lang w:val="en-US"/>
          </w:rPr>
          <w:t>https://fra.europa.eu/en/publication/2024/political-participation</w:t>
        </w:r>
      </w:hyperlink>
      <w:r w:rsidRPr="000513C9">
        <w:rPr>
          <w:lang w:val="en-US"/>
        </w:rPr>
        <w:t xml:space="preserve"> (</w:t>
      </w:r>
      <w:r>
        <w:rPr>
          <w:lang w:val="en-US"/>
        </w:rPr>
        <w:t>last accessed:</w:t>
      </w:r>
      <w:r w:rsidRPr="000513C9">
        <w:rPr>
          <w:lang w:val="en-US"/>
        </w:rPr>
        <w:t xml:space="preserve"> </w:t>
      </w:r>
      <w:r w:rsidR="006E4A31">
        <w:rPr>
          <w:lang w:val="en-US"/>
        </w:rPr>
        <w:t>27.10</w:t>
      </w:r>
      <w:r w:rsidRPr="000513C9">
        <w:rPr>
          <w:lang w:val="en-US"/>
        </w:rPr>
        <w:t>.2025).</w:t>
      </w:r>
    </w:p>
  </w:footnote>
  <w:footnote w:id="9">
    <w:p w14:paraId="4C3996DD" w14:textId="15DB53A6" w:rsidR="00FF4018" w:rsidRPr="00F41378" w:rsidRDefault="00FF4018" w:rsidP="00FF4018">
      <w:pPr>
        <w:pStyle w:val="FootnoteText"/>
        <w:rPr>
          <w:lang w:val="en-GB"/>
        </w:rPr>
      </w:pPr>
      <w:r>
        <w:rPr>
          <w:rStyle w:val="FootnoteReference"/>
        </w:rPr>
        <w:footnoteRef/>
      </w:r>
      <w:r w:rsidRPr="00F41378">
        <w:rPr>
          <w:lang w:val="en-GB"/>
        </w:rPr>
        <w:t xml:space="preserve"> </w:t>
      </w:r>
      <w:r>
        <w:rPr>
          <w:lang w:val="en-GB"/>
        </w:rPr>
        <w:t xml:space="preserve">List of MEPs in the Intergroup by country, </w:t>
      </w:r>
      <w:hyperlink r:id="rId4" w:history="1">
        <w:r w:rsidRPr="00F41378">
          <w:rPr>
            <w:rStyle w:val="Hyperlink"/>
            <w:lang w:val="en-GB"/>
          </w:rPr>
          <w:t>Members of the Disability Intergroup - By Country - 2024-2029 - European Disability Forum</w:t>
        </w:r>
      </w:hyperlink>
      <w:r w:rsidRPr="00F41378">
        <w:rPr>
          <w:lang w:val="en-GB"/>
        </w:rPr>
        <w:t xml:space="preserve"> </w:t>
      </w:r>
      <w:r>
        <w:rPr>
          <w:lang w:val="en-GB"/>
        </w:rPr>
        <w:t xml:space="preserve">(last accessed: </w:t>
      </w:r>
      <w:r w:rsidR="006E4A31">
        <w:rPr>
          <w:lang w:val="en-GB"/>
        </w:rPr>
        <w:t>27.10</w:t>
      </w:r>
      <w:r>
        <w:rPr>
          <w:lang w:val="en-GB"/>
        </w:rPr>
        <w:t>.2025).</w:t>
      </w:r>
    </w:p>
  </w:footnote>
  <w:footnote w:id="10">
    <w:p w14:paraId="07DBA7E1" w14:textId="77777777" w:rsidR="00FF4018" w:rsidRPr="000377B5" w:rsidRDefault="00FF4018" w:rsidP="00FF4018">
      <w:pPr>
        <w:pStyle w:val="FootnoteText"/>
        <w:rPr>
          <w:lang w:val="en-GB"/>
        </w:rPr>
      </w:pPr>
      <w:r>
        <w:rPr>
          <w:rStyle w:val="FootnoteReference"/>
        </w:rPr>
        <w:footnoteRef/>
      </w:r>
      <w:r>
        <w:t xml:space="preserve"> </w:t>
      </w:r>
      <w:r w:rsidRPr="00B714FF">
        <w:t xml:space="preserve">Angela Wegscheider (2013): „Politische Partizipation von Menschen mit Behinderungen.“ </w:t>
      </w:r>
      <w:r w:rsidRPr="000377B5">
        <w:rPr>
          <w:lang w:val="en-GB"/>
        </w:rPr>
        <w:t>SWS-</w:t>
      </w:r>
      <w:r w:rsidRPr="000377B5">
        <w:rPr>
          <w:lang w:val="en-GB"/>
        </w:rPr>
        <w:t>Rundschau 53 (2), S. 216–234 (216).</w:t>
      </w:r>
    </w:p>
  </w:footnote>
  <w:footnote w:id="11">
    <w:p w14:paraId="7161F6CD" w14:textId="77777777" w:rsidR="00FF4018" w:rsidRPr="00440D9B" w:rsidRDefault="00FF4018" w:rsidP="00FF4018">
      <w:pPr>
        <w:pStyle w:val="FootnoteText"/>
        <w:rPr>
          <w:lang w:val="en-GB"/>
        </w:rPr>
      </w:pPr>
      <w:r>
        <w:rPr>
          <w:rStyle w:val="FootnoteReference"/>
        </w:rPr>
        <w:footnoteRef/>
      </w:r>
      <w:r w:rsidRPr="00440D9B">
        <w:rPr>
          <w:lang w:val="en-GB"/>
        </w:rPr>
        <w:t xml:space="preserve"> </w:t>
      </w:r>
      <w:r>
        <w:rPr>
          <w:lang w:val="en-GB"/>
        </w:rPr>
        <w:t xml:space="preserve">International Covenant on Civil and Political Rights, Concluding Observations on the fifth periodic report of Austria (2015), </w:t>
      </w:r>
      <w:r w:rsidRPr="00440D9B">
        <w:rPr>
          <w:lang w:val="en-GB"/>
        </w:rPr>
        <w:t>CCPR/C/AUT/CO/5, 3 (13).</w:t>
      </w:r>
    </w:p>
  </w:footnote>
  <w:footnote w:id="12">
    <w:p w14:paraId="56460DE8" w14:textId="55FBDE28" w:rsidR="00FF4018" w:rsidRPr="00F10232" w:rsidRDefault="00FF4018" w:rsidP="00FF4018">
      <w:pPr>
        <w:pStyle w:val="FootnoteText"/>
        <w:rPr>
          <w:lang w:val="de-DE"/>
        </w:rPr>
      </w:pPr>
      <w:r>
        <w:rPr>
          <w:rStyle w:val="FootnoteReference"/>
        </w:rPr>
        <w:footnoteRef/>
      </w:r>
      <w:r>
        <w:t xml:space="preserve"> Wissenswertes über unsere Bürgermeister*innen, </w:t>
      </w:r>
      <w:hyperlink r:id="rId5" w:history="1">
        <w:r w:rsidRPr="00F10232">
          <w:rPr>
            <w:rStyle w:val="Hyperlink"/>
          </w:rPr>
          <w:t>Bürgermeister:innen - Der Österreichische Gemeindebund</w:t>
        </w:r>
      </w:hyperlink>
      <w:r>
        <w:t xml:space="preserve"> (last accessed: </w:t>
      </w:r>
      <w:r w:rsidR="006E4A31">
        <w:t>27.10</w:t>
      </w:r>
      <w: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FD15A" w14:textId="77777777" w:rsidR="00C56E0C" w:rsidRPr="00AA642D" w:rsidRDefault="00C56E0C" w:rsidP="005E0483">
    <w:pPr>
      <w:pStyle w:val="Header"/>
      <w:tabs>
        <w:tab w:val="left" w:pos="1418"/>
      </w:tabs>
    </w:pPr>
    <w:r w:rsidRPr="00AA642D">
      <w:rPr>
        <w:noProof/>
      </w:rPr>
      <w:drawing>
        <wp:anchor distT="0" distB="0" distL="114300" distR="114300" simplePos="0" relativeHeight="251658240" behindDoc="0" locked="0" layoutInCell="1" allowOverlap="1" wp14:anchorId="7968D710" wp14:editId="460F7FAB">
          <wp:simplePos x="0" y="0"/>
          <wp:positionH relativeFrom="column">
            <wp:posOffset>3175</wp:posOffset>
          </wp:positionH>
          <wp:positionV relativeFrom="paragraph">
            <wp:posOffset>-87161</wp:posOffset>
          </wp:positionV>
          <wp:extent cx="360000" cy="360000"/>
          <wp:effectExtent l="0" t="0" r="2540" b="2540"/>
          <wp:wrapNone/>
          <wp:docPr id="2" name="Grafik 2" descr="Ein Bild, das Licht,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Licht, Ess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sidR="008538FF" w:rsidRPr="00AA642D">
      <w:t xml:space="preserve"> </w:t>
    </w:r>
    <w:r w:rsidR="008538FF" w:rsidRPr="00AA642D">
      <w:tab/>
      <w:t>Österreichischer Behindertenrat</w:t>
    </w:r>
    <w:r w:rsidR="005E0483" w:rsidRPr="00AA642D">
      <w:tab/>
    </w:r>
    <w:r w:rsidR="001B07F5" w:rsidRPr="00AA642D">
      <w:t xml:space="preserve">Seite </w:t>
    </w:r>
    <w:r w:rsidR="001B07F5" w:rsidRPr="00AA642D">
      <w:fldChar w:fldCharType="begin"/>
    </w:r>
    <w:r w:rsidR="001B07F5" w:rsidRPr="00AA642D">
      <w:instrText>PAGE   \* MERGEFORMAT</w:instrText>
    </w:r>
    <w:r w:rsidR="001B07F5" w:rsidRPr="00AA642D">
      <w:fldChar w:fldCharType="separate"/>
    </w:r>
    <w:r w:rsidR="001B07F5" w:rsidRPr="00AA642D">
      <w:t>1</w:t>
    </w:r>
    <w:r w:rsidR="001B07F5" w:rsidRPr="00AA642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2B6"/>
    <w:multiLevelType w:val="hybridMultilevel"/>
    <w:tmpl w:val="167ABA0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74C1C24"/>
    <w:multiLevelType w:val="hybridMultilevel"/>
    <w:tmpl w:val="EB98EBF6"/>
    <w:lvl w:ilvl="0" w:tplc="0409000F">
      <w:start w:val="1"/>
      <w:numFmt w:val="decimal"/>
      <w:lvlText w:val="%1."/>
      <w:lvlJc w:val="left"/>
      <w:pPr>
        <w:ind w:left="360" w:hanging="360"/>
      </w:pPr>
    </w:lvl>
    <w:lvl w:ilvl="1" w:tplc="E50CB0F0">
      <w:start w:val="1"/>
      <w:numFmt w:val="lowerLetter"/>
      <w:pStyle w:val="NummerierteListeUnterliste"/>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C37DAA"/>
    <w:multiLevelType w:val="hybridMultilevel"/>
    <w:tmpl w:val="6C5C856C"/>
    <w:lvl w:ilvl="0" w:tplc="0BAAFBD8">
      <w:start w:val="1"/>
      <w:numFmt w:val="decimal"/>
      <w:lvlText w:val="%1."/>
      <w:lvlJc w:val="left"/>
      <w:pPr>
        <w:ind w:left="1020" w:hanging="360"/>
      </w:pPr>
    </w:lvl>
    <w:lvl w:ilvl="1" w:tplc="44D8950C">
      <w:start w:val="1"/>
      <w:numFmt w:val="decimal"/>
      <w:lvlText w:val="%2."/>
      <w:lvlJc w:val="left"/>
      <w:pPr>
        <w:ind w:left="1020" w:hanging="360"/>
      </w:pPr>
    </w:lvl>
    <w:lvl w:ilvl="2" w:tplc="5AEC73A2">
      <w:start w:val="1"/>
      <w:numFmt w:val="decimal"/>
      <w:lvlText w:val="%3."/>
      <w:lvlJc w:val="left"/>
      <w:pPr>
        <w:ind w:left="1020" w:hanging="360"/>
      </w:pPr>
    </w:lvl>
    <w:lvl w:ilvl="3" w:tplc="ACCEEE7E">
      <w:start w:val="1"/>
      <w:numFmt w:val="decimal"/>
      <w:lvlText w:val="%4."/>
      <w:lvlJc w:val="left"/>
      <w:pPr>
        <w:ind w:left="1020" w:hanging="360"/>
      </w:pPr>
    </w:lvl>
    <w:lvl w:ilvl="4" w:tplc="F19C7644">
      <w:start w:val="1"/>
      <w:numFmt w:val="decimal"/>
      <w:lvlText w:val="%5."/>
      <w:lvlJc w:val="left"/>
      <w:pPr>
        <w:ind w:left="1020" w:hanging="360"/>
      </w:pPr>
    </w:lvl>
    <w:lvl w:ilvl="5" w:tplc="84346092">
      <w:start w:val="1"/>
      <w:numFmt w:val="decimal"/>
      <w:lvlText w:val="%6."/>
      <w:lvlJc w:val="left"/>
      <w:pPr>
        <w:ind w:left="1020" w:hanging="360"/>
      </w:pPr>
    </w:lvl>
    <w:lvl w:ilvl="6" w:tplc="56543BCA">
      <w:start w:val="1"/>
      <w:numFmt w:val="decimal"/>
      <w:lvlText w:val="%7."/>
      <w:lvlJc w:val="left"/>
      <w:pPr>
        <w:ind w:left="1020" w:hanging="360"/>
      </w:pPr>
    </w:lvl>
    <w:lvl w:ilvl="7" w:tplc="48D21F5C">
      <w:start w:val="1"/>
      <w:numFmt w:val="decimal"/>
      <w:lvlText w:val="%8."/>
      <w:lvlJc w:val="left"/>
      <w:pPr>
        <w:ind w:left="1020" w:hanging="360"/>
      </w:pPr>
    </w:lvl>
    <w:lvl w:ilvl="8" w:tplc="6EDC461A">
      <w:start w:val="1"/>
      <w:numFmt w:val="decimal"/>
      <w:lvlText w:val="%9."/>
      <w:lvlJc w:val="left"/>
      <w:pPr>
        <w:ind w:left="1020" w:hanging="360"/>
      </w:pPr>
    </w:lvl>
  </w:abstractNum>
  <w:abstractNum w:abstractNumId="3" w15:restartNumberingAfterBreak="0">
    <w:nsid w:val="14356895"/>
    <w:multiLevelType w:val="hybridMultilevel"/>
    <w:tmpl w:val="BF7A35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45B16E3"/>
    <w:multiLevelType w:val="hybridMultilevel"/>
    <w:tmpl w:val="64C2E7C2"/>
    <w:lvl w:ilvl="0" w:tplc="9D7C4F14">
      <w:start w:val="1"/>
      <w:numFmt w:val="decimal"/>
      <w:lvlText w:val="%1."/>
      <w:lvlJc w:val="left"/>
      <w:pPr>
        <w:ind w:left="1020" w:hanging="360"/>
      </w:pPr>
    </w:lvl>
    <w:lvl w:ilvl="1" w:tplc="357C398A">
      <w:start w:val="1"/>
      <w:numFmt w:val="decimal"/>
      <w:lvlText w:val="%2."/>
      <w:lvlJc w:val="left"/>
      <w:pPr>
        <w:ind w:left="1020" w:hanging="360"/>
      </w:pPr>
    </w:lvl>
    <w:lvl w:ilvl="2" w:tplc="F2C05E02">
      <w:start w:val="1"/>
      <w:numFmt w:val="decimal"/>
      <w:lvlText w:val="%3."/>
      <w:lvlJc w:val="left"/>
      <w:pPr>
        <w:ind w:left="1020" w:hanging="360"/>
      </w:pPr>
    </w:lvl>
    <w:lvl w:ilvl="3" w:tplc="FBB62CEA">
      <w:start w:val="1"/>
      <w:numFmt w:val="decimal"/>
      <w:lvlText w:val="%4."/>
      <w:lvlJc w:val="left"/>
      <w:pPr>
        <w:ind w:left="1020" w:hanging="360"/>
      </w:pPr>
    </w:lvl>
    <w:lvl w:ilvl="4" w:tplc="8528BF74">
      <w:start w:val="1"/>
      <w:numFmt w:val="decimal"/>
      <w:lvlText w:val="%5."/>
      <w:lvlJc w:val="left"/>
      <w:pPr>
        <w:ind w:left="1020" w:hanging="360"/>
      </w:pPr>
    </w:lvl>
    <w:lvl w:ilvl="5" w:tplc="815066E4">
      <w:start w:val="1"/>
      <w:numFmt w:val="decimal"/>
      <w:lvlText w:val="%6."/>
      <w:lvlJc w:val="left"/>
      <w:pPr>
        <w:ind w:left="1020" w:hanging="360"/>
      </w:pPr>
    </w:lvl>
    <w:lvl w:ilvl="6" w:tplc="9D703B00">
      <w:start w:val="1"/>
      <w:numFmt w:val="decimal"/>
      <w:lvlText w:val="%7."/>
      <w:lvlJc w:val="left"/>
      <w:pPr>
        <w:ind w:left="1020" w:hanging="360"/>
      </w:pPr>
    </w:lvl>
    <w:lvl w:ilvl="7" w:tplc="FA4CFF26">
      <w:start w:val="1"/>
      <w:numFmt w:val="decimal"/>
      <w:lvlText w:val="%8."/>
      <w:lvlJc w:val="left"/>
      <w:pPr>
        <w:ind w:left="1020" w:hanging="360"/>
      </w:pPr>
    </w:lvl>
    <w:lvl w:ilvl="8" w:tplc="0322A2CC">
      <w:start w:val="1"/>
      <w:numFmt w:val="decimal"/>
      <w:lvlText w:val="%9."/>
      <w:lvlJc w:val="left"/>
      <w:pPr>
        <w:ind w:left="1020" w:hanging="360"/>
      </w:pPr>
    </w:lvl>
  </w:abstractNum>
  <w:abstractNum w:abstractNumId="5" w15:restartNumberingAfterBreak="0">
    <w:nsid w:val="16F43201"/>
    <w:multiLevelType w:val="multilevel"/>
    <w:tmpl w:val="10AC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C2F57"/>
    <w:multiLevelType w:val="multilevel"/>
    <w:tmpl w:val="9A2E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91885"/>
    <w:multiLevelType w:val="hybridMultilevel"/>
    <w:tmpl w:val="F0D8526E"/>
    <w:lvl w:ilvl="0" w:tplc="0C070019">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20701D85"/>
    <w:multiLevelType w:val="hybridMultilevel"/>
    <w:tmpl w:val="3738CF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0CC65A8"/>
    <w:multiLevelType w:val="hybridMultilevel"/>
    <w:tmpl w:val="740EBABC"/>
    <w:lvl w:ilvl="0" w:tplc="78049F5E">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8746"/>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42A64524">
      <w:start w:val="1"/>
      <w:numFmt w:val="lowerLetter"/>
      <w:lvlText w:val="%2."/>
      <w:lvlJc w:val="left"/>
      <w:pPr>
        <w:ind w:left="1080" w:hanging="360"/>
      </w:pPr>
      <w:rPr>
        <w:color w:val="008746"/>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B82E46"/>
    <w:multiLevelType w:val="multilevel"/>
    <w:tmpl w:val="E43A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255900"/>
    <w:multiLevelType w:val="hybridMultilevel"/>
    <w:tmpl w:val="5106CF96"/>
    <w:lvl w:ilvl="0" w:tplc="F5F2C90C">
      <w:start w:val="1"/>
      <w:numFmt w:val="decimal"/>
      <w:pStyle w:val="NummerierteLis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9036D1"/>
    <w:multiLevelType w:val="hybridMultilevel"/>
    <w:tmpl w:val="0C406B4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325526D0"/>
    <w:multiLevelType w:val="multilevel"/>
    <w:tmpl w:val="5D76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F2932"/>
    <w:multiLevelType w:val="hybridMultilevel"/>
    <w:tmpl w:val="431848B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3324343A"/>
    <w:multiLevelType w:val="hybridMultilevel"/>
    <w:tmpl w:val="28AE177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335A326D"/>
    <w:multiLevelType w:val="hybridMultilevel"/>
    <w:tmpl w:val="848462A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350D03CE"/>
    <w:multiLevelType w:val="multilevel"/>
    <w:tmpl w:val="2F5C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494232"/>
    <w:multiLevelType w:val="multilevel"/>
    <w:tmpl w:val="60E2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160335"/>
    <w:multiLevelType w:val="hybridMultilevel"/>
    <w:tmpl w:val="47026F7A"/>
    <w:lvl w:ilvl="0" w:tplc="2134475A">
      <w:start w:val="1"/>
      <w:numFmt w:val="bullet"/>
      <w:pStyle w:val="ListenabsatzUnterliste"/>
      <w:lvlText w:val=""/>
      <w:lvlJc w:val="left"/>
      <w:pPr>
        <w:ind w:left="1440" w:hanging="360"/>
      </w:pPr>
      <w:rPr>
        <w:rFonts w:ascii="Wingdings" w:hAnsi="Wingdings" w:hint="default"/>
        <w:color w:val="00874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90B2286"/>
    <w:multiLevelType w:val="multilevel"/>
    <w:tmpl w:val="351E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1E388A"/>
    <w:multiLevelType w:val="multilevel"/>
    <w:tmpl w:val="7D8C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D75742"/>
    <w:multiLevelType w:val="hybridMultilevel"/>
    <w:tmpl w:val="94E6A13A"/>
    <w:lvl w:ilvl="0" w:tplc="ED403CD8">
      <w:start w:val="1"/>
      <w:numFmt w:val="bullet"/>
      <w:lvlText w:val=""/>
      <w:lvlJc w:val="left"/>
      <w:pPr>
        <w:ind w:left="1440" w:hanging="360"/>
      </w:pPr>
      <w:rPr>
        <w:rFonts w:ascii="Symbol" w:hAnsi="Symbol" w:hint="default"/>
        <w:color w:val="auto"/>
        <w:u w:color="00874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6B55E1"/>
    <w:multiLevelType w:val="hybridMultilevel"/>
    <w:tmpl w:val="4ECEB8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E7407F"/>
    <w:multiLevelType w:val="multilevel"/>
    <w:tmpl w:val="30768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9F441E"/>
    <w:multiLevelType w:val="hybridMultilevel"/>
    <w:tmpl w:val="12A22D52"/>
    <w:lvl w:ilvl="0" w:tplc="0C070019">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5F2E29F6"/>
    <w:multiLevelType w:val="hybridMultilevel"/>
    <w:tmpl w:val="3DBCDB84"/>
    <w:lvl w:ilvl="0" w:tplc="5274BCB6">
      <w:start w:val="1"/>
      <w:numFmt w:val="bullet"/>
      <w:pStyle w:val="ListParagraph"/>
      <w:lvlText w:val=""/>
      <w:lvlJc w:val="left"/>
      <w:pPr>
        <w:ind w:left="360" w:hanging="360"/>
      </w:pPr>
      <w:rPr>
        <w:rFonts w:ascii="Symbol" w:hAnsi="Symbol" w:hint="default"/>
        <w:color w:val="008746"/>
        <w:u w:color="008746"/>
      </w:rPr>
    </w:lvl>
    <w:lvl w:ilvl="1" w:tplc="B20C09B4">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0387EC8"/>
    <w:multiLevelType w:val="multilevel"/>
    <w:tmpl w:val="1D9A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5236BF"/>
    <w:multiLevelType w:val="hybridMultilevel"/>
    <w:tmpl w:val="7A6AD42A"/>
    <w:lvl w:ilvl="0" w:tplc="0C070019">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9" w15:restartNumberingAfterBreak="0">
    <w:nsid w:val="67880846"/>
    <w:multiLevelType w:val="multilevel"/>
    <w:tmpl w:val="5132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1F4A95"/>
    <w:multiLevelType w:val="multilevel"/>
    <w:tmpl w:val="105C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17276E"/>
    <w:multiLevelType w:val="hybridMultilevel"/>
    <w:tmpl w:val="754C54F8"/>
    <w:lvl w:ilvl="0" w:tplc="2CC84E12">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2" w15:restartNumberingAfterBreak="0">
    <w:nsid w:val="7E34714A"/>
    <w:multiLevelType w:val="hybridMultilevel"/>
    <w:tmpl w:val="5F58486A"/>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215043706">
    <w:abstractNumId w:val="26"/>
  </w:num>
  <w:num w:numId="2" w16cid:durableId="918947951">
    <w:abstractNumId w:val="22"/>
  </w:num>
  <w:num w:numId="3" w16cid:durableId="217011277">
    <w:abstractNumId w:val="19"/>
  </w:num>
  <w:num w:numId="4" w16cid:durableId="990059648">
    <w:abstractNumId w:val="9"/>
  </w:num>
  <w:num w:numId="5" w16cid:durableId="1016075940">
    <w:abstractNumId w:val="9"/>
    <w:lvlOverride w:ilvl="0">
      <w:startOverride w:val="1"/>
    </w:lvlOverride>
  </w:num>
  <w:num w:numId="6" w16cid:durableId="1593081388">
    <w:abstractNumId w:val="1"/>
  </w:num>
  <w:num w:numId="7" w16cid:durableId="1175537721">
    <w:abstractNumId w:val="11"/>
  </w:num>
  <w:num w:numId="8" w16cid:durableId="1354110888">
    <w:abstractNumId w:val="5"/>
  </w:num>
  <w:num w:numId="9" w16cid:durableId="1496871110">
    <w:abstractNumId w:val="18"/>
  </w:num>
  <w:num w:numId="10" w16cid:durableId="1773165673">
    <w:abstractNumId w:val="13"/>
  </w:num>
  <w:num w:numId="11" w16cid:durableId="771129218">
    <w:abstractNumId w:val="30"/>
  </w:num>
  <w:num w:numId="12" w16cid:durableId="928806858">
    <w:abstractNumId w:val="10"/>
  </w:num>
  <w:num w:numId="13" w16cid:durableId="561210708">
    <w:abstractNumId w:val="15"/>
  </w:num>
  <w:num w:numId="14" w16cid:durableId="1157574168">
    <w:abstractNumId w:val="3"/>
  </w:num>
  <w:num w:numId="15" w16cid:durableId="197201676">
    <w:abstractNumId w:val="7"/>
  </w:num>
  <w:num w:numId="16" w16cid:durableId="2032534137">
    <w:abstractNumId w:val="25"/>
  </w:num>
  <w:num w:numId="17" w16cid:durableId="271517379">
    <w:abstractNumId w:val="0"/>
  </w:num>
  <w:num w:numId="18" w16cid:durableId="1241327248">
    <w:abstractNumId w:val="8"/>
  </w:num>
  <w:num w:numId="19" w16cid:durableId="1934238100">
    <w:abstractNumId w:val="4"/>
  </w:num>
  <w:num w:numId="20" w16cid:durableId="1522431079">
    <w:abstractNumId w:val="2"/>
  </w:num>
  <w:num w:numId="21" w16cid:durableId="826435921">
    <w:abstractNumId w:val="14"/>
  </w:num>
  <w:num w:numId="22" w16cid:durableId="477041255">
    <w:abstractNumId w:val="26"/>
  </w:num>
  <w:num w:numId="23" w16cid:durableId="171535626">
    <w:abstractNumId w:val="26"/>
  </w:num>
  <w:num w:numId="24" w16cid:durableId="977805933">
    <w:abstractNumId w:val="26"/>
  </w:num>
  <w:num w:numId="25" w16cid:durableId="860898696">
    <w:abstractNumId w:val="28"/>
  </w:num>
  <w:num w:numId="26" w16cid:durableId="756365789">
    <w:abstractNumId w:val="31"/>
  </w:num>
  <w:num w:numId="27" w16cid:durableId="662009947">
    <w:abstractNumId w:val="32"/>
  </w:num>
  <w:num w:numId="28" w16cid:durableId="1590311580">
    <w:abstractNumId w:val="23"/>
  </w:num>
  <w:num w:numId="29" w16cid:durableId="12267074">
    <w:abstractNumId w:val="29"/>
  </w:num>
  <w:num w:numId="30" w16cid:durableId="1544749482">
    <w:abstractNumId w:val="12"/>
  </w:num>
  <w:num w:numId="31" w16cid:durableId="1407920073">
    <w:abstractNumId w:val="24"/>
  </w:num>
  <w:num w:numId="32" w16cid:durableId="25259946">
    <w:abstractNumId w:val="20"/>
  </w:num>
  <w:num w:numId="33" w16cid:durableId="463541912">
    <w:abstractNumId w:val="27"/>
  </w:num>
  <w:num w:numId="34" w16cid:durableId="872230719">
    <w:abstractNumId w:val="26"/>
  </w:num>
  <w:num w:numId="35" w16cid:durableId="613439831">
    <w:abstractNumId w:val="6"/>
  </w:num>
  <w:num w:numId="36" w16cid:durableId="849954495">
    <w:abstractNumId w:val="17"/>
  </w:num>
  <w:num w:numId="37" w16cid:durableId="1407991291">
    <w:abstractNumId w:val="21"/>
  </w:num>
  <w:num w:numId="38" w16cid:durableId="5946781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ED"/>
    <w:rsid w:val="000007A6"/>
    <w:rsid w:val="0000182B"/>
    <w:rsid w:val="0001272F"/>
    <w:rsid w:val="00015D71"/>
    <w:rsid w:val="00015DD0"/>
    <w:rsid w:val="00016BD2"/>
    <w:rsid w:val="0001791A"/>
    <w:rsid w:val="00020A47"/>
    <w:rsid w:val="0002372A"/>
    <w:rsid w:val="0003052F"/>
    <w:rsid w:val="000331DC"/>
    <w:rsid w:val="00033566"/>
    <w:rsid w:val="000351AE"/>
    <w:rsid w:val="00036392"/>
    <w:rsid w:val="000377B5"/>
    <w:rsid w:val="000403AD"/>
    <w:rsid w:val="000427A0"/>
    <w:rsid w:val="000513C9"/>
    <w:rsid w:val="00051419"/>
    <w:rsid w:val="00056F7B"/>
    <w:rsid w:val="0005701B"/>
    <w:rsid w:val="000639FC"/>
    <w:rsid w:val="00064FAF"/>
    <w:rsid w:val="00066515"/>
    <w:rsid w:val="000669C4"/>
    <w:rsid w:val="00070E7B"/>
    <w:rsid w:val="00077C41"/>
    <w:rsid w:val="00081027"/>
    <w:rsid w:val="00084547"/>
    <w:rsid w:val="000851BF"/>
    <w:rsid w:val="00086267"/>
    <w:rsid w:val="000879F5"/>
    <w:rsid w:val="000924E7"/>
    <w:rsid w:val="000A46C3"/>
    <w:rsid w:val="000B7584"/>
    <w:rsid w:val="000C47FD"/>
    <w:rsid w:val="000C6190"/>
    <w:rsid w:val="000D6323"/>
    <w:rsid w:val="000D6656"/>
    <w:rsid w:val="000E09B1"/>
    <w:rsid w:val="000E10AC"/>
    <w:rsid w:val="000F1D48"/>
    <w:rsid w:val="00100558"/>
    <w:rsid w:val="00103E9B"/>
    <w:rsid w:val="00105950"/>
    <w:rsid w:val="00131B68"/>
    <w:rsid w:val="001346B7"/>
    <w:rsid w:val="00137839"/>
    <w:rsid w:val="00137A2E"/>
    <w:rsid w:val="00141A8E"/>
    <w:rsid w:val="001428FF"/>
    <w:rsid w:val="001429B4"/>
    <w:rsid w:val="00152F1D"/>
    <w:rsid w:val="00161404"/>
    <w:rsid w:val="001660BE"/>
    <w:rsid w:val="0016728D"/>
    <w:rsid w:val="00175E22"/>
    <w:rsid w:val="00180688"/>
    <w:rsid w:val="001903FC"/>
    <w:rsid w:val="00190AAE"/>
    <w:rsid w:val="001942FF"/>
    <w:rsid w:val="0019561B"/>
    <w:rsid w:val="001A1738"/>
    <w:rsid w:val="001A6B0A"/>
    <w:rsid w:val="001A704F"/>
    <w:rsid w:val="001A7D5F"/>
    <w:rsid w:val="001B07F5"/>
    <w:rsid w:val="001B3110"/>
    <w:rsid w:val="001B5899"/>
    <w:rsid w:val="001C09B4"/>
    <w:rsid w:val="001C0A76"/>
    <w:rsid w:val="001C175F"/>
    <w:rsid w:val="001C4F4E"/>
    <w:rsid w:val="001D44E7"/>
    <w:rsid w:val="001E0808"/>
    <w:rsid w:val="001E1CEE"/>
    <w:rsid w:val="001E2F6A"/>
    <w:rsid w:val="001E6811"/>
    <w:rsid w:val="001F1B1B"/>
    <w:rsid w:val="001F28A5"/>
    <w:rsid w:val="00202C6A"/>
    <w:rsid w:val="0020723A"/>
    <w:rsid w:val="00213A2D"/>
    <w:rsid w:val="00214BB2"/>
    <w:rsid w:val="0022134C"/>
    <w:rsid w:val="00223A98"/>
    <w:rsid w:val="00225846"/>
    <w:rsid w:val="0023008B"/>
    <w:rsid w:val="00230DA5"/>
    <w:rsid w:val="00240A69"/>
    <w:rsid w:val="00241ED6"/>
    <w:rsid w:val="00245299"/>
    <w:rsid w:val="00250662"/>
    <w:rsid w:val="00280751"/>
    <w:rsid w:val="00284E9F"/>
    <w:rsid w:val="00286C25"/>
    <w:rsid w:val="00286DB0"/>
    <w:rsid w:val="0028778E"/>
    <w:rsid w:val="00293E74"/>
    <w:rsid w:val="00295BF9"/>
    <w:rsid w:val="002965CE"/>
    <w:rsid w:val="00297FBB"/>
    <w:rsid w:val="002A22D3"/>
    <w:rsid w:val="002A6D9B"/>
    <w:rsid w:val="002A7499"/>
    <w:rsid w:val="002B4BA6"/>
    <w:rsid w:val="002C7BF8"/>
    <w:rsid w:val="002D50AC"/>
    <w:rsid w:val="002D57E9"/>
    <w:rsid w:val="002D586F"/>
    <w:rsid w:val="002D7C2E"/>
    <w:rsid w:val="002E7E35"/>
    <w:rsid w:val="0030286B"/>
    <w:rsid w:val="00313B74"/>
    <w:rsid w:val="00314A31"/>
    <w:rsid w:val="0031576E"/>
    <w:rsid w:val="00327860"/>
    <w:rsid w:val="00335542"/>
    <w:rsid w:val="003419C5"/>
    <w:rsid w:val="00342C13"/>
    <w:rsid w:val="00345E5F"/>
    <w:rsid w:val="0034660A"/>
    <w:rsid w:val="00347336"/>
    <w:rsid w:val="00376DA2"/>
    <w:rsid w:val="00376E4A"/>
    <w:rsid w:val="003870F5"/>
    <w:rsid w:val="00387863"/>
    <w:rsid w:val="003878E7"/>
    <w:rsid w:val="00393FB9"/>
    <w:rsid w:val="00394531"/>
    <w:rsid w:val="00396D26"/>
    <w:rsid w:val="003A0D9D"/>
    <w:rsid w:val="003A1B25"/>
    <w:rsid w:val="003A31DF"/>
    <w:rsid w:val="003B4E82"/>
    <w:rsid w:val="003C3154"/>
    <w:rsid w:val="003D0A24"/>
    <w:rsid w:val="003D0C61"/>
    <w:rsid w:val="003D2CAA"/>
    <w:rsid w:val="003D4536"/>
    <w:rsid w:val="003F2320"/>
    <w:rsid w:val="003F47BF"/>
    <w:rsid w:val="003F66AF"/>
    <w:rsid w:val="00401BBA"/>
    <w:rsid w:val="00401D7C"/>
    <w:rsid w:val="00410875"/>
    <w:rsid w:val="00414992"/>
    <w:rsid w:val="00414D35"/>
    <w:rsid w:val="004253EE"/>
    <w:rsid w:val="00426904"/>
    <w:rsid w:val="00430C95"/>
    <w:rsid w:val="00432014"/>
    <w:rsid w:val="00432419"/>
    <w:rsid w:val="00432822"/>
    <w:rsid w:val="00440CF9"/>
    <w:rsid w:val="00440D9B"/>
    <w:rsid w:val="00450325"/>
    <w:rsid w:val="00451081"/>
    <w:rsid w:val="004550DF"/>
    <w:rsid w:val="0046306F"/>
    <w:rsid w:val="00463E1C"/>
    <w:rsid w:val="004772CB"/>
    <w:rsid w:val="004903D8"/>
    <w:rsid w:val="00490A08"/>
    <w:rsid w:val="00491F3B"/>
    <w:rsid w:val="004A120A"/>
    <w:rsid w:val="004D1684"/>
    <w:rsid w:val="004E5CEB"/>
    <w:rsid w:val="004F0C71"/>
    <w:rsid w:val="004F7C90"/>
    <w:rsid w:val="00503386"/>
    <w:rsid w:val="00503B7C"/>
    <w:rsid w:val="00503D74"/>
    <w:rsid w:val="00506158"/>
    <w:rsid w:val="00514EF4"/>
    <w:rsid w:val="00521EB9"/>
    <w:rsid w:val="0052253D"/>
    <w:rsid w:val="0052273B"/>
    <w:rsid w:val="00523FD4"/>
    <w:rsid w:val="005307A3"/>
    <w:rsid w:val="005310A9"/>
    <w:rsid w:val="00546456"/>
    <w:rsid w:val="00551F5D"/>
    <w:rsid w:val="0055259B"/>
    <w:rsid w:val="00554F84"/>
    <w:rsid w:val="00556CD2"/>
    <w:rsid w:val="00557542"/>
    <w:rsid w:val="00563995"/>
    <w:rsid w:val="00563AA9"/>
    <w:rsid w:val="005649C8"/>
    <w:rsid w:val="005718B7"/>
    <w:rsid w:val="0057285A"/>
    <w:rsid w:val="00591401"/>
    <w:rsid w:val="00595F7E"/>
    <w:rsid w:val="005977DE"/>
    <w:rsid w:val="005A4AFA"/>
    <w:rsid w:val="005A6646"/>
    <w:rsid w:val="005A73BF"/>
    <w:rsid w:val="005B1437"/>
    <w:rsid w:val="005C25C7"/>
    <w:rsid w:val="005C61F4"/>
    <w:rsid w:val="005D2E07"/>
    <w:rsid w:val="005D661B"/>
    <w:rsid w:val="005E0483"/>
    <w:rsid w:val="005E59AD"/>
    <w:rsid w:val="005F528B"/>
    <w:rsid w:val="006004A0"/>
    <w:rsid w:val="00604284"/>
    <w:rsid w:val="00604C2C"/>
    <w:rsid w:val="006075C3"/>
    <w:rsid w:val="00610E45"/>
    <w:rsid w:val="00623D75"/>
    <w:rsid w:val="006302E3"/>
    <w:rsid w:val="00631754"/>
    <w:rsid w:val="00631CD4"/>
    <w:rsid w:val="00632925"/>
    <w:rsid w:val="006376AE"/>
    <w:rsid w:val="00652EAC"/>
    <w:rsid w:val="00685712"/>
    <w:rsid w:val="00693D91"/>
    <w:rsid w:val="006A273F"/>
    <w:rsid w:val="006A3F7B"/>
    <w:rsid w:val="006A71D4"/>
    <w:rsid w:val="006B6C93"/>
    <w:rsid w:val="006B6F86"/>
    <w:rsid w:val="006C7AC1"/>
    <w:rsid w:val="006D426A"/>
    <w:rsid w:val="006E2C09"/>
    <w:rsid w:val="006E4A31"/>
    <w:rsid w:val="006E6B7C"/>
    <w:rsid w:val="00700974"/>
    <w:rsid w:val="007010A1"/>
    <w:rsid w:val="00701EE0"/>
    <w:rsid w:val="0070471B"/>
    <w:rsid w:val="00707D18"/>
    <w:rsid w:val="00707E69"/>
    <w:rsid w:val="007214CA"/>
    <w:rsid w:val="00731564"/>
    <w:rsid w:val="00732E26"/>
    <w:rsid w:val="00737893"/>
    <w:rsid w:val="007428BB"/>
    <w:rsid w:val="00742AB8"/>
    <w:rsid w:val="0074578C"/>
    <w:rsid w:val="00745E16"/>
    <w:rsid w:val="0074723D"/>
    <w:rsid w:val="0075041D"/>
    <w:rsid w:val="00756B4F"/>
    <w:rsid w:val="00761189"/>
    <w:rsid w:val="00764A7A"/>
    <w:rsid w:val="007774D7"/>
    <w:rsid w:val="0078624C"/>
    <w:rsid w:val="0079160A"/>
    <w:rsid w:val="00796148"/>
    <w:rsid w:val="007A1AE2"/>
    <w:rsid w:val="007A3625"/>
    <w:rsid w:val="007B13A7"/>
    <w:rsid w:val="007B482B"/>
    <w:rsid w:val="007C001A"/>
    <w:rsid w:val="007C0999"/>
    <w:rsid w:val="007C4BBA"/>
    <w:rsid w:val="007C601F"/>
    <w:rsid w:val="007E7A06"/>
    <w:rsid w:val="007F093A"/>
    <w:rsid w:val="007F550A"/>
    <w:rsid w:val="008174E2"/>
    <w:rsid w:val="008216BC"/>
    <w:rsid w:val="00823AC3"/>
    <w:rsid w:val="0082597E"/>
    <w:rsid w:val="00835FB2"/>
    <w:rsid w:val="008538FF"/>
    <w:rsid w:val="008542B7"/>
    <w:rsid w:val="00854D09"/>
    <w:rsid w:val="00855B5D"/>
    <w:rsid w:val="008638DE"/>
    <w:rsid w:val="00865B7A"/>
    <w:rsid w:val="00874AD7"/>
    <w:rsid w:val="00880801"/>
    <w:rsid w:val="008835A3"/>
    <w:rsid w:val="00886AED"/>
    <w:rsid w:val="00887236"/>
    <w:rsid w:val="00887359"/>
    <w:rsid w:val="008909A0"/>
    <w:rsid w:val="008B571E"/>
    <w:rsid w:val="008B7715"/>
    <w:rsid w:val="008C008A"/>
    <w:rsid w:val="008C19A5"/>
    <w:rsid w:val="008C763E"/>
    <w:rsid w:val="008D3237"/>
    <w:rsid w:val="008E146C"/>
    <w:rsid w:val="008E15BE"/>
    <w:rsid w:val="008E2B7E"/>
    <w:rsid w:val="008E3B91"/>
    <w:rsid w:val="008F6EF0"/>
    <w:rsid w:val="0090073C"/>
    <w:rsid w:val="00905D58"/>
    <w:rsid w:val="009150C0"/>
    <w:rsid w:val="0091595C"/>
    <w:rsid w:val="009365A2"/>
    <w:rsid w:val="00936CF9"/>
    <w:rsid w:val="00943D94"/>
    <w:rsid w:val="009513EC"/>
    <w:rsid w:val="009629BA"/>
    <w:rsid w:val="00974670"/>
    <w:rsid w:val="00990771"/>
    <w:rsid w:val="009B0DA1"/>
    <w:rsid w:val="009B1CB5"/>
    <w:rsid w:val="009B60A8"/>
    <w:rsid w:val="009D2E46"/>
    <w:rsid w:val="009D3387"/>
    <w:rsid w:val="009E2088"/>
    <w:rsid w:val="009E464E"/>
    <w:rsid w:val="009E7D98"/>
    <w:rsid w:val="009F5FB5"/>
    <w:rsid w:val="009F7004"/>
    <w:rsid w:val="00A03E12"/>
    <w:rsid w:val="00A1319C"/>
    <w:rsid w:val="00A1356E"/>
    <w:rsid w:val="00A210B0"/>
    <w:rsid w:val="00A2524E"/>
    <w:rsid w:val="00A36CDC"/>
    <w:rsid w:val="00A372D0"/>
    <w:rsid w:val="00A41F3E"/>
    <w:rsid w:val="00A43D9D"/>
    <w:rsid w:val="00A501C4"/>
    <w:rsid w:val="00A52D2E"/>
    <w:rsid w:val="00A60284"/>
    <w:rsid w:val="00A609A6"/>
    <w:rsid w:val="00A83C0A"/>
    <w:rsid w:val="00A84D93"/>
    <w:rsid w:val="00A84E24"/>
    <w:rsid w:val="00A93743"/>
    <w:rsid w:val="00A9593E"/>
    <w:rsid w:val="00A96541"/>
    <w:rsid w:val="00AA29A9"/>
    <w:rsid w:val="00AA2CD2"/>
    <w:rsid w:val="00AA319D"/>
    <w:rsid w:val="00AA642D"/>
    <w:rsid w:val="00AA68AB"/>
    <w:rsid w:val="00AA7F99"/>
    <w:rsid w:val="00AB694E"/>
    <w:rsid w:val="00AC4E56"/>
    <w:rsid w:val="00AC61CF"/>
    <w:rsid w:val="00AC7179"/>
    <w:rsid w:val="00AD155D"/>
    <w:rsid w:val="00AD3701"/>
    <w:rsid w:val="00AD4EFD"/>
    <w:rsid w:val="00AD6873"/>
    <w:rsid w:val="00AD775C"/>
    <w:rsid w:val="00AF559D"/>
    <w:rsid w:val="00AF7EE0"/>
    <w:rsid w:val="00B01549"/>
    <w:rsid w:val="00B01F4F"/>
    <w:rsid w:val="00B04A27"/>
    <w:rsid w:val="00B04AD3"/>
    <w:rsid w:val="00B14D56"/>
    <w:rsid w:val="00B30C3B"/>
    <w:rsid w:val="00B339D4"/>
    <w:rsid w:val="00B34BA4"/>
    <w:rsid w:val="00B37FD9"/>
    <w:rsid w:val="00B40CBD"/>
    <w:rsid w:val="00B4346F"/>
    <w:rsid w:val="00B62B98"/>
    <w:rsid w:val="00B714FF"/>
    <w:rsid w:val="00B75546"/>
    <w:rsid w:val="00B8314E"/>
    <w:rsid w:val="00B85493"/>
    <w:rsid w:val="00B9130F"/>
    <w:rsid w:val="00B95280"/>
    <w:rsid w:val="00B9607A"/>
    <w:rsid w:val="00B96BA5"/>
    <w:rsid w:val="00BA1E11"/>
    <w:rsid w:val="00BA352C"/>
    <w:rsid w:val="00BC2400"/>
    <w:rsid w:val="00BC54C0"/>
    <w:rsid w:val="00BD29DA"/>
    <w:rsid w:val="00BD3D5C"/>
    <w:rsid w:val="00BD7933"/>
    <w:rsid w:val="00BE0B82"/>
    <w:rsid w:val="00BE13D5"/>
    <w:rsid w:val="00BE154F"/>
    <w:rsid w:val="00BF2DD2"/>
    <w:rsid w:val="00C02F42"/>
    <w:rsid w:val="00C02FEA"/>
    <w:rsid w:val="00C05C7A"/>
    <w:rsid w:val="00C075A7"/>
    <w:rsid w:val="00C13AB5"/>
    <w:rsid w:val="00C205F3"/>
    <w:rsid w:val="00C239C4"/>
    <w:rsid w:val="00C50C8D"/>
    <w:rsid w:val="00C56E0C"/>
    <w:rsid w:val="00C60D35"/>
    <w:rsid w:val="00C636DB"/>
    <w:rsid w:val="00C66AED"/>
    <w:rsid w:val="00C721F4"/>
    <w:rsid w:val="00C81291"/>
    <w:rsid w:val="00C813D1"/>
    <w:rsid w:val="00C92773"/>
    <w:rsid w:val="00CA185D"/>
    <w:rsid w:val="00CA3534"/>
    <w:rsid w:val="00CA534F"/>
    <w:rsid w:val="00CB1014"/>
    <w:rsid w:val="00CB2DE4"/>
    <w:rsid w:val="00CB5DE0"/>
    <w:rsid w:val="00CC3590"/>
    <w:rsid w:val="00CD0636"/>
    <w:rsid w:val="00CD0CC5"/>
    <w:rsid w:val="00CD292D"/>
    <w:rsid w:val="00CD49FC"/>
    <w:rsid w:val="00CE3D83"/>
    <w:rsid w:val="00CE509A"/>
    <w:rsid w:val="00CF2885"/>
    <w:rsid w:val="00CF7049"/>
    <w:rsid w:val="00D004EE"/>
    <w:rsid w:val="00D03715"/>
    <w:rsid w:val="00D305FB"/>
    <w:rsid w:val="00D30794"/>
    <w:rsid w:val="00D31FBD"/>
    <w:rsid w:val="00D35AA8"/>
    <w:rsid w:val="00D36C9B"/>
    <w:rsid w:val="00D47D9B"/>
    <w:rsid w:val="00D53E2D"/>
    <w:rsid w:val="00D74292"/>
    <w:rsid w:val="00D76713"/>
    <w:rsid w:val="00D77DAA"/>
    <w:rsid w:val="00D845D9"/>
    <w:rsid w:val="00D872A3"/>
    <w:rsid w:val="00D93D28"/>
    <w:rsid w:val="00DA50D9"/>
    <w:rsid w:val="00DA63B2"/>
    <w:rsid w:val="00DB2794"/>
    <w:rsid w:val="00DC11CD"/>
    <w:rsid w:val="00DC2ED4"/>
    <w:rsid w:val="00DC3789"/>
    <w:rsid w:val="00DD07A8"/>
    <w:rsid w:val="00DD29FC"/>
    <w:rsid w:val="00DE2D46"/>
    <w:rsid w:val="00DE41A7"/>
    <w:rsid w:val="00DF45A6"/>
    <w:rsid w:val="00E0180E"/>
    <w:rsid w:val="00E075B8"/>
    <w:rsid w:val="00E07ED5"/>
    <w:rsid w:val="00E22369"/>
    <w:rsid w:val="00E527C5"/>
    <w:rsid w:val="00E57E83"/>
    <w:rsid w:val="00E626B4"/>
    <w:rsid w:val="00E70D9F"/>
    <w:rsid w:val="00E745B9"/>
    <w:rsid w:val="00E800A1"/>
    <w:rsid w:val="00EA000B"/>
    <w:rsid w:val="00EA31E7"/>
    <w:rsid w:val="00EA4F84"/>
    <w:rsid w:val="00EB60E9"/>
    <w:rsid w:val="00ED1452"/>
    <w:rsid w:val="00ED44CB"/>
    <w:rsid w:val="00ED5CFD"/>
    <w:rsid w:val="00ED5D25"/>
    <w:rsid w:val="00EE0623"/>
    <w:rsid w:val="00EE386C"/>
    <w:rsid w:val="00EE3F9A"/>
    <w:rsid w:val="00EE6842"/>
    <w:rsid w:val="00EE6A9D"/>
    <w:rsid w:val="00EF3D4D"/>
    <w:rsid w:val="00EF4341"/>
    <w:rsid w:val="00F04898"/>
    <w:rsid w:val="00F10232"/>
    <w:rsid w:val="00F27700"/>
    <w:rsid w:val="00F32F26"/>
    <w:rsid w:val="00F41378"/>
    <w:rsid w:val="00F42BDA"/>
    <w:rsid w:val="00F44098"/>
    <w:rsid w:val="00F45B0C"/>
    <w:rsid w:val="00F52AAA"/>
    <w:rsid w:val="00F52D00"/>
    <w:rsid w:val="00F54A3D"/>
    <w:rsid w:val="00F554FC"/>
    <w:rsid w:val="00F640AC"/>
    <w:rsid w:val="00F7261B"/>
    <w:rsid w:val="00F83589"/>
    <w:rsid w:val="00FA0905"/>
    <w:rsid w:val="00FB5144"/>
    <w:rsid w:val="00FD6199"/>
    <w:rsid w:val="00FE542C"/>
    <w:rsid w:val="00FE59E9"/>
    <w:rsid w:val="00FE5D64"/>
    <w:rsid w:val="00FF401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AA6EC"/>
  <w15:chartTrackingRefBased/>
  <w15:docId w15:val="{8635C8C0-F5A8-457B-93FC-8B82BD82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4"/>
        <w:szCs w:val="24"/>
        <w:lang w:val="en-US" w:eastAsia="en-US" w:bidi="ar-SA"/>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5"/>
    <w:rPr>
      <w:lang w:val="de-AT"/>
    </w:rPr>
  </w:style>
  <w:style w:type="paragraph" w:styleId="Heading1">
    <w:name w:val="heading 1"/>
    <w:basedOn w:val="Normal"/>
    <w:next w:val="Normal"/>
    <w:link w:val="Heading1Char"/>
    <w:uiPriority w:val="9"/>
    <w:qFormat/>
    <w:rsid w:val="0020723A"/>
    <w:pPr>
      <w:keepNext/>
      <w:keepLines/>
      <w:spacing w:before="360" w:after="360"/>
      <w:jc w:val="center"/>
      <w:outlineLvl w:val="0"/>
    </w:pPr>
    <w:rPr>
      <w:rFonts w:eastAsiaTheme="majorEastAsia" w:cstheme="majorBidi"/>
      <w:b/>
      <w:color w:val="008746"/>
      <w:sz w:val="32"/>
    </w:rPr>
  </w:style>
  <w:style w:type="paragraph" w:styleId="Heading2">
    <w:name w:val="heading 2"/>
    <w:basedOn w:val="Normal"/>
    <w:next w:val="Normal"/>
    <w:link w:val="Heading2Char"/>
    <w:uiPriority w:val="9"/>
    <w:qFormat/>
    <w:rsid w:val="00AD4EFD"/>
    <w:pPr>
      <w:keepNext/>
      <w:keepLines/>
      <w:outlineLvl w:val="1"/>
    </w:pPr>
    <w:rPr>
      <w:rFonts w:eastAsiaTheme="majorEastAsia" w:cstheme="majorBidi"/>
      <w:b/>
      <w:color w:val="008746"/>
      <w:sz w:val="28"/>
      <w:szCs w:val="26"/>
    </w:rPr>
  </w:style>
  <w:style w:type="paragraph" w:styleId="Heading3">
    <w:name w:val="heading 3"/>
    <w:basedOn w:val="Normal"/>
    <w:next w:val="Normal"/>
    <w:link w:val="Heading3Char"/>
    <w:uiPriority w:val="9"/>
    <w:qFormat/>
    <w:rsid w:val="00AD4EFD"/>
    <w:pPr>
      <w:keepNext/>
      <w:keepLines/>
      <w:spacing w:after="120"/>
      <w:outlineLvl w:val="2"/>
    </w:pPr>
    <w:rPr>
      <w:rFonts w:eastAsiaTheme="majorEastAsia" w:cstheme="majorBidi"/>
      <w:b/>
      <w:color w:val="0087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23A"/>
    <w:rPr>
      <w:rFonts w:eastAsiaTheme="majorEastAsia" w:cstheme="majorBidi"/>
      <w:b/>
      <w:color w:val="008746"/>
      <w:sz w:val="32"/>
      <w:lang w:val="de-AT"/>
    </w:rPr>
  </w:style>
  <w:style w:type="character" w:customStyle="1" w:styleId="Heading2Char">
    <w:name w:val="Heading 2 Char"/>
    <w:basedOn w:val="DefaultParagraphFont"/>
    <w:link w:val="Heading2"/>
    <w:uiPriority w:val="9"/>
    <w:rsid w:val="00AD4EFD"/>
    <w:rPr>
      <w:rFonts w:eastAsiaTheme="majorEastAsia" w:cstheme="majorBidi"/>
      <w:b/>
      <w:color w:val="008746"/>
      <w:sz w:val="28"/>
      <w:szCs w:val="26"/>
    </w:rPr>
  </w:style>
  <w:style w:type="character" w:customStyle="1" w:styleId="BR-grn">
    <w:name w:val="ÖBR-grün"/>
    <w:basedOn w:val="DefaultParagraphFont"/>
    <w:uiPriority w:val="1"/>
    <w:qFormat/>
    <w:rsid w:val="00835FB2"/>
    <w:rPr>
      <w:color w:val="008746"/>
    </w:rPr>
  </w:style>
  <w:style w:type="character" w:styleId="Hyperlink">
    <w:name w:val="Hyperlink"/>
    <w:basedOn w:val="DefaultParagraphFont"/>
    <w:uiPriority w:val="99"/>
    <w:unhideWhenUsed/>
    <w:rsid w:val="00EE386C"/>
    <w:rPr>
      <w:color w:val="008746"/>
      <w:u w:val="single"/>
    </w:rPr>
  </w:style>
  <w:style w:type="character" w:styleId="UnresolvedMention">
    <w:name w:val="Unresolved Mention"/>
    <w:basedOn w:val="DefaultParagraphFont"/>
    <w:uiPriority w:val="99"/>
    <w:semiHidden/>
    <w:unhideWhenUsed/>
    <w:rsid w:val="003F47BF"/>
    <w:rPr>
      <w:color w:val="605E5C"/>
      <w:shd w:val="clear" w:color="auto" w:fill="E1DFDD"/>
    </w:rPr>
  </w:style>
  <w:style w:type="character" w:styleId="CommentReference">
    <w:name w:val="annotation reference"/>
    <w:basedOn w:val="DefaultParagraphFont"/>
    <w:uiPriority w:val="99"/>
    <w:semiHidden/>
    <w:unhideWhenUsed/>
    <w:rsid w:val="00A2524E"/>
    <w:rPr>
      <w:sz w:val="16"/>
      <w:szCs w:val="16"/>
    </w:rPr>
  </w:style>
  <w:style w:type="paragraph" w:styleId="CommentText">
    <w:name w:val="annotation text"/>
    <w:basedOn w:val="Normal"/>
    <w:link w:val="CommentTextChar"/>
    <w:uiPriority w:val="99"/>
    <w:unhideWhenUsed/>
    <w:rsid w:val="00A2524E"/>
    <w:pPr>
      <w:spacing w:line="240" w:lineRule="auto"/>
    </w:pPr>
    <w:rPr>
      <w:sz w:val="20"/>
      <w:szCs w:val="20"/>
    </w:rPr>
  </w:style>
  <w:style w:type="character" w:customStyle="1" w:styleId="CommentTextChar">
    <w:name w:val="Comment Text Char"/>
    <w:basedOn w:val="DefaultParagraphFont"/>
    <w:link w:val="CommentText"/>
    <w:uiPriority w:val="99"/>
    <w:rsid w:val="00A2524E"/>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A2524E"/>
    <w:rPr>
      <w:b/>
      <w:bCs/>
    </w:rPr>
  </w:style>
  <w:style w:type="character" w:customStyle="1" w:styleId="CommentSubjectChar">
    <w:name w:val="Comment Subject Char"/>
    <w:basedOn w:val="CommentTextChar"/>
    <w:link w:val="CommentSubject"/>
    <w:uiPriority w:val="99"/>
    <w:semiHidden/>
    <w:rsid w:val="00A2524E"/>
    <w:rPr>
      <w:rFonts w:ascii="Tahoma" w:hAnsi="Tahoma"/>
      <w:b/>
      <w:bCs/>
      <w:sz w:val="20"/>
      <w:szCs w:val="20"/>
    </w:rPr>
  </w:style>
  <w:style w:type="paragraph" w:styleId="BalloonText">
    <w:name w:val="Balloon Text"/>
    <w:basedOn w:val="Normal"/>
    <w:link w:val="BalloonTextChar"/>
    <w:uiPriority w:val="99"/>
    <w:semiHidden/>
    <w:unhideWhenUsed/>
    <w:rsid w:val="00A252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24E"/>
    <w:rPr>
      <w:rFonts w:ascii="Segoe UI" w:hAnsi="Segoe UI" w:cs="Segoe UI"/>
      <w:sz w:val="18"/>
      <w:szCs w:val="18"/>
    </w:rPr>
  </w:style>
  <w:style w:type="paragraph" w:styleId="Header">
    <w:name w:val="header"/>
    <w:basedOn w:val="Normal"/>
    <w:link w:val="HeaderChar"/>
    <w:uiPriority w:val="99"/>
    <w:unhideWhenUsed/>
    <w:rsid w:val="006376AE"/>
    <w:pPr>
      <w:tabs>
        <w:tab w:val="center" w:pos="4703"/>
        <w:tab w:val="right" w:pos="9406"/>
      </w:tabs>
      <w:spacing w:after="0" w:line="240" w:lineRule="auto"/>
    </w:pPr>
  </w:style>
  <w:style w:type="character" w:customStyle="1" w:styleId="HeaderChar">
    <w:name w:val="Header Char"/>
    <w:basedOn w:val="DefaultParagraphFont"/>
    <w:link w:val="Header"/>
    <w:uiPriority w:val="99"/>
    <w:rsid w:val="006376AE"/>
    <w:rPr>
      <w:rFonts w:ascii="Tahoma" w:hAnsi="Tahoma"/>
      <w:sz w:val="24"/>
    </w:rPr>
  </w:style>
  <w:style w:type="paragraph" w:styleId="FootnoteText">
    <w:name w:val="footnote text"/>
    <w:basedOn w:val="Normal"/>
    <w:link w:val="FootnoteTextChar"/>
    <w:uiPriority w:val="99"/>
    <w:semiHidden/>
    <w:unhideWhenUsed/>
    <w:rsid w:val="00E745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5B9"/>
    <w:rPr>
      <w:sz w:val="20"/>
      <w:szCs w:val="20"/>
    </w:rPr>
  </w:style>
  <w:style w:type="character" w:styleId="FootnoteReference">
    <w:name w:val="footnote reference"/>
    <w:basedOn w:val="DefaultParagraphFont"/>
    <w:uiPriority w:val="99"/>
    <w:semiHidden/>
    <w:rsid w:val="00E745B9"/>
    <w:rPr>
      <w:vertAlign w:val="superscript"/>
    </w:rPr>
  </w:style>
  <w:style w:type="character" w:customStyle="1" w:styleId="Heading3Char">
    <w:name w:val="Heading 3 Char"/>
    <w:basedOn w:val="DefaultParagraphFont"/>
    <w:link w:val="Heading3"/>
    <w:uiPriority w:val="9"/>
    <w:rsid w:val="00AD4EFD"/>
    <w:rPr>
      <w:rFonts w:eastAsiaTheme="majorEastAsia" w:cstheme="majorBidi"/>
      <w:b/>
      <w:color w:val="008746"/>
    </w:rPr>
  </w:style>
  <w:style w:type="paragraph" w:styleId="ListParagraph">
    <w:name w:val="List Paragraph"/>
    <w:basedOn w:val="Normal"/>
    <w:uiPriority w:val="34"/>
    <w:qFormat/>
    <w:rsid w:val="001E2F6A"/>
    <w:pPr>
      <w:numPr>
        <w:numId w:val="1"/>
      </w:numPr>
    </w:pPr>
  </w:style>
  <w:style w:type="paragraph" w:customStyle="1" w:styleId="ListenabsatzUnterliste">
    <w:name w:val="Listenabsatz Unterliste"/>
    <w:basedOn w:val="ListParagraph"/>
    <w:qFormat/>
    <w:rsid w:val="00B34BA4"/>
    <w:pPr>
      <w:numPr>
        <w:numId w:val="3"/>
      </w:numPr>
      <w:ind w:left="811" w:hanging="357"/>
    </w:pPr>
  </w:style>
  <w:style w:type="paragraph" w:styleId="Footer">
    <w:name w:val="footer"/>
    <w:basedOn w:val="Normal"/>
    <w:link w:val="FooterChar"/>
    <w:unhideWhenUsed/>
    <w:rsid w:val="00F42BDA"/>
    <w:pPr>
      <w:tabs>
        <w:tab w:val="center" w:pos="4703"/>
        <w:tab w:val="right" w:pos="9406"/>
      </w:tabs>
      <w:spacing w:after="0" w:line="240" w:lineRule="auto"/>
    </w:pPr>
  </w:style>
  <w:style w:type="character" w:customStyle="1" w:styleId="FooterChar">
    <w:name w:val="Footer Char"/>
    <w:basedOn w:val="DefaultParagraphFont"/>
    <w:link w:val="Footer"/>
    <w:rsid w:val="00F42BDA"/>
  </w:style>
  <w:style w:type="paragraph" w:customStyle="1" w:styleId="NummerierteListe">
    <w:name w:val="Nummerierte Liste"/>
    <w:basedOn w:val="ListParagraph"/>
    <w:locked/>
    <w:rsid w:val="00230DA5"/>
    <w:pPr>
      <w:numPr>
        <w:numId w:val="7"/>
      </w:numPr>
      <w:ind w:left="357" w:hanging="357"/>
    </w:pPr>
  </w:style>
  <w:style w:type="paragraph" w:customStyle="1" w:styleId="NummerierteListeUnterliste">
    <w:name w:val="Nummerierte Liste Unterliste"/>
    <w:basedOn w:val="ListParagraph"/>
    <w:qFormat/>
    <w:locked/>
    <w:rsid w:val="00161404"/>
    <w:pPr>
      <w:numPr>
        <w:ilvl w:val="1"/>
        <w:numId w:val="6"/>
      </w:numPr>
      <w:ind w:left="811" w:hanging="357"/>
    </w:pPr>
  </w:style>
  <w:style w:type="paragraph" w:customStyle="1" w:styleId="berschrift2schwarz">
    <w:name w:val="Überschrift 2 schwarz"/>
    <w:basedOn w:val="Heading2"/>
    <w:qFormat/>
    <w:rsid w:val="00293E74"/>
    <w:rPr>
      <w:color w:val="auto"/>
    </w:rPr>
  </w:style>
  <w:style w:type="paragraph" w:customStyle="1" w:styleId="berschrift1schwarz">
    <w:name w:val="Überschrift 1 schwarz"/>
    <w:basedOn w:val="Heading1"/>
    <w:qFormat/>
    <w:rsid w:val="00293E74"/>
    <w:rPr>
      <w:color w:val="auto"/>
    </w:rPr>
  </w:style>
  <w:style w:type="paragraph" w:customStyle="1" w:styleId="berschrift3schwarz">
    <w:name w:val="Überschrift 3 schwarz"/>
    <w:basedOn w:val="Heading3"/>
    <w:qFormat/>
    <w:rsid w:val="005D2E07"/>
    <w:rPr>
      <w:color w:val="auto"/>
    </w:rPr>
  </w:style>
  <w:style w:type="paragraph" w:customStyle="1" w:styleId="Flietextumrandet">
    <w:name w:val="Fließtext umrandet"/>
    <w:basedOn w:val="Normal"/>
    <w:qFormat/>
    <w:rsid w:val="00342C13"/>
    <w:pPr>
      <w:pBdr>
        <w:top w:val="single" w:sz="4" w:space="1" w:color="auto"/>
        <w:left w:val="single" w:sz="4" w:space="4" w:color="auto"/>
        <w:bottom w:val="single" w:sz="4" w:space="1" w:color="auto"/>
        <w:right w:val="single" w:sz="4" w:space="4" w:color="auto"/>
      </w:pBdr>
    </w:pPr>
  </w:style>
  <w:style w:type="character" w:styleId="FollowedHyperlink">
    <w:name w:val="FollowedHyperlink"/>
    <w:basedOn w:val="DefaultParagraphFont"/>
    <w:uiPriority w:val="99"/>
    <w:semiHidden/>
    <w:unhideWhenUsed/>
    <w:rsid w:val="00CF7049"/>
    <w:rPr>
      <w:color w:val="954F72" w:themeColor="followedHyperlink"/>
      <w:u w:val="single"/>
    </w:rPr>
  </w:style>
  <w:style w:type="paragraph" w:styleId="Title">
    <w:name w:val="Title"/>
    <w:basedOn w:val="Normal"/>
    <w:next w:val="Normal"/>
    <w:link w:val="TitleChar"/>
    <w:uiPriority w:val="10"/>
    <w:qFormat/>
    <w:rsid w:val="0020723A"/>
    <w:pPr>
      <w:spacing w:before="1080" w:after="360" w:line="240" w:lineRule="auto"/>
      <w:contextualSpacing/>
    </w:pPr>
    <w:rPr>
      <w:rFonts w:eastAsia="Times New Roman" w:cs="Arial"/>
      <w:color w:val="008746"/>
      <w:spacing w:val="-10"/>
      <w:kern w:val="28"/>
      <w:sz w:val="56"/>
      <w:szCs w:val="56"/>
    </w:rPr>
  </w:style>
  <w:style w:type="character" w:customStyle="1" w:styleId="TitleChar">
    <w:name w:val="Title Char"/>
    <w:basedOn w:val="DefaultParagraphFont"/>
    <w:link w:val="Title"/>
    <w:uiPriority w:val="10"/>
    <w:rsid w:val="0020723A"/>
    <w:rPr>
      <w:rFonts w:eastAsia="Times New Roman" w:cs="Arial"/>
      <w:color w:val="008746"/>
      <w:spacing w:val="-10"/>
      <w:kern w:val="28"/>
      <w:sz w:val="56"/>
      <w:szCs w:val="56"/>
      <w:lang w:val="de-AT"/>
    </w:rPr>
  </w:style>
  <w:style w:type="paragraph" w:styleId="TOCHeading">
    <w:name w:val="TOC Heading"/>
    <w:basedOn w:val="Heading1"/>
    <w:next w:val="Normal"/>
    <w:uiPriority w:val="39"/>
    <w:unhideWhenUsed/>
    <w:qFormat/>
    <w:rsid w:val="00943D94"/>
    <w:pPr>
      <w:spacing w:before="240" w:after="0" w:line="259" w:lineRule="auto"/>
      <w:jc w:val="left"/>
      <w:outlineLvl w:val="9"/>
    </w:pPr>
    <w:rPr>
      <w:rFonts w:asciiTheme="majorHAnsi" w:hAnsiTheme="majorHAnsi"/>
      <w:b w:val="0"/>
      <w:color w:val="2F5496" w:themeColor="accent1" w:themeShade="BF"/>
      <w:szCs w:val="32"/>
      <w:lang w:eastAsia="de-AT"/>
    </w:rPr>
  </w:style>
  <w:style w:type="paragraph" w:styleId="TOC1">
    <w:name w:val="toc 1"/>
    <w:basedOn w:val="Normal"/>
    <w:next w:val="Normal"/>
    <w:autoRedefine/>
    <w:uiPriority w:val="39"/>
    <w:unhideWhenUsed/>
    <w:rsid w:val="00137A2E"/>
    <w:pPr>
      <w:tabs>
        <w:tab w:val="left" w:pos="480"/>
        <w:tab w:val="right" w:leader="dot" w:pos="9062"/>
      </w:tabs>
      <w:spacing w:after="100"/>
    </w:pPr>
    <w:rPr>
      <w:rFonts w:eastAsiaTheme="majorEastAsia" w:cs="Tahoma"/>
      <w:noProof/>
      <w:lang w:val="en-GB"/>
    </w:rPr>
  </w:style>
  <w:style w:type="paragraph" w:styleId="NormalWeb">
    <w:name w:val="Normal (Web)"/>
    <w:basedOn w:val="Normal"/>
    <w:uiPriority w:val="99"/>
    <w:semiHidden/>
    <w:unhideWhenUsed/>
    <w:rsid w:val="006A3F7B"/>
    <w:rPr>
      <w:rFonts w:ascii="Times New Roman" w:hAnsi="Times New Roman" w:cs="Times New Roman"/>
    </w:rPr>
  </w:style>
  <w:style w:type="paragraph" w:styleId="TOC2">
    <w:name w:val="toc 2"/>
    <w:basedOn w:val="Normal"/>
    <w:next w:val="Normal"/>
    <w:autoRedefine/>
    <w:uiPriority w:val="39"/>
    <w:unhideWhenUsed/>
    <w:rsid w:val="00AF7EE0"/>
    <w:pPr>
      <w:spacing w:after="100"/>
      <w:ind w:left="240"/>
    </w:pPr>
  </w:style>
  <w:style w:type="paragraph" w:styleId="Revision">
    <w:name w:val="Revision"/>
    <w:hidden/>
    <w:uiPriority w:val="99"/>
    <w:semiHidden/>
    <w:rsid w:val="0005701B"/>
    <w:pPr>
      <w:spacing w:after="0" w:line="240" w:lineRule="auto"/>
    </w:pPr>
    <w:rPr>
      <w:lang w:val="de-AT"/>
    </w:rPr>
  </w:style>
  <w:style w:type="paragraph" w:styleId="TOC3">
    <w:name w:val="toc 3"/>
    <w:basedOn w:val="Normal"/>
    <w:next w:val="Normal"/>
    <w:autoRedefine/>
    <w:uiPriority w:val="39"/>
    <w:unhideWhenUsed/>
    <w:rsid w:val="00BE13D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9615">
      <w:bodyDiv w:val="1"/>
      <w:marLeft w:val="0"/>
      <w:marRight w:val="0"/>
      <w:marTop w:val="0"/>
      <w:marBottom w:val="0"/>
      <w:divBdr>
        <w:top w:val="none" w:sz="0" w:space="0" w:color="auto"/>
        <w:left w:val="none" w:sz="0" w:space="0" w:color="auto"/>
        <w:bottom w:val="none" w:sz="0" w:space="0" w:color="auto"/>
        <w:right w:val="none" w:sz="0" w:space="0" w:color="auto"/>
      </w:divBdr>
      <w:divsChild>
        <w:div w:id="2010714834">
          <w:marLeft w:val="0"/>
          <w:marRight w:val="0"/>
          <w:marTop w:val="0"/>
          <w:marBottom w:val="0"/>
          <w:divBdr>
            <w:top w:val="none" w:sz="0" w:space="0" w:color="auto"/>
            <w:left w:val="none" w:sz="0" w:space="0" w:color="auto"/>
            <w:bottom w:val="none" w:sz="0" w:space="0" w:color="auto"/>
            <w:right w:val="none" w:sz="0" w:space="0" w:color="auto"/>
          </w:divBdr>
          <w:divsChild>
            <w:div w:id="1837377001">
              <w:marLeft w:val="0"/>
              <w:marRight w:val="0"/>
              <w:marTop w:val="0"/>
              <w:marBottom w:val="0"/>
              <w:divBdr>
                <w:top w:val="none" w:sz="0" w:space="0" w:color="auto"/>
                <w:left w:val="none" w:sz="0" w:space="0" w:color="auto"/>
                <w:bottom w:val="none" w:sz="0" w:space="0" w:color="auto"/>
                <w:right w:val="none" w:sz="0" w:space="0" w:color="auto"/>
              </w:divBdr>
              <w:divsChild>
                <w:div w:id="723913958">
                  <w:marLeft w:val="0"/>
                  <w:marRight w:val="0"/>
                  <w:marTop w:val="0"/>
                  <w:marBottom w:val="0"/>
                  <w:divBdr>
                    <w:top w:val="none" w:sz="0" w:space="0" w:color="auto"/>
                    <w:left w:val="none" w:sz="0" w:space="0" w:color="auto"/>
                    <w:bottom w:val="none" w:sz="0" w:space="0" w:color="auto"/>
                    <w:right w:val="none" w:sz="0" w:space="0" w:color="auto"/>
                  </w:divBdr>
                  <w:divsChild>
                    <w:div w:id="1805390400">
                      <w:marLeft w:val="0"/>
                      <w:marRight w:val="0"/>
                      <w:marTop w:val="0"/>
                      <w:marBottom w:val="0"/>
                      <w:divBdr>
                        <w:top w:val="none" w:sz="0" w:space="0" w:color="auto"/>
                        <w:left w:val="none" w:sz="0" w:space="0" w:color="auto"/>
                        <w:bottom w:val="none" w:sz="0" w:space="0" w:color="auto"/>
                        <w:right w:val="none" w:sz="0" w:space="0" w:color="auto"/>
                      </w:divBdr>
                      <w:divsChild>
                        <w:div w:id="2075816624">
                          <w:marLeft w:val="0"/>
                          <w:marRight w:val="0"/>
                          <w:marTop w:val="0"/>
                          <w:marBottom w:val="0"/>
                          <w:divBdr>
                            <w:top w:val="none" w:sz="0" w:space="0" w:color="auto"/>
                            <w:left w:val="none" w:sz="0" w:space="0" w:color="auto"/>
                            <w:bottom w:val="none" w:sz="0" w:space="0" w:color="auto"/>
                            <w:right w:val="none" w:sz="0" w:space="0" w:color="auto"/>
                          </w:divBdr>
                          <w:divsChild>
                            <w:div w:id="146801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534732">
      <w:bodyDiv w:val="1"/>
      <w:marLeft w:val="0"/>
      <w:marRight w:val="0"/>
      <w:marTop w:val="0"/>
      <w:marBottom w:val="0"/>
      <w:divBdr>
        <w:top w:val="none" w:sz="0" w:space="0" w:color="auto"/>
        <w:left w:val="none" w:sz="0" w:space="0" w:color="auto"/>
        <w:bottom w:val="none" w:sz="0" w:space="0" w:color="auto"/>
        <w:right w:val="none" w:sz="0" w:space="0" w:color="auto"/>
      </w:divBdr>
      <w:divsChild>
        <w:div w:id="1482766647">
          <w:marLeft w:val="0"/>
          <w:marRight w:val="0"/>
          <w:marTop w:val="0"/>
          <w:marBottom w:val="0"/>
          <w:divBdr>
            <w:top w:val="none" w:sz="0" w:space="0" w:color="auto"/>
            <w:left w:val="none" w:sz="0" w:space="0" w:color="auto"/>
            <w:bottom w:val="none" w:sz="0" w:space="0" w:color="auto"/>
            <w:right w:val="none" w:sz="0" w:space="0" w:color="auto"/>
          </w:divBdr>
          <w:divsChild>
            <w:div w:id="940187372">
              <w:marLeft w:val="0"/>
              <w:marRight w:val="0"/>
              <w:marTop w:val="0"/>
              <w:marBottom w:val="0"/>
              <w:divBdr>
                <w:top w:val="none" w:sz="0" w:space="0" w:color="auto"/>
                <w:left w:val="none" w:sz="0" w:space="0" w:color="auto"/>
                <w:bottom w:val="none" w:sz="0" w:space="0" w:color="auto"/>
                <w:right w:val="none" w:sz="0" w:space="0" w:color="auto"/>
              </w:divBdr>
              <w:divsChild>
                <w:div w:id="195629282">
                  <w:marLeft w:val="0"/>
                  <w:marRight w:val="0"/>
                  <w:marTop w:val="0"/>
                  <w:marBottom w:val="0"/>
                  <w:divBdr>
                    <w:top w:val="none" w:sz="0" w:space="0" w:color="auto"/>
                    <w:left w:val="none" w:sz="0" w:space="0" w:color="auto"/>
                    <w:bottom w:val="none" w:sz="0" w:space="0" w:color="auto"/>
                    <w:right w:val="none" w:sz="0" w:space="0" w:color="auto"/>
                  </w:divBdr>
                  <w:divsChild>
                    <w:div w:id="88960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095254">
      <w:bodyDiv w:val="1"/>
      <w:marLeft w:val="0"/>
      <w:marRight w:val="0"/>
      <w:marTop w:val="0"/>
      <w:marBottom w:val="0"/>
      <w:divBdr>
        <w:top w:val="none" w:sz="0" w:space="0" w:color="auto"/>
        <w:left w:val="none" w:sz="0" w:space="0" w:color="auto"/>
        <w:bottom w:val="none" w:sz="0" w:space="0" w:color="auto"/>
        <w:right w:val="none" w:sz="0" w:space="0" w:color="auto"/>
      </w:divBdr>
    </w:div>
    <w:div w:id="911769519">
      <w:bodyDiv w:val="1"/>
      <w:marLeft w:val="0"/>
      <w:marRight w:val="0"/>
      <w:marTop w:val="0"/>
      <w:marBottom w:val="0"/>
      <w:divBdr>
        <w:top w:val="none" w:sz="0" w:space="0" w:color="auto"/>
        <w:left w:val="none" w:sz="0" w:space="0" w:color="auto"/>
        <w:bottom w:val="none" w:sz="0" w:space="0" w:color="auto"/>
        <w:right w:val="none" w:sz="0" w:space="0" w:color="auto"/>
      </w:divBdr>
      <w:divsChild>
        <w:div w:id="2092198510">
          <w:marLeft w:val="0"/>
          <w:marRight w:val="0"/>
          <w:marTop w:val="0"/>
          <w:marBottom w:val="0"/>
          <w:divBdr>
            <w:top w:val="none" w:sz="0" w:space="0" w:color="auto"/>
            <w:left w:val="none" w:sz="0" w:space="0" w:color="auto"/>
            <w:bottom w:val="none" w:sz="0" w:space="0" w:color="auto"/>
            <w:right w:val="none" w:sz="0" w:space="0" w:color="auto"/>
          </w:divBdr>
          <w:divsChild>
            <w:div w:id="1872914446">
              <w:marLeft w:val="0"/>
              <w:marRight w:val="0"/>
              <w:marTop w:val="0"/>
              <w:marBottom w:val="0"/>
              <w:divBdr>
                <w:top w:val="none" w:sz="0" w:space="0" w:color="auto"/>
                <w:left w:val="none" w:sz="0" w:space="0" w:color="auto"/>
                <w:bottom w:val="none" w:sz="0" w:space="0" w:color="auto"/>
                <w:right w:val="none" w:sz="0" w:space="0" w:color="auto"/>
              </w:divBdr>
              <w:divsChild>
                <w:div w:id="233051544">
                  <w:marLeft w:val="0"/>
                  <w:marRight w:val="0"/>
                  <w:marTop w:val="0"/>
                  <w:marBottom w:val="0"/>
                  <w:divBdr>
                    <w:top w:val="none" w:sz="0" w:space="0" w:color="auto"/>
                    <w:left w:val="none" w:sz="0" w:space="0" w:color="auto"/>
                    <w:bottom w:val="none" w:sz="0" w:space="0" w:color="auto"/>
                    <w:right w:val="none" w:sz="0" w:space="0" w:color="auto"/>
                  </w:divBdr>
                  <w:divsChild>
                    <w:div w:id="1622108181">
                      <w:marLeft w:val="0"/>
                      <w:marRight w:val="0"/>
                      <w:marTop w:val="0"/>
                      <w:marBottom w:val="0"/>
                      <w:divBdr>
                        <w:top w:val="none" w:sz="0" w:space="0" w:color="auto"/>
                        <w:left w:val="none" w:sz="0" w:space="0" w:color="auto"/>
                        <w:bottom w:val="none" w:sz="0" w:space="0" w:color="auto"/>
                        <w:right w:val="none" w:sz="0" w:space="0" w:color="auto"/>
                      </w:divBdr>
                      <w:divsChild>
                        <w:div w:id="192816196">
                          <w:marLeft w:val="0"/>
                          <w:marRight w:val="0"/>
                          <w:marTop w:val="0"/>
                          <w:marBottom w:val="0"/>
                          <w:divBdr>
                            <w:top w:val="none" w:sz="0" w:space="0" w:color="auto"/>
                            <w:left w:val="none" w:sz="0" w:space="0" w:color="auto"/>
                            <w:bottom w:val="none" w:sz="0" w:space="0" w:color="auto"/>
                            <w:right w:val="none" w:sz="0" w:space="0" w:color="auto"/>
                          </w:divBdr>
                          <w:divsChild>
                            <w:div w:id="132929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319220">
      <w:bodyDiv w:val="1"/>
      <w:marLeft w:val="0"/>
      <w:marRight w:val="0"/>
      <w:marTop w:val="0"/>
      <w:marBottom w:val="0"/>
      <w:divBdr>
        <w:top w:val="none" w:sz="0" w:space="0" w:color="auto"/>
        <w:left w:val="none" w:sz="0" w:space="0" w:color="auto"/>
        <w:bottom w:val="none" w:sz="0" w:space="0" w:color="auto"/>
        <w:right w:val="none" w:sz="0" w:space="0" w:color="auto"/>
      </w:divBdr>
    </w:div>
    <w:div w:id="1089809081">
      <w:bodyDiv w:val="1"/>
      <w:marLeft w:val="0"/>
      <w:marRight w:val="0"/>
      <w:marTop w:val="0"/>
      <w:marBottom w:val="0"/>
      <w:divBdr>
        <w:top w:val="none" w:sz="0" w:space="0" w:color="auto"/>
        <w:left w:val="none" w:sz="0" w:space="0" w:color="auto"/>
        <w:bottom w:val="none" w:sz="0" w:space="0" w:color="auto"/>
        <w:right w:val="none" w:sz="0" w:space="0" w:color="auto"/>
      </w:divBdr>
      <w:divsChild>
        <w:div w:id="372929626">
          <w:marLeft w:val="0"/>
          <w:marRight w:val="0"/>
          <w:marTop w:val="0"/>
          <w:marBottom w:val="0"/>
          <w:divBdr>
            <w:top w:val="none" w:sz="0" w:space="0" w:color="auto"/>
            <w:left w:val="none" w:sz="0" w:space="0" w:color="auto"/>
            <w:bottom w:val="none" w:sz="0" w:space="0" w:color="auto"/>
            <w:right w:val="none" w:sz="0" w:space="0" w:color="auto"/>
          </w:divBdr>
          <w:divsChild>
            <w:div w:id="1810005345">
              <w:marLeft w:val="0"/>
              <w:marRight w:val="0"/>
              <w:marTop w:val="0"/>
              <w:marBottom w:val="0"/>
              <w:divBdr>
                <w:top w:val="none" w:sz="0" w:space="0" w:color="auto"/>
                <w:left w:val="none" w:sz="0" w:space="0" w:color="auto"/>
                <w:bottom w:val="none" w:sz="0" w:space="0" w:color="auto"/>
                <w:right w:val="none" w:sz="0" w:space="0" w:color="auto"/>
              </w:divBdr>
              <w:divsChild>
                <w:div w:id="1800806732">
                  <w:marLeft w:val="0"/>
                  <w:marRight w:val="0"/>
                  <w:marTop w:val="0"/>
                  <w:marBottom w:val="0"/>
                  <w:divBdr>
                    <w:top w:val="none" w:sz="0" w:space="0" w:color="auto"/>
                    <w:left w:val="none" w:sz="0" w:space="0" w:color="auto"/>
                    <w:bottom w:val="none" w:sz="0" w:space="0" w:color="auto"/>
                    <w:right w:val="none" w:sz="0" w:space="0" w:color="auto"/>
                  </w:divBdr>
                  <w:divsChild>
                    <w:div w:id="82735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034676">
      <w:bodyDiv w:val="1"/>
      <w:marLeft w:val="0"/>
      <w:marRight w:val="0"/>
      <w:marTop w:val="0"/>
      <w:marBottom w:val="0"/>
      <w:divBdr>
        <w:top w:val="none" w:sz="0" w:space="0" w:color="auto"/>
        <w:left w:val="none" w:sz="0" w:space="0" w:color="auto"/>
        <w:bottom w:val="none" w:sz="0" w:space="0" w:color="auto"/>
        <w:right w:val="none" w:sz="0" w:space="0" w:color="auto"/>
      </w:divBdr>
      <w:divsChild>
        <w:div w:id="1356224049">
          <w:marLeft w:val="0"/>
          <w:marRight w:val="0"/>
          <w:marTop w:val="0"/>
          <w:marBottom w:val="0"/>
          <w:divBdr>
            <w:top w:val="none" w:sz="0" w:space="0" w:color="auto"/>
            <w:left w:val="none" w:sz="0" w:space="0" w:color="auto"/>
            <w:bottom w:val="none" w:sz="0" w:space="0" w:color="auto"/>
            <w:right w:val="none" w:sz="0" w:space="0" w:color="auto"/>
          </w:divBdr>
          <w:divsChild>
            <w:div w:id="1959529094">
              <w:marLeft w:val="0"/>
              <w:marRight w:val="0"/>
              <w:marTop w:val="0"/>
              <w:marBottom w:val="0"/>
              <w:divBdr>
                <w:top w:val="none" w:sz="0" w:space="0" w:color="auto"/>
                <w:left w:val="none" w:sz="0" w:space="0" w:color="auto"/>
                <w:bottom w:val="none" w:sz="0" w:space="0" w:color="auto"/>
                <w:right w:val="none" w:sz="0" w:space="0" w:color="auto"/>
              </w:divBdr>
              <w:divsChild>
                <w:div w:id="1523785406">
                  <w:marLeft w:val="0"/>
                  <w:marRight w:val="0"/>
                  <w:marTop w:val="0"/>
                  <w:marBottom w:val="0"/>
                  <w:divBdr>
                    <w:top w:val="none" w:sz="0" w:space="0" w:color="auto"/>
                    <w:left w:val="none" w:sz="0" w:space="0" w:color="auto"/>
                    <w:bottom w:val="none" w:sz="0" w:space="0" w:color="auto"/>
                    <w:right w:val="none" w:sz="0" w:space="0" w:color="auto"/>
                  </w:divBdr>
                  <w:divsChild>
                    <w:div w:id="1729643630">
                      <w:marLeft w:val="0"/>
                      <w:marRight w:val="0"/>
                      <w:marTop w:val="0"/>
                      <w:marBottom w:val="0"/>
                      <w:divBdr>
                        <w:top w:val="none" w:sz="0" w:space="0" w:color="auto"/>
                        <w:left w:val="none" w:sz="0" w:space="0" w:color="auto"/>
                        <w:bottom w:val="none" w:sz="0" w:space="0" w:color="auto"/>
                        <w:right w:val="none" w:sz="0" w:space="0" w:color="auto"/>
                      </w:divBdr>
                      <w:divsChild>
                        <w:div w:id="1738435698">
                          <w:marLeft w:val="0"/>
                          <w:marRight w:val="0"/>
                          <w:marTop w:val="0"/>
                          <w:marBottom w:val="0"/>
                          <w:divBdr>
                            <w:top w:val="none" w:sz="0" w:space="0" w:color="auto"/>
                            <w:left w:val="none" w:sz="0" w:space="0" w:color="auto"/>
                            <w:bottom w:val="none" w:sz="0" w:space="0" w:color="auto"/>
                            <w:right w:val="none" w:sz="0" w:space="0" w:color="auto"/>
                          </w:divBdr>
                          <w:divsChild>
                            <w:div w:id="197849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918942">
      <w:bodyDiv w:val="1"/>
      <w:marLeft w:val="0"/>
      <w:marRight w:val="0"/>
      <w:marTop w:val="0"/>
      <w:marBottom w:val="0"/>
      <w:divBdr>
        <w:top w:val="none" w:sz="0" w:space="0" w:color="auto"/>
        <w:left w:val="none" w:sz="0" w:space="0" w:color="auto"/>
        <w:bottom w:val="none" w:sz="0" w:space="0" w:color="auto"/>
        <w:right w:val="none" w:sz="0" w:space="0" w:color="auto"/>
      </w:divBdr>
      <w:divsChild>
        <w:div w:id="1725832456">
          <w:marLeft w:val="0"/>
          <w:marRight w:val="0"/>
          <w:marTop w:val="0"/>
          <w:marBottom w:val="0"/>
          <w:divBdr>
            <w:top w:val="none" w:sz="0" w:space="0" w:color="auto"/>
            <w:left w:val="none" w:sz="0" w:space="0" w:color="auto"/>
            <w:bottom w:val="none" w:sz="0" w:space="0" w:color="auto"/>
            <w:right w:val="none" w:sz="0" w:space="0" w:color="auto"/>
          </w:divBdr>
          <w:divsChild>
            <w:div w:id="1850867885">
              <w:marLeft w:val="0"/>
              <w:marRight w:val="0"/>
              <w:marTop w:val="0"/>
              <w:marBottom w:val="0"/>
              <w:divBdr>
                <w:top w:val="none" w:sz="0" w:space="0" w:color="auto"/>
                <w:left w:val="none" w:sz="0" w:space="0" w:color="auto"/>
                <w:bottom w:val="none" w:sz="0" w:space="0" w:color="auto"/>
                <w:right w:val="none" w:sz="0" w:space="0" w:color="auto"/>
              </w:divBdr>
              <w:divsChild>
                <w:div w:id="1267074872">
                  <w:marLeft w:val="0"/>
                  <w:marRight w:val="0"/>
                  <w:marTop w:val="0"/>
                  <w:marBottom w:val="0"/>
                  <w:divBdr>
                    <w:top w:val="none" w:sz="0" w:space="0" w:color="auto"/>
                    <w:left w:val="none" w:sz="0" w:space="0" w:color="auto"/>
                    <w:bottom w:val="none" w:sz="0" w:space="0" w:color="auto"/>
                    <w:right w:val="none" w:sz="0" w:space="0" w:color="auto"/>
                  </w:divBdr>
                  <w:divsChild>
                    <w:div w:id="264578236">
                      <w:marLeft w:val="0"/>
                      <w:marRight w:val="0"/>
                      <w:marTop w:val="0"/>
                      <w:marBottom w:val="0"/>
                      <w:divBdr>
                        <w:top w:val="none" w:sz="0" w:space="0" w:color="auto"/>
                        <w:left w:val="none" w:sz="0" w:space="0" w:color="auto"/>
                        <w:bottom w:val="none" w:sz="0" w:space="0" w:color="auto"/>
                        <w:right w:val="none" w:sz="0" w:space="0" w:color="auto"/>
                      </w:divBdr>
                      <w:divsChild>
                        <w:div w:id="1498766206">
                          <w:marLeft w:val="0"/>
                          <w:marRight w:val="0"/>
                          <w:marTop w:val="0"/>
                          <w:marBottom w:val="0"/>
                          <w:divBdr>
                            <w:top w:val="none" w:sz="0" w:space="0" w:color="auto"/>
                            <w:left w:val="none" w:sz="0" w:space="0" w:color="auto"/>
                            <w:bottom w:val="none" w:sz="0" w:space="0" w:color="auto"/>
                            <w:right w:val="none" w:sz="0" w:space="0" w:color="auto"/>
                          </w:divBdr>
                          <w:divsChild>
                            <w:div w:id="1065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617210">
      <w:bodyDiv w:val="1"/>
      <w:marLeft w:val="0"/>
      <w:marRight w:val="0"/>
      <w:marTop w:val="0"/>
      <w:marBottom w:val="0"/>
      <w:divBdr>
        <w:top w:val="none" w:sz="0" w:space="0" w:color="auto"/>
        <w:left w:val="none" w:sz="0" w:space="0" w:color="auto"/>
        <w:bottom w:val="none" w:sz="0" w:space="0" w:color="auto"/>
        <w:right w:val="none" w:sz="0" w:space="0" w:color="auto"/>
      </w:divBdr>
      <w:divsChild>
        <w:div w:id="818618896">
          <w:marLeft w:val="0"/>
          <w:marRight w:val="0"/>
          <w:marTop w:val="0"/>
          <w:marBottom w:val="0"/>
          <w:divBdr>
            <w:top w:val="none" w:sz="0" w:space="0" w:color="auto"/>
            <w:left w:val="none" w:sz="0" w:space="0" w:color="auto"/>
            <w:bottom w:val="none" w:sz="0" w:space="0" w:color="auto"/>
            <w:right w:val="none" w:sz="0" w:space="0" w:color="auto"/>
          </w:divBdr>
          <w:divsChild>
            <w:div w:id="1487354819">
              <w:marLeft w:val="0"/>
              <w:marRight w:val="0"/>
              <w:marTop w:val="0"/>
              <w:marBottom w:val="0"/>
              <w:divBdr>
                <w:top w:val="none" w:sz="0" w:space="0" w:color="auto"/>
                <w:left w:val="none" w:sz="0" w:space="0" w:color="auto"/>
                <w:bottom w:val="none" w:sz="0" w:space="0" w:color="auto"/>
                <w:right w:val="none" w:sz="0" w:space="0" w:color="auto"/>
              </w:divBdr>
              <w:divsChild>
                <w:div w:id="991834288">
                  <w:marLeft w:val="0"/>
                  <w:marRight w:val="0"/>
                  <w:marTop w:val="0"/>
                  <w:marBottom w:val="0"/>
                  <w:divBdr>
                    <w:top w:val="none" w:sz="0" w:space="0" w:color="auto"/>
                    <w:left w:val="none" w:sz="0" w:space="0" w:color="auto"/>
                    <w:bottom w:val="none" w:sz="0" w:space="0" w:color="auto"/>
                    <w:right w:val="none" w:sz="0" w:space="0" w:color="auto"/>
                  </w:divBdr>
                  <w:divsChild>
                    <w:div w:id="61762139">
                      <w:marLeft w:val="0"/>
                      <w:marRight w:val="0"/>
                      <w:marTop w:val="0"/>
                      <w:marBottom w:val="0"/>
                      <w:divBdr>
                        <w:top w:val="none" w:sz="0" w:space="0" w:color="auto"/>
                        <w:left w:val="none" w:sz="0" w:space="0" w:color="auto"/>
                        <w:bottom w:val="none" w:sz="0" w:space="0" w:color="auto"/>
                        <w:right w:val="none" w:sz="0" w:space="0" w:color="auto"/>
                      </w:divBdr>
                      <w:divsChild>
                        <w:div w:id="1305045443">
                          <w:marLeft w:val="0"/>
                          <w:marRight w:val="0"/>
                          <w:marTop w:val="0"/>
                          <w:marBottom w:val="0"/>
                          <w:divBdr>
                            <w:top w:val="none" w:sz="0" w:space="0" w:color="auto"/>
                            <w:left w:val="none" w:sz="0" w:space="0" w:color="auto"/>
                            <w:bottom w:val="none" w:sz="0" w:space="0" w:color="auto"/>
                            <w:right w:val="none" w:sz="0" w:space="0" w:color="auto"/>
                          </w:divBdr>
                          <w:divsChild>
                            <w:div w:id="145136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314597">
      <w:bodyDiv w:val="1"/>
      <w:marLeft w:val="0"/>
      <w:marRight w:val="0"/>
      <w:marTop w:val="0"/>
      <w:marBottom w:val="0"/>
      <w:divBdr>
        <w:top w:val="none" w:sz="0" w:space="0" w:color="auto"/>
        <w:left w:val="none" w:sz="0" w:space="0" w:color="auto"/>
        <w:bottom w:val="none" w:sz="0" w:space="0" w:color="auto"/>
        <w:right w:val="none" w:sz="0" w:space="0" w:color="auto"/>
      </w:divBdr>
      <w:divsChild>
        <w:div w:id="1756322134">
          <w:marLeft w:val="0"/>
          <w:marRight w:val="0"/>
          <w:marTop w:val="0"/>
          <w:marBottom w:val="0"/>
          <w:divBdr>
            <w:top w:val="none" w:sz="0" w:space="0" w:color="auto"/>
            <w:left w:val="none" w:sz="0" w:space="0" w:color="auto"/>
            <w:bottom w:val="none" w:sz="0" w:space="0" w:color="auto"/>
            <w:right w:val="none" w:sz="0" w:space="0" w:color="auto"/>
          </w:divBdr>
          <w:divsChild>
            <w:div w:id="626862382">
              <w:marLeft w:val="0"/>
              <w:marRight w:val="0"/>
              <w:marTop w:val="0"/>
              <w:marBottom w:val="0"/>
              <w:divBdr>
                <w:top w:val="none" w:sz="0" w:space="0" w:color="auto"/>
                <w:left w:val="none" w:sz="0" w:space="0" w:color="auto"/>
                <w:bottom w:val="none" w:sz="0" w:space="0" w:color="auto"/>
                <w:right w:val="none" w:sz="0" w:space="0" w:color="auto"/>
              </w:divBdr>
              <w:divsChild>
                <w:div w:id="2006741835">
                  <w:marLeft w:val="0"/>
                  <w:marRight w:val="0"/>
                  <w:marTop w:val="0"/>
                  <w:marBottom w:val="0"/>
                  <w:divBdr>
                    <w:top w:val="none" w:sz="0" w:space="0" w:color="auto"/>
                    <w:left w:val="none" w:sz="0" w:space="0" w:color="auto"/>
                    <w:bottom w:val="none" w:sz="0" w:space="0" w:color="auto"/>
                    <w:right w:val="none" w:sz="0" w:space="0" w:color="auto"/>
                  </w:divBdr>
                  <w:divsChild>
                    <w:div w:id="1951349654">
                      <w:marLeft w:val="0"/>
                      <w:marRight w:val="0"/>
                      <w:marTop w:val="0"/>
                      <w:marBottom w:val="0"/>
                      <w:divBdr>
                        <w:top w:val="none" w:sz="0" w:space="0" w:color="auto"/>
                        <w:left w:val="none" w:sz="0" w:space="0" w:color="auto"/>
                        <w:bottom w:val="none" w:sz="0" w:space="0" w:color="auto"/>
                        <w:right w:val="none" w:sz="0" w:space="0" w:color="auto"/>
                      </w:divBdr>
                      <w:divsChild>
                        <w:div w:id="1680935579">
                          <w:marLeft w:val="0"/>
                          <w:marRight w:val="0"/>
                          <w:marTop w:val="0"/>
                          <w:marBottom w:val="0"/>
                          <w:divBdr>
                            <w:top w:val="none" w:sz="0" w:space="0" w:color="auto"/>
                            <w:left w:val="none" w:sz="0" w:space="0" w:color="auto"/>
                            <w:bottom w:val="none" w:sz="0" w:space="0" w:color="auto"/>
                            <w:right w:val="none" w:sz="0" w:space="0" w:color="auto"/>
                          </w:divBdr>
                          <w:divsChild>
                            <w:div w:id="182427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775260">
      <w:bodyDiv w:val="1"/>
      <w:marLeft w:val="0"/>
      <w:marRight w:val="0"/>
      <w:marTop w:val="0"/>
      <w:marBottom w:val="0"/>
      <w:divBdr>
        <w:top w:val="none" w:sz="0" w:space="0" w:color="auto"/>
        <w:left w:val="none" w:sz="0" w:space="0" w:color="auto"/>
        <w:bottom w:val="none" w:sz="0" w:space="0" w:color="auto"/>
        <w:right w:val="none" w:sz="0" w:space="0" w:color="auto"/>
      </w:divBdr>
      <w:divsChild>
        <w:div w:id="339936015">
          <w:marLeft w:val="0"/>
          <w:marRight w:val="0"/>
          <w:marTop w:val="0"/>
          <w:marBottom w:val="0"/>
          <w:divBdr>
            <w:top w:val="none" w:sz="0" w:space="0" w:color="auto"/>
            <w:left w:val="none" w:sz="0" w:space="0" w:color="auto"/>
            <w:bottom w:val="none" w:sz="0" w:space="0" w:color="auto"/>
            <w:right w:val="none" w:sz="0" w:space="0" w:color="auto"/>
          </w:divBdr>
          <w:divsChild>
            <w:div w:id="606038334">
              <w:marLeft w:val="0"/>
              <w:marRight w:val="0"/>
              <w:marTop w:val="0"/>
              <w:marBottom w:val="0"/>
              <w:divBdr>
                <w:top w:val="none" w:sz="0" w:space="0" w:color="auto"/>
                <w:left w:val="none" w:sz="0" w:space="0" w:color="auto"/>
                <w:bottom w:val="none" w:sz="0" w:space="0" w:color="auto"/>
                <w:right w:val="none" w:sz="0" w:space="0" w:color="auto"/>
              </w:divBdr>
              <w:divsChild>
                <w:div w:id="50273046">
                  <w:marLeft w:val="0"/>
                  <w:marRight w:val="0"/>
                  <w:marTop w:val="0"/>
                  <w:marBottom w:val="0"/>
                  <w:divBdr>
                    <w:top w:val="none" w:sz="0" w:space="0" w:color="auto"/>
                    <w:left w:val="none" w:sz="0" w:space="0" w:color="auto"/>
                    <w:bottom w:val="none" w:sz="0" w:space="0" w:color="auto"/>
                    <w:right w:val="none" w:sz="0" w:space="0" w:color="auto"/>
                  </w:divBdr>
                  <w:divsChild>
                    <w:div w:id="507451944">
                      <w:marLeft w:val="0"/>
                      <w:marRight w:val="0"/>
                      <w:marTop w:val="0"/>
                      <w:marBottom w:val="0"/>
                      <w:divBdr>
                        <w:top w:val="none" w:sz="0" w:space="0" w:color="auto"/>
                        <w:left w:val="none" w:sz="0" w:space="0" w:color="auto"/>
                        <w:bottom w:val="none" w:sz="0" w:space="0" w:color="auto"/>
                        <w:right w:val="none" w:sz="0" w:space="0" w:color="auto"/>
                      </w:divBdr>
                      <w:divsChild>
                        <w:div w:id="174417788">
                          <w:marLeft w:val="0"/>
                          <w:marRight w:val="0"/>
                          <w:marTop w:val="0"/>
                          <w:marBottom w:val="0"/>
                          <w:divBdr>
                            <w:top w:val="none" w:sz="0" w:space="0" w:color="auto"/>
                            <w:left w:val="none" w:sz="0" w:space="0" w:color="auto"/>
                            <w:bottom w:val="none" w:sz="0" w:space="0" w:color="auto"/>
                            <w:right w:val="none" w:sz="0" w:space="0" w:color="auto"/>
                          </w:divBdr>
                          <w:divsChild>
                            <w:div w:id="101071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273488">
      <w:bodyDiv w:val="1"/>
      <w:marLeft w:val="0"/>
      <w:marRight w:val="0"/>
      <w:marTop w:val="0"/>
      <w:marBottom w:val="0"/>
      <w:divBdr>
        <w:top w:val="none" w:sz="0" w:space="0" w:color="auto"/>
        <w:left w:val="none" w:sz="0" w:space="0" w:color="auto"/>
        <w:bottom w:val="none" w:sz="0" w:space="0" w:color="auto"/>
        <w:right w:val="none" w:sz="0" w:space="0" w:color="auto"/>
      </w:divBdr>
      <w:divsChild>
        <w:div w:id="417405499">
          <w:marLeft w:val="0"/>
          <w:marRight w:val="0"/>
          <w:marTop w:val="0"/>
          <w:marBottom w:val="0"/>
          <w:divBdr>
            <w:top w:val="none" w:sz="0" w:space="0" w:color="auto"/>
            <w:left w:val="none" w:sz="0" w:space="0" w:color="auto"/>
            <w:bottom w:val="none" w:sz="0" w:space="0" w:color="auto"/>
            <w:right w:val="none" w:sz="0" w:space="0" w:color="auto"/>
          </w:divBdr>
          <w:divsChild>
            <w:div w:id="1454011020">
              <w:marLeft w:val="0"/>
              <w:marRight w:val="0"/>
              <w:marTop w:val="0"/>
              <w:marBottom w:val="0"/>
              <w:divBdr>
                <w:top w:val="none" w:sz="0" w:space="0" w:color="auto"/>
                <w:left w:val="none" w:sz="0" w:space="0" w:color="auto"/>
                <w:bottom w:val="none" w:sz="0" w:space="0" w:color="auto"/>
                <w:right w:val="none" w:sz="0" w:space="0" w:color="auto"/>
              </w:divBdr>
              <w:divsChild>
                <w:div w:id="2117485331">
                  <w:marLeft w:val="0"/>
                  <w:marRight w:val="0"/>
                  <w:marTop w:val="0"/>
                  <w:marBottom w:val="0"/>
                  <w:divBdr>
                    <w:top w:val="none" w:sz="0" w:space="0" w:color="auto"/>
                    <w:left w:val="none" w:sz="0" w:space="0" w:color="auto"/>
                    <w:bottom w:val="none" w:sz="0" w:space="0" w:color="auto"/>
                    <w:right w:val="none" w:sz="0" w:space="0" w:color="auto"/>
                  </w:divBdr>
                  <w:divsChild>
                    <w:div w:id="2143189381">
                      <w:marLeft w:val="0"/>
                      <w:marRight w:val="0"/>
                      <w:marTop w:val="0"/>
                      <w:marBottom w:val="0"/>
                      <w:divBdr>
                        <w:top w:val="none" w:sz="0" w:space="0" w:color="auto"/>
                        <w:left w:val="none" w:sz="0" w:space="0" w:color="auto"/>
                        <w:bottom w:val="none" w:sz="0" w:space="0" w:color="auto"/>
                        <w:right w:val="none" w:sz="0" w:space="0" w:color="auto"/>
                      </w:divBdr>
                      <w:divsChild>
                        <w:div w:id="1156530988">
                          <w:marLeft w:val="0"/>
                          <w:marRight w:val="0"/>
                          <w:marTop w:val="0"/>
                          <w:marBottom w:val="0"/>
                          <w:divBdr>
                            <w:top w:val="none" w:sz="0" w:space="0" w:color="auto"/>
                            <w:left w:val="none" w:sz="0" w:space="0" w:color="auto"/>
                            <w:bottom w:val="none" w:sz="0" w:space="0" w:color="auto"/>
                            <w:right w:val="none" w:sz="0" w:space="0" w:color="auto"/>
                          </w:divBdr>
                          <w:divsChild>
                            <w:div w:id="141624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172390">
      <w:bodyDiv w:val="1"/>
      <w:marLeft w:val="0"/>
      <w:marRight w:val="0"/>
      <w:marTop w:val="0"/>
      <w:marBottom w:val="0"/>
      <w:divBdr>
        <w:top w:val="none" w:sz="0" w:space="0" w:color="auto"/>
        <w:left w:val="none" w:sz="0" w:space="0" w:color="auto"/>
        <w:bottom w:val="none" w:sz="0" w:space="0" w:color="auto"/>
        <w:right w:val="none" w:sz="0" w:space="0" w:color="auto"/>
      </w:divBdr>
      <w:divsChild>
        <w:div w:id="1763719368">
          <w:marLeft w:val="0"/>
          <w:marRight w:val="0"/>
          <w:marTop w:val="0"/>
          <w:marBottom w:val="0"/>
          <w:divBdr>
            <w:top w:val="none" w:sz="0" w:space="0" w:color="auto"/>
            <w:left w:val="none" w:sz="0" w:space="0" w:color="auto"/>
            <w:bottom w:val="none" w:sz="0" w:space="0" w:color="auto"/>
            <w:right w:val="none" w:sz="0" w:space="0" w:color="auto"/>
          </w:divBdr>
          <w:divsChild>
            <w:div w:id="1862817724">
              <w:marLeft w:val="0"/>
              <w:marRight w:val="0"/>
              <w:marTop w:val="0"/>
              <w:marBottom w:val="0"/>
              <w:divBdr>
                <w:top w:val="none" w:sz="0" w:space="0" w:color="auto"/>
                <w:left w:val="none" w:sz="0" w:space="0" w:color="auto"/>
                <w:bottom w:val="none" w:sz="0" w:space="0" w:color="auto"/>
                <w:right w:val="none" w:sz="0" w:space="0" w:color="auto"/>
              </w:divBdr>
              <w:divsChild>
                <w:div w:id="1403289331">
                  <w:marLeft w:val="0"/>
                  <w:marRight w:val="0"/>
                  <w:marTop w:val="0"/>
                  <w:marBottom w:val="0"/>
                  <w:divBdr>
                    <w:top w:val="none" w:sz="0" w:space="0" w:color="auto"/>
                    <w:left w:val="none" w:sz="0" w:space="0" w:color="auto"/>
                    <w:bottom w:val="none" w:sz="0" w:space="0" w:color="auto"/>
                    <w:right w:val="none" w:sz="0" w:space="0" w:color="auto"/>
                  </w:divBdr>
                  <w:divsChild>
                    <w:div w:id="622925841">
                      <w:marLeft w:val="0"/>
                      <w:marRight w:val="0"/>
                      <w:marTop w:val="0"/>
                      <w:marBottom w:val="0"/>
                      <w:divBdr>
                        <w:top w:val="none" w:sz="0" w:space="0" w:color="auto"/>
                        <w:left w:val="none" w:sz="0" w:space="0" w:color="auto"/>
                        <w:bottom w:val="none" w:sz="0" w:space="0" w:color="auto"/>
                        <w:right w:val="none" w:sz="0" w:space="0" w:color="auto"/>
                      </w:divBdr>
                      <w:divsChild>
                        <w:div w:id="606890803">
                          <w:marLeft w:val="0"/>
                          <w:marRight w:val="0"/>
                          <w:marTop w:val="0"/>
                          <w:marBottom w:val="0"/>
                          <w:divBdr>
                            <w:top w:val="none" w:sz="0" w:space="0" w:color="auto"/>
                            <w:left w:val="none" w:sz="0" w:space="0" w:color="auto"/>
                            <w:bottom w:val="none" w:sz="0" w:space="0" w:color="auto"/>
                            <w:right w:val="none" w:sz="0" w:space="0" w:color="auto"/>
                          </w:divBdr>
                          <w:divsChild>
                            <w:div w:id="21137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943144">
      <w:bodyDiv w:val="1"/>
      <w:marLeft w:val="0"/>
      <w:marRight w:val="0"/>
      <w:marTop w:val="0"/>
      <w:marBottom w:val="0"/>
      <w:divBdr>
        <w:top w:val="none" w:sz="0" w:space="0" w:color="auto"/>
        <w:left w:val="none" w:sz="0" w:space="0" w:color="auto"/>
        <w:bottom w:val="none" w:sz="0" w:space="0" w:color="auto"/>
        <w:right w:val="none" w:sz="0" w:space="0" w:color="auto"/>
      </w:divBdr>
    </w:div>
    <w:div w:id="2022537604">
      <w:bodyDiv w:val="1"/>
      <w:marLeft w:val="0"/>
      <w:marRight w:val="0"/>
      <w:marTop w:val="0"/>
      <w:marBottom w:val="0"/>
      <w:divBdr>
        <w:top w:val="none" w:sz="0" w:space="0" w:color="auto"/>
        <w:left w:val="none" w:sz="0" w:space="0" w:color="auto"/>
        <w:bottom w:val="none" w:sz="0" w:space="0" w:color="auto"/>
        <w:right w:val="none" w:sz="0" w:space="0" w:color="auto"/>
      </w:divBdr>
      <w:divsChild>
        <w:div w:id="726686236">
          <w:marLeft w:val="0"/>
          <w:marRight w:val="0"/>
          <w:marTop w:val="0"/>
          <w:marBottom w:val="0"/>
          <w:divBdr>
            <w:top w:val="none" w:sz="0" w:space="0" w:color="auto"/>
            <w:left w:val="none" w:sz="0" w:space="0" w:color="auto"/>
            <w:bottom w:val="none" w:sz="0" w:space="0" w:color="auto"/>
            <w:right w:val="none" w:sz="0" w:space="0" w:color="auto"/>
          </w:divBdr>
          <w:divsChild>
            <w:div w:id="134839319">
              <w:marLeft w:val="0"/>
              <w:marRight w:val="0"/>
              <w:marTop w:val="0"/>
              <w:marBottom w:val="0"/>
              <w:divBdr>
                <w:top w:val="none" w:sz="0" w:space="0" w:color="auto"/>
                <w:left w:val="none" w:sz="0" w:space="0" w:color="auto"/>
                <w:bottom w:val="none" w:sz="0" w:space="0" w:color="auto"/>
                <w:right w:val="none" w:sz="0" w:space="0" w:color="auto"/>
              </w:divBdr>
              <w:divsChild>
                <w:div w:id="2024934651">
                  <w:marLeft w:val="0"/>
                  <w:marRight w:val="0"/>
                  <w:marTop w:val="0"/>
                  <w:marBottom w:val="0"/>
                  <w:divBdr>
                    <w:top w:val="none" w:sz="0" w:space="0" w:color="auto"/>
                    <w:left w:val="none" w:sz="0" w:space="0" w:color="auto"/>
                    <w:bottom w:val="none" w:sz="0" w:space="0" w:color="auto"/>
                    <w:right w:val="none" w:sz="0" w:space="0" w:color="auto"/>
                  </w:divBdr>
                  <w:divsChild>
                    <w:div w:id="1515223432">
                      <w:marLeft w:val="0"/>
                      <w:marRight w:val="0"/>
                      <w:marTop w:val="0"/>
                      <w:marBottom w:val="0"/>
                      <w:divBdr>
                        <w:top w:val="none" w:sz="0" w:space="0" w:color="auto"/>
                        <w:left w:val="none" w:sz="0" w:space="0" w:color="auto"/>
                        <w:bottom w:val="none" w:sz="0" w:space="0" w:color="auto"/>
                        <w:right w:val="none" w:sz="0" w:space="0" w:color="auto"/>
                      </w:divBdr>
                      <w:divsChild>
                        <w:div w:id="115953642">
                          <w:marLeft w:val="0"/>
                          <w:marRight w:val="0"/>
                          <w:marTop w:val="0"/>
                          <w:marBottom w:val="0"/>
                          <w:divBdr>
                            <w:top w:val="none" w:sz="0" w:space="0" w:color="auto"/>
                            <w:left w:val="none" w:sz="0" w:space="0" w:color="auto"/>
                            <w:bottom w:val="none" w:sz="0" w:space="0" w:color="auto"/>
                            <w:right w:val="none" w:sz="0" w:space="0" w:color="auto"/>
                          </w:divBdr>
                          <w:divsChild>
                            <w:div w:id="119237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4019510">
      <w:bodyDiv w:val="1"/>
      <w:marLeft w:val="0"/>
      <w:marRight w:val="0"/>
      <w:marTop w:val="0"/>
      <w:marBottom w:val="0"/>
      <w:divBdr>
        <w:top w:val="none" w:sz="0" w:space="0" w:color="auto"/>
        <w:left w:val="none" w:sz="0" w:space="0" w:color="auto"/>
        <w:bottom w:val="none" w:sz="0" w:space="0" w:color="auto"/>
        <w:right w:val="none" w:sz="0" w:space="0" w:color="auto"/>
      </w:divBdr>
    </w:div>
    <w:div w:id="208202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fra.europa.eu/en/publication/2024/political-participation" TargetMode="External"/><Relationship Id="rId2" Type="http://schemas.openxmlformats.org/officeDocument/2006/relationships/hyperlink" Target="https://www.edf-feph.org/content/uploads/2022/10/edf_hr_report_issue_6_2022_accessible.pdf" TargetMode="External"/><Relationship Id="rId1" Type="http://schemas.openxmlformats.org/officeDocument/2006/relationships/hyperlink" Target="https://www.parlament.gv.at/fachinfos/rlw/Welche-Bedeutung-hat-politische-Bildung-fuer-eine-Demokratie" TargetMode="External"/><Relationship Id="rId5" Type="http://schemas.openxmlformats.org/officeDocument/2006/relationships/hyperlink" Target="https://gemeindebund.at/services/buergermeisterinnen/" TargetMode="External"/><Relationship Id="rId4" Type="http://schemas.openxmlformats.org/officeDocument/2006/relationships/hyperlink" Target="https://www.edf-feph.org/members-of-the-disability-intergroup-by-country-2024-2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43F813F-DE72-4C12-A102-1766EF1E1FBB}">
  <ds:schemaRefs>
    <ds:schemaRef ds:uri="http://schemas.openxmlformats.org/officeDocument/2006/bibliography"/>
  </ds:schemaRefs>
</ds:datastoreItem>
</file>

<file path=customXml/itemProps2.xml><?xml version="1.0" encoding="utf-8"?>
<ds:datastoreItem xmlns:ds="http://schemas.openxmlformats.org/officeDocument/2006/customXml" ds:itemID="{E6877359-24FD-4485-BB68-90BFC10CFEA9}"/>
</file>

<file path=customXml/itemProps3.xml><?xml version="1.0" encoding="utf-8"?>
<ds:datastoreItem xmlns:ds="http://schemas.openxmlformats.org/officeDocument/2006/customXml" ds:itemID="{A220C7E2-B18B-4B7C-8ACB-EBE410CCBBA4}"/>
</file>

<file path=customXml/itemProps4.xml><?xml version="1.0" encoding="utf-8"?>
<ds:datastoreItem xmlns:ds="http://schemas.openxmlformats.org/officeDocument/2006/customXml" ds:itemID="{482939B7-E9DD-43E1-97E6-F3A1EE0E89F0}"/>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1697</Words>
  <Characters>9675</Characters>
  <Application>Microsoft Office Word</Application>
  <DocSecurity>4</DocSecurity>
  <Lines>80</Lines>
  <Paragraphs>22</Paragraphs>
  <ScaleCrop>false</ScaleCrop>
  <HeadingPairs>
    <vt:vector size="2" baseType="variant">
      <vt:variant>
        <vt:lpstr>Titel</vt:lpstr>
      </vt:variant>
      <vt:variant>
        <vt:i4>1</vt:i4>
      </vt:variant>
    </vt:vector>
  </HeadingPairs>
  <TitlesOfParts>
    <vt:vector size="1" baseType="lpstr">
      <vt:lpstr>Österreichischer Behindertenrat Stellungnahme</vt:lpstr>
    </vt:vector>
  </TitlesOfParts>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Österreichischer Behindertenrat Stellungnahme</dc:title>
  <dc:subject/>
  <dc:creator>Victoria Biber</dc:creator>
  <cp:keywords/>
  <dc:description/>
  <cp:lastModifiedBy>Barbora Zamrska</cp:lastModifiedBy>
  <cp:revision>2</cp:revision>
  <cp:lastPrinted>2020-11-03T12:52:00Z</cp:lastPrinted>
  <dcterms:created xsi:type="dcterms:W3CDTF">2025-11-04T09:04:00Z</dcterms:created>
  <dcterms:modified xsi:type="dcterms:W3CDTF">2025-11-04T09:04:00Z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