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247FD" w14:textId="7B64A573" w:rsidR="004D5C46" w:rsidRPr="004D5C46" w:rsidRDefault="004D5C46" w:rsidP="004D5C46">
      <w:pPr>
        <w:jc w:val="center"/>
        <w:rPr>
          <w:rFonts w:ascii="Times New Roman" w:hAnsi="Times New Roman" w:cs="Times New Roman"/>
          <w:b/>
          <w:color w:val="2F5496" w:themeColor="accent5" w:themeShade="BF"/>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5C46">
        <w:rPr>
          <w:rFonts w:ascii="Times New Roman" w:hAnsi="Times New Roman" w:cs="Times New Roman"/>
          <w:b/>
          <w:color w:val="2F5496" w:themeColor="accent5" w:themeShade="B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Equal </w:t>
      </w:r>
      <w:r>
        <w:rPr>
          <w:rFonts w:ascii="Times New Roman" w:hAnsi="Times New Roman" w:cs="Times New Roman"/>
          <w:b/>
          <w:color w:val="2F5496" w:themeColor="accent5" w:themeShade="B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Pr="004D5C46">
        <w:rPr>
          <w:rFonts w:ascii="Times New Roman" w:hAnsi="Times New Roman" w:cs="Times New Roman"/>
          <w:b/>
          <w:color w:val="2F5496" w:themeColor="accent5" w:themeShade="B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articipation of </w:t>
      </w:r>
      <w:r>
        <w:rPr>
          <w:rFonts w:ascii="Times New Roman" w:hAnsi="Times New Roman" w:cs="Times New Roman"/>
          <w:b/>
          <w:color w:val="2F5496" w:themeColor="accent5" w:themeShade="B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Pr="004D5C46">
        <w:rPr>
          <w:rFonts w:ascii="Times New Roman" w:hAnsi="Times New Roman" w:cs="Times New Roman"/>
          <w:b/>
          <w:color w:val="2F5496" w:themeColor="accent5" w:themeShade="B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ersons with </w:t>
      </w:r>
      <w:r>
        <w:rPr>
          <w:rFonts w:ascii="Times New Roman" w:hAnsi="Times New Roman" w:cs="Times New Roman"/>
          <w:b/>
          <w:color w:val="2F5496" w:themeColor="accent5" w:themeShade="B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Pr="004D5C46">
        <w:rPr>
          <w:rFonts w:ascii="Times New Roman" w:hAnsi="Times New Roman" w:cs="Times New Roman"/>
          <w:b/>
          <w:color w:val="2F5496" w:themeColor="accent5" w:themeShade="B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isabilities in </w:t>
      </w:r>
      <w:r>
        <w:rPr>
          <w:rFonts w:ascii="Times New Roman" w:hAnsi="Times New Roman" w:cs="Times New Roman"/>
          <w:b/>
          <w:color w:val="2F5496" w:themeColor="accent5" w:themeShade="B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Pr="004D5C46">
        <w:rPr>
          <w:rFonts w:ascii="Times New Roman" w:hAnsi="Times New Roman" w:cs="Times New Roman"/>
          <w:b/>
          <w:color w:val="2F5496" w:themeColor="accent5" w:themeShade="B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olitical </w:t>
      </w:r>
      <w:r>
        <w:rPr>
          <w:rFonts w:ascii="Times New Roman" w:hAnsi="Times New Roman" w:cs="Times New Roman"/>
          <w:b/>
          <w:color w:val="2F5496" w:themeColor="accent5" w:themeShade="B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r w:rsidRPr="004D5C46">
        <w:rPr>
          <w:rFonts w:ascii="Times New Roman" w:hAnsi="Times New Roman" w:cs="Times New Roman"/>
          <w:b/>
          <w:color w:val="2F5496" w:themeColor="accent5" w:themeShade="B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ife</w:t>
      </w:r>
    </w:p>
    <w:p w14:paraId="78A37206" w14:textId="6DA8799F" w:rsidR="004D5C46" w:rsidRPr="00810704" w:rsidRDefault="004D5C46" w:rsidP="004D5C46">
      <w:pPr>
        <w:pBdr>
          <w:bottom w:val="single" w:sz="18" w:space="1" w:color="auto"/>
        </w:pBdr>
        <w:jc w:val="center"/>
        <w:rPr>
          <w:rFonts w:ascii="Times New Roman" w:hAnsi="Times New Roman" w:cs="Times New Roman"/>
          <w:b/>
          <w:color w:val="C45911" w:themeColor="accent2" w:themeShade="B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0704">
        <w:rPr>
          <w:rFonts w:ascii="Times New Roman" w:hAnsi="Times New Roman" w:cs="Times New Roman"/>
          <w:b/>
          <w:color w:val="C45911" w:themeColor="accent2" w:themeShade="B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Special Rapporteur on the Rights of Persons with Disabilities</w:t>
      </w:r>
    </w:p>
    <w:p w14:paraId="315A40F3" w14:textId="77777777" w:rsidR="004D5C46" w:rsidRPr="00E83A16" w:rsidRDefault="004D5C46" w:rsidP="004D5C46">
      <w:pPr>
        <w:jc w:val="both"/>
        <w:rPr>
          <w:rFonts w:ascii="Times New Roman" w:hAnsi="Times New Roman" w:cs="Times New Roman"/>
        </w:rPr>
      </w:pPr>
      <w:r w:rsidRPr="005D5A34">
        <w:rPr>
          <w:rFonts w:ascii="Times New Roman" w:hAnsi="Times New Roman" w:cs="Times New Roman"/>
        </w:rPr>
        <w:t>Maat</w:t>
      </w:r>
      <w:r w:rsidRPr="00E83A16">
        <w:rPr>
          <w:rFonts w:ascii="Times New Roman" w:hAnsi="Times New Roman" w:cs="Times New Roman"/>
        </w:rPr>
        <w:t xml:space="preserve"> for Peace, Development, and Human Rights submits this report to the Special Rapporteur on the Rights of Persons with Disabilities to contribute to his thematic report to be presented at the sixty-first session of the Human Rights Council. </w:t>
      </w:r>
      <w:r w:rsidRPr="005D5A34">
        <w:rPr>
          <w:rFonts w:ascii="Times New Roman" w:hAnsi="Times New Roman" w:cs="Times New Roman"/>
        </w:rPr>
        <w:t>Maat</w:t>
      </w:r>
      <w:r w:rsidRPr="00E83A16">
        <w:rPr>
          <w:rFonts w:ascii="Times New Roman" w:hAnsi="Times New Roman" w:cs="Times New Roman"/>
        </w:rPr>
        <w:t xml:space="preserve"> hopes that the data and information contained in this contribution will enrich the report prepared by the Special Rapporteur.</w:t>
      </w:r>
    </w:p>
    <w:p w14:paraId="6E7A6BFD" w14:textId="77777777" w:rsidR="004D5C46" w:rsidRPr="004D5C46" w:rsidRDefault="004D5C46" w:rsidP="004D5C46">
      <w:pPr>
        <w:jc w:val="both"/>
        <w:rPr>
          <w:rFonts w:ascii="Times New Roman" w:hAnsi="Times New Roman" w:cs="Times New Roman"/>
          <w:b/>
          <w:bCs/>
          <w:color w:val="C45911" w:themeColor="accent2" w:themeShade="BF"/>
          <w:sz w:val="28"/>
          <w:szCs w:val="28"/>
        </w:rPr>
      </w:pPr>
      <w:r w:rsidRPr="004D5C46">
        <w:rPr>
          <w:rFonts w:ascii="Times New Roman" w:hAnsi="Times New Roman" w:cs="Times New Roman"/>
          <w:b/>
          <w:bCs/>
          <w:color w:val="C45911" w:themeColor="accent2" w:themeShade="BF"/>
          <w:sz w:val="28"/>
          <w:szCs w:val="28"/>
        </w:rPr>
        <w:t>First: What are the data and tools for monitoring and collecting data on the level of political representation of persons with disabilities within elected local and national bodies?</w:t>
      </w:r>
    </w:p>
    <w:p w14:paraId="698DAE36" w14:textId="77777777" w:rsidR="004D5C46" w:rsidRPr="00E83A16" w:rsidRDefault="004D5C46" w:rsidP="004D5C46">
      <w:pPr>
        <w:jc w:val="both"/>
        <w:rPr>
          <w:rFonts w:ascii="Times New Roman" w:hAnsi="Times New Roman" w:cs="Times New Roman"/>
        </w:rPr>
      </w:pPr>
      <w:r w:rsidRPr="005D5A34">
        <w:rPr>
          <w:rFonts w:ascii="Times New Roman" w:hAnsi="Times New Roman" w:cs="Times New Roman"/>
        </w:rPr>
        <w:t>Maat</w:t>
      </w:r>
      <w:r w:rsidRPr="00E83A16">
        <w:rPr>
          <w:rFonts w:ascii="Times New Roman" w:hAnsi="Times New Roman" w:cs="Times New Roman"/>
        </w:rPr>
        <w:t xml:space="preserve"> notes the absence of specialized mechanisms for monitoring and collecting data on the level of political representation of persons with disabilities. Often, reports from specialized councils, such as national human rights institutions and national disability bodies, are the tools that provide this data. The situation is characterized by incompleteness and inconsistency, as most countries lack standardized systems and clear methodologies for collecting disability-related data within political participation indicators. Available information is often based on self-disclosure or reports and monitoring from civil society organizations, rather than on official records or national databases. Additionally, many national parliaments do not collect or publish data on the disability status of their members, hindering efforts to build a reliable and comprehensive international database in this field.</w:t>
      </w:r>
      <w:r w:rsidRPr="005D5A34">
        <w:rPr>
          <w:rStyle w:val="FootnoteReference"/>
          <w:rFonts w:ascii="Times New Roman" w:hAnsi="Times New Roman" w:cs="Times New Roman"/>
        </w:rPr>
        <w:footnoteReference w:id="1"/>
      </w:r>
    </w:p>
    <w:p w14:paraId="7B613DA2" w14:textId="77777777" w:rsidR="004D5C46" w:rsidRPr="00E83A16" w:rsidRDefault="004D5C46" w:rsidP="004D5C46">
      <w:pPr>
        <w:jc w:val="both"/>
        <w:rPr>
          <w:rFonts w:ascii="Times New Roman" w:hAnsi="Times New Roman" w:cs="Times New Roman"/>
        </w:rPr>
      </w:pPr>
      <w:r w:rsidRPr="00E83A16">
        <w:rPr>
          <w:rFonts w:ascii="Times New Roman" w:hAnsi="Times New Roman" w:cs="Times New Roman"/>
        </w:rPr>
        <w:t xml:space="preserve">The issue of political representation of persons with disabilities within elected local and national bodies is one of the key indicators of how well countries respect their obligations under the Convention on the Rights of Persons with Disabilities, particularly Article 29, which relates to participation in political and public life. Access to accurate and transparent data regarding the level of representation of this group is essential for assessing progress and identifying existing gaps. Despite the growing awareness of the importance of including persons with disabilities in political institutions, especially following the COVID-19 pandemic, which highlighted the urgent need to involve them in shaping public policy to ensure its inclusiveness and fairness, this awareness has </w:t>
      </w:r>
      <w:r w:rsidRPr="00E83A16">
        <w:rPr>
          <w:rFonts w:ascii="Times New Roman" w:hAnsi="Times New Roman" w:cs="Times New Roman"/>
        </w:rPr>
        <w:lastRenderedPageBreak/>
        <w:t xml:space="preserve">not been effectively translated into reality in many countries. </w:t>
      </w:r>
      <w:r w:rsidRPr="005D5A34">
        <w:rPr>
          <w:rFonts w:ascii="Times New Roman" w:hAnsi="Times New Roman" w:cs="Times New Roman"/>
        </w:rPr>
        <w:t>Maat</w:t>
      </w:r>
      <w:r w:rsidRPr="00E83A16">
        <w:rPr>
          <w:rFonts w:ascii="Times New Roman" w:hAnsi="Times New Roman" w:cs="Times New Roman"/>
        </w:rPr>
        <w:t xml:space="preserve"> observes a continued lack of representation of persons with disabilities in several legislative councils around the world. A notable example is the UK House of Commons, where statistics indicate that more than one in five British citizens (approximately 14.6 million people) suffer from some form of disability, while the number of self-identified disabled members of Parliament in 2024 does not exceed twelve, representing only 1.9% of the total members. This clear disparity between the proportion of persons with disabilities in society and their percentage in Parliament reflects a concerning representation gap, which may lead to the neglect or misinterpretation of the interests and needs of this group in the legislative process and decision-making.</w:t>
      </w:r>
      <w:r w:rsidRPr="005D5A34">
        <w:rPr>
          <w:rStyle w:val="FootnoteReference"/>
          <w:rFonts w:ascii="Times New Roman" w:hAnsi="Times New Roman" w:cs="Times New Roman"/>
        </w:rPr>
        <w:footnoteReference w:id="2"/>
      </w:r>
    </w:p>
    <w:p w14:paraId="5C865EE5" w14:textId="77777777" w:rsidR="004D5C46" w:rsidRPr="004D5C46" w:rsidRDefault="004D5C46" w:rsidP="004D5C46">
      <w:pPr>
        <w:jc w:val="both"/>
        <w:rPr>
          <w:rFonts w:ascii="Times New Roman" w:hAnsi="Times New Roman" w:cs="Times New Roman"/>
          <w:b/>
          <w:bCs/>
          <w:color w:val="C45911" w:themeColor="accent2" w:themeShade="BF"/>
          <w:sz w:val="28"/>
          <w:szCs w:val="28"/>
        </w:rPr>
      </w:pPr>
      <w:r w:rsidRPr="004D5C46">
        <w:rPr>
          <w:rFonts w:ascii="Times New Roman" w:hAnsi="Times New Roman" w:cs="Times New Roman"/>
          <w:b/>
          <w:bCs/>
          <w:color w:val="C45911" w:themeColor="accent2" w:themeShade="BF"/>
          <w:sz w:val="28"/>
          <w:szCs w:val="28"/>
        </w:rPr>
        <w:t>Second: What are the legal restrictions imposed on candidacy for elections or holding public office based on disability?</w:t>
      </w:r>
    </w:p>
    <w:p w14:paraId="29F35886" w14:textId="77777777" w:rsidR="004D5C46" w:rsidRPr="00E83A16" w:rsidRDefault="004D5C46" w:rsidP="004D5C46">
      <w:pPr>
        <w:jc w:val="both"/>
        <w:rPr>
          <w:rFonts w:ascii="Times New Roman" w:hAnsi="Times New Roman" w:cs="Times New Roman"/>
        </w:rPr>
      </w:pPr>
      <w:r w:rsidRPr="00E83A16">
        <w:rPr>
          <w:rFonts w:ascii="Times New Roman" w:hAnsi="Times New Roman" w:cs="Times New Roman"/>
        </w:rPr>
        <w:t xml:space="preserve">The legal and practical restrictions imposed on the candidacy of persons with disabilities or their assumption of public office represent one of the most prominent manifestations of political exclusion that contradict the provisions of the Convention on the Rights of Persons with Disabilities, particularly Article 29, which guarantees them the right to political and public participation on an equal basis with others. Despite the legal commitments announced by many countries, actual policies and practices reveal significant gaps that prevent </w:t>
      </w:r>
      <w:r w:rsidRPr="005D5A34">
        <w:rPr>
          <w:rFonts w:ascii="Times New Roman" w:hAnsi="Times New Roman" w:cs="Times New Roman"/>
        </w:rPr>
        <w:t xml:space="preserve">the </w:t>
      </w:r>
      <w:r w:rsidRPr="00E83A16">
        <w:rPr>
          <w:rFonts w:ascii="Times New Roman" w:hAnsi="Times New Roman" w:cs="Times New Roman"/>
        </w:rPr>
        <w:t xml:space="preserve">full enjoyment of this right. In the United Kingdom, despite efforts to improve </w:t>
      </w:r>
      <w:r w:rsidRPr="005D5A34">
        <w:rPr>
          <w:rFonts w:ascii="Times New Roman" w:hAnsi="Times New Roman" w:cs="Times New Roman"/>
        </w:rPr>
        <w:t>opportunities for political participation, a funding scheme for elected positions was established in 2018 to support individuals with disabilities who face additional barriers to running for election</w:t>
      </w:r>
      <w:r w:rsidRPr="00E83A16">
        <w:rPr>
          <w:rFonts w:ascii="Times New Roman" w:hAnsi="Times New Roman" w:cs="Times New Roman"/>
        </w:rPr>
        <w:t xml:space="preserve">. This fund, financed by the government and managed by an independent organization, provided financial support to cover additional disability-related costs during election campaigns, thus promoting the principle of equal opportunities among candidates. However, the government closed this fund in early 2020 without providing an immediate alternative, despite its commitment within the government’s disability action plan to provide a new form of support by 2025. This decision resulted in the exclusion of persons with disabilities from </w:t>
      </w:r>
      <w:r w:rsidRPr="005D5A34">
        <w:rPr>
          <w:rFonts w:ascii="Times New Roman" w:hAnsi="Times New Roman" w:cs="Times New Roman"/>
        </w:rPr>
        <w:t>democratic funding for four consecutive years, preventing their participation in local elections, police and crime commissioner elections, and the 2024 general elections</w:t>
      </w:r>
      <w:r w:rsidRPr="00E83A16">
        <w:rPr>
          <w:rFonts w:ascii="Times New Roman" w:hAnsi="Times New Roman" w:cs="Times New Roman"/>
        </w:rPr>
        <w:t>, effectively reducing their chances of fair political competition.</w:t>
      </w:r>
    </w:p>
    <w:p w14:paraId="7797E4A4" w14:textId="77777777" w:rsidR="004D5C46" w:rsidRPr="00E83A16" w:rsidRDefault="004D5C46" w:rsidP="004D5C46">
      <w:pPr>
        <w:jc w:val="both"/>
        <w:rPr>
          <w:rFonts w:ascii="Times New Roman" w:hAnsi="Times New Roman" w:cs="Times New Roman"/>
        </w:rPr>
      </w:pPr>
      <w:r w:rsidRPr="00E83A16">
        <w:rPr>
          <w:rFonts w:ascii="Times New Roman" w:hAnsi="Times New Roman" w:cs="Times New Roman"/>
        </w:rPr>
        <w:lastRenderedPageBreak/>
        <w:t xml:space="preserve">In France, </w:t>
      </w:r>
      <w:r w:rsidRPr="005D5A34">
        <w:rPr>
          <w:rFonts w:ascii="Times New Roman" w:hAnsi="Times New Roman" w:cs="Times New Roman"/>
        </w:rPr>
        <w:t>Maat</w:t>
      </w:r>
      <w:r w:rsidRPr="00E83A16">
        <w:rPr>
          <w:rFonts w:ascii="Times New Roman" w:hAnsi="Times New Roman" w:cs="Times New Roman"/>
        </w:rPr>
        <w:t xml:space="preserve"> notes that persons with disabilities do not receive any financial or logistical support for managing their election campaigns, nor are there specific laws or arrangements to facilitate their duties after being elected. This reflects a lack of institutional recognition of the barriers faced by elected candidates with disabilities and limits their actual participation in political life at both local and national levels.</w:t>
      </w:r>
      <w:r w:rsidRPr="005D5A34">
        <w:rPr>
          <w:rFonts w:ascii="Times New Roman" w:hAnsi="Times New Roman" w:cs="Times New Roman"/>
        </w:rPr>
        <w:t xml:space="preserve"> </w:t>
      </w:r>
      <w:r w:rsidRPr="00E83A16">
        <w:rPr>
          <w:rFonts w:ascii="Times New Roman" w:hAnsi="Times New Roman" w:cs="Times New Roman"/>
        </w:rPr>
        <w:t xml:space="preserve">In Denmark, </w:t>
      </w:r>
      <w:r w:rsidRPr="005D5A34">
        <w:rPr>
          <w:rFonts w:ascii="Times New Roman" w:hAnsi="Times New Roman" w:cs="Times New Roman"/>
        </w:rPr>
        <w:t>Maat</w:t>
      </w:r>
      <w:r w:rsidRPr="00E83A16">
        <w:rPr>
          <w:rFonts w:ascii="Times New Roman" w:hAnsi="Times New Roman" w:cs="Times New Roman"/>
        </w:rPr>
        <w:t xml:space="preserve"> recorded a concerning observation during the early general elections held on November 1, 2022, where no political party included candidates with disabilities on their electoral lists.</w:t>
      </w:r>
      <w:r w:rsidRPr="005D5A34">
        <w:rPr>
          <w:rStyle w:val="FootnoteReference"/>
          <w:rFonts w:ascii="Times New Roman" w:hAnsi="Times New Roman" w:cs="Times New Roman"/>
        </w:rPr>
        <w:footnoteReference w:id="3"/>
      </w:r>
      <w:r w:rsidRPr="00E83A16">
        <w:rPr>
          <w:rFonts w:ascii="Times New Roman" w:hAnsi="Times New Roman" w:cs="Times New Roman"/>
        </w:rPr>
        <w:t xml:space="preserve"> This silent exclusion reflects ongoing discriminatory practices at the level of political parties, which serve as the gateway to legislative institutions, highlighting the need for legal and regulatory interventions to ensure fair representation of persons with disabilities. In light of these observations, </w:t>
      </w:r>
      <w:r w:rsidRPr="005D5A34">
        <w:rPr>
          <w:rFonts w:ascii="Times New Roman" w:hAnsi="Times New Roman" w:cs="Times New Roman"/>
        </w:rPr>
        <w:t>Maat</w:t>
      </w:r>
      <w:r w:rsidRPr="00E83A16">
        <w:rPr>
          <w:rFonts w:ascii="Times New Roman" w:hAnsi="Times New Roman" w:cs="Times New Roman"/>
        </w:rPr>
        <w:t xml:space="preserve"> emphasizes that the absence of effective legal frameworks and adequate institutional support constitutes an indirect constraint on the political rights of persons with disabilities, undermining the principle of equality in political opportunities.</w:t>
      </w:r>
    </w:p>
    <w:p w14:paraId="192B7139" w14:textId="77777777" w:rsidR="004D5C46" w:rsidRPr="00E83A16" w:rsidRDefault="004D5C46" w:rsidP="004D5C46">
      <w:pPr>
        <w:jc w:val="both"/>
        <w:rPr>
          <w:rFonts w:ascii="Times New Roman" w:hAnsi="Times New Roman" w:cs="Times New Roman"/>
        </w:rPr>
      </w:pPr>
      <w:r w:rsidRPr="00E83A16">
        <w:rPr>
          <w:rFonts w:ascii="Times New Roman" w:hAnsi="Times New Roman" w:cs="Times New Roman"/>
        </w:rPr>
        <w:t xml:space="preserve">Additionally, </w:t>
      </w:r>
      <w:r w:rsidRPr="005D5A34">
        <w:rPr>
          <w:rFonts w:ascii="Times New Roman" w:hAnsi="Times New Roman" w:cs="Times New Roman"/>
        </w:rPr>
        <w:t>Maat</w:t>
      </w:r>
      <w:r w:rsidRPr="00E83A16">
        <w:rPr>
          <w:rFonts w:ascii="Times New Roman" w:hAnsi="Times New Roman" w:cs="Times New Roman"/>
        </w:rPr>
        <w:t xml:space="preserve"> observes that the restrictions often begin with political parties, which generally do not prioritize persons with disabilities in political participation. For example, in Azerbaijan, the entry of persons with disabilities into political and public life is restricted, and internal regulations impose limitations on this group’s access to leadership positions. While </w:t>
      </w:r>
      <w:r w:rsidRPr="005D5A34">
        <w:rPr>
          <w:rFonts w:ascii="Times New Roman" w:hAnsi="Times New Roman" w:cs="Times New Roman"/>
        </w:rPr>
        <w:t>Maat</w:t>
      </w:r>
      <w:r w:rsidRPr="00E83A16">
        <w:rPr>
          <w:rFonts w:ascii="Times New Roman" w:hAnsi="Times New Roman" w:cs="Times New Roman"/>
        </w:rPr>
        <w:t xml:space="preserve"> commends the role of the Ombudsman in raising legal awareness of the rights of persons with disabilities in political life, there remains a gap between these efforts and the political empowerment of these individuals.</w:t>
      </w:r>
      <w:r w:rsidRPr="005D5A34">
        <w:rPr>
          <w:rStyle w:val="FootnoteReference"/>
          <w:rFonts w:ascii="Times New Roman" w:hAnsi="Times New Roman" w:cs="Times New Roman"/>
        </w:rPr>
        <w:footnoteReference w:id="4"/>
      </w:r>
    </w:p>
    <w:p w14:paraId="32A3651C" w14:textId="77777777" w:rsidR="004D5C46" w:rsidRPr="004D5C46" w:rsidRDefault="004D5C46" w:rsidP="004D5C46">
      <w:pPr>
        <w:jc w:val="both"/>
        <w:rPr>
          <w:rFonts w:ascii="Times New Roman" w:hAnsi="Times New Roman" w:cs="Times New Roman"/>
          <w:b/>
          <w:bCs/>
          <w:color w:val="C45911" w:themeColor="accent2" w:themeShade="BF"/>
          <w:sz w:val="28"/>
          <w:szCs w:val="28"/>
        </w:rPr>
      </w:pPr>
      <w:r w:rsidRPr="004D5C46">
        <w:rPr>
          <w:rFonts w:ascii="Times New Roman" w:hAnsi="Times New Roman" w:cs="Times New Roman"/>
          <w:b/>
          <w:bCs/>
          <w:color w:val="C45911" w:themeColor="accent2" w:themeShade="BF"/>
          <w:sz w:val="28"/>
          <w:szCs w:val="28"/>
        </w:rPr>
        <w:t>Third: Stigma and discriminatory attitudes regarding the ability of persons with disabilities to run for elections and hold office</w:t>
      </w:r>
    </w:p>
    <w:p w14:paraId="416AAF00" w14:textId="77777777" w:rsidR="004D5C46" w:rsidRPr="00E83A16" w:rsidRDefault="004D5C46" w:rsidP="004D5C46">
      <w:pPr>
        <w:jc w:val="both"/>
        <w:rPr>
          <w:rFonts w:ascii="Times New Roman" w:hAnsi="Times New Roman" w:cs="Times New Roman"/>
        </w:rPr>
      </w:pPr>
      <w:r w:rsidRPr="005D5A34">
        <w:rPr>
          <w:rFonts w:ascii="Times New Roman" w:hAnsi="Times New Roman" w:cs="Times New Roman"/>
        </w:rPr>
        <w:t>Maat</w:t>
      </w:r>
      <w:r w:rsidRPr="00E83A16">
        <w:rPr>
          <w:rFonts w:ascii="Times New Roman" w:hAnsi="Times New Roman" w:cs="Times New Roman"/>
        </w:rPr>
        <w:t xml:space="preserve"> observes that social stigma and discriminatory attitudes towards persons with disabilities continue to represent one of the most significant obstacles limiting their political participation, particularly regarding candidacy for elections or holding public office. Prevailing practices and legislation in several countries reflect the persistence of stereotypes that question the abilities of persons with disabilities, linking their political eligibility to their physical or mental health, in clear violation of the spirit of Article 29 of the Convention on the Rights of Persons with Disabilities, which guarantees them the right to participate in political and public life on an equal basis with others.</w:t>
      </w:r>
    </w:p>
    <w:p w14:paraId="34C865F2" w14:textId="77777777" w:rsidR="004D5C46" w:rsidRPr="00E83A16" w:rsidRDefault="004D5C46" w:rsidP="004D5C46">
      <w:pPr>
        <w:jc w:val="both"/>
        <w:rPr>
          <w:rFonts w:ascii="Times New Roman" w:hAnsi="Times New Roman" w:cs="Times New Roman"/>
        </w:rPr>
      </w:pPr>
      <w:r w:rsidRPr="00E83A16">
        <w:rPr>
          <w:rFonts w:ascii="Times New Roman" w:hAnsi="Times New Roman" w:cs="Times New Roman"/>
        </w:rPr>
        <w:lastRenderedPageBreak/>
        <w:t xml:space="preserve">Some countries adopt legislative exceptions based on discriminatory assumptions about the ability of persons with disabilities to make political decisions or hold public office. These barriers vary from </w:t>
      </w:r>
      <w:proofErr w:type="spellStart"/>
      <w:r w:rsidRPr="00E83A16">
        <w:rPr>
          <w:rFonts w:ascii="Times New Roman" w:hAnsi="Times New Roman" w:cs="Times New Roman"/>
        </w:rPr>
        <w:t>behavioral</w:t>
      </w:r>
      <w:proofErr w:type="spellEnd"/>
      <w:r w:rsidRPr="00E83A16">
        <w:rPr>
          <w:rFonts w:ascii="Times New Roman" w:hAnsi="Times New Roman" w:cs="Times New Roman"/>
        </w:rPr>
        <w:t xml:space="preserve"> (such as stereotypes and social stigma), to physical (like difficulty accessing registration or polling places), and institutional (embodied in laws and policies that exclude persons with disabilities or limit their legal capacity). Zambia serves as a clear example of the continuation of these discriminatory patterns; electoral laws prevent anyone “convicted or declared mentally ill” from registering to vote, and the constitution prohibits holding public office based on “mental or physical disability that renders a person unable to perform their duties.” Some constitutional provisions even state that public positions “become vacant” if the holder suffers from a mental or physical disability, effectively institutionalizing the deprivation of political rights for persons with disabilities and legitimizing the existing discrimination-based exclusion.</w:t>
      </w:r>
    </w:p>
    <w:p w14:paraId="06FBD1AE" w14:textId="5016E0E0" w:rsidR="004D5C46" w:rsidRPr="00DF50C6" w:rsidRDefault="004D5C46" w:rsidP="004D5C46">
      <w:pPr>
        <w:jc w:val="both"/>
        <w:rPr>
          <w:rFonts w:ascii="Times New Roman" w:hAnsi="Times New Roman" w:cs="Times New Roman"/>
        </w:rPr>
      </w:pPr>
      <w:r w:rsidRPr="005D5A34">
        <w:rPr>
          <w:rFonts w:ascii="Times New Roman" w:hAnsi="Times New Roman" w:cs="Times New Roman"/>
        </w:rPr>
        <w:t>Maat</w:t>
      </w:r>
      <w:r w:rsidRPr="00DF50C6">
        <w:rPr>
          <w:rFonts w:ascii="Times New Roman" w:hAnsi="Times New Roman" w:cs="Times New Roman"/>
        </w:rPr>
        <w:t xml:space="preserve"> also observes that political violence and high candidacy fees are among the major obstacles limiting the participation of persons with disabilities in the electoral process in several African countries. Additionally, some constitutions and national laws continue to deny persons with psychological, social, and intellectual disabilities the right to run for office or vote, citing a lack of full legal capacity. Studies indicate that the representation of persons with disabilities in African parliaments remains extremely limited, with no disabled parliamentarians in Ghana, Nigeria, or Sierra Leone, reflecting a stark representation gap in those countries.</w:t>
      </w:r>
    </w:p>
    <w:p w14:paraId="05A7AEBF" w14:textId="77777777" w:rsidR="004D5C46" w:rsidRPr="00DF50C6" w:rsidRDefault="004D5C46" w:rsidP="004D5C46">
      <w:pPr>
        <w:jc w:val="both"/>
        <w:rPr>
          <w:rFonts w:ascii="Times New Roman" w:hAnsi="Times New Roman" w:cs="Times New Roman"/>
        </w:rPr>
      </w:pPr>
      <w:r w:rsidRPr="00DF50C6">
        <w:rPr>
          <w:rFonts w:ascii="Times New Roman" w:hAnsi="Times New Roman" w:cs="Times New Roman"/>
        </w:rPr>
        <w:t xml:space="preserve">In this context, 2025 saw widespread calls from civil society and human rights organizations in Australia for political parties, candidates, and the general public to reject discriminatory rhetoric against persons with disabilities during federal election campaigns. Reports reviewed by </w:t>
      </w:r>
      <w:r w:rsidRPr="005D5A34">
        <w:rPr>
          <w:rFonts w:ascii="Times New Roman" w:hAnsi="Times New Roman" w:cs="Times New Roman"/>
        </w:rPr>
        <w:t>Maat</w:t>
      </w:r>
      <w:r w:rsidRPr="00DF50C6">
        <w:rPr>
          <w:rFonts w:ascii="Times New Roman" w:hAnsi="Times New Roman" w:cs="Times New Roman"/>
        </w:rPr>
        <w:t xml:space="preserve"> expressed deep concern over the use of degrading language and offensive terms—such as derogatory references to mental illnesses or the use of hurtful words like the "R-word"—which reinforce stereotypes and undermine equality in public discourse. There has also been an increase in hate speech and misinformation online, leading to a rise in smear campaigns against persons with disabilities and marginalized groups during election periods.</w:t>
      </w:r>
      <w:r w:rsidRPr="005D5A34">
        <w:rPr>
          <w:rStyle w:val="FootnoteReference"/>
          <w:rFonts w:ascii="Times New Roman" w:hAnsi="Times New Roman" w:cs="Times New Roman"/>
        </w:rPr>
        <w:footnoteReference w:id="5"/>
      </w:r>
    </w:p>
    <w:p w14:paraId="0CE78126" w14:textId="77777777" w:rsidR="004D5C46" w:rsidRPr="004D5C46" w:rsidRDefault="004D5C46" w:rsidP="004D5C46">
      <w:pPr>
        <w:jc w:val="both"/>
        <w:rPr>
          <w:rFonts w:ascii="Times New Roman" w:hAnsi="Times New Roman" w:cs="Times New Roman"/>
          <w:b/>
          <w:bCs/>
          <w:color w:val="C45911" w:themeColor="accent2" w:themeShade="BF"/>
          <w:sz w:val="28"/>
          <w:szCs w:val="28"/>
        </w:rPr>
      </w:pPr>
      <w:r w:rsidRPr="004D5C46">
        <w:rPr>
          <w:rFonts w:ascii="Times New Roman" w:hAnsi="Times New Roman" w:cs="Times New Roman"/>
          <w:b/>
          <w:bCs/>
          <w:color w:val="C45911" w:themeColor="accent2" w:themeShade="BF"/>
          <w:sz w:val="28"/>
          <w:szCs w:val="28"/>
        </w:rPr>
        <w:t>Fourth: Examples of successful measures and support to ensure equality in rights for running for elections and holding public office</w:t>
      </w:r>
    </w:p>
    <w:p w14:paraId="28524548" w14:textId="77777777" w:rsidR="004D5C46" w:rsidRPr="00DF50C6" w:rsidRDefault="004D5C46" w:rsidP="00810704">
      <w:pPr>
        <w:jc w:val="both"/>
        <w:rPr>
          <w:rFonts w:ascii="Times New Roman" w:hAnsi="Times New Roman" w:cs="Times New Roman"/>
        </w:rPr>
      </w:pPr>
      <w:r w:rsidRPr="005D5A34">
        <w:rPr>
          <w:rFonts w:ascii="Times New Roman" w:hAnsi="Times New Roman" w:cs="Times New Roman"/>
        </w:rPr>
        <w:lastRenderedPageBreak/>
        <w:t>Maat</w:t>
      </w:r>
      <w:r w:rsidRPr="00DF50C6">
        <w:rPr>
          <w:rFonts w:ascii="Times New Roman" w:hAnsi="Times New Roman" w:cs="Times New Roman"/>
        </w:rPr>
        <w:t xml:space="preserve"> has noted various positive practices aimed at increasing political participation for persons with disabilities.</w:t>
      </w:r>
      <w:r w:rsidRPr="005D5A34">
        <w:rPr>
          <w:rStyle w:val="FootnoteReference"/>
          <w:rFonts w:ascii="Times New Roman" w:hAnsi="Times New Roman" w:cs="Times New Roman"/>
        </w:rPr>
        <w:footnoteReference w:id="6"/>
      </w:r>
      <w:r w:rsidRPr="00DF50C6">
        <w:rPr>
          <w:rFonts w:ascii="Times New Roman" w:hAnsi="Times New Roman" w:cs="Times New Roman"/>
        </w:rPr>
        <w:t xml:space="preserve"> In Egypt, for example, the state is constitutionally and legally committed to representing persons with disabilities in the House of Representatives and local councils. When the National Election Authority opened candidacy for the House of Representatives elections in 2025, it emphasized that the candidacy of persons with disabilities is a prerequisite for forming electoral lists, as stipulated by the House of Representatives Law. The republic was divided into four main electoral districts, two of which (Cairo and Central Delta, and Southern, Central, and Northern Upper Egypt) each include three candidates with disabilities within 102 seats, while the other two lists (Western Delta and Eastern Delta) require one candidate with a disability among 40 seats. Any list failing to meet this condition is not accepted, providing an actual legal guarantee for the representation of persons with disabilities in Parliament, rather than merely a symbolic commitment.</w:t>
      </w:r>
      <w:r w:rsidRPr="005D5A34">
        <w:rPr>
          <w:rStyle w:val="FootnoteReference"/>
          <w:rFonts w:ascii="Times New Roman" w:hAnsi="Times New Roman" w:cs="Times New Roman"/>
        </w:rPr>
        <w:footnoteReference w:id="7"/>
      </w:r>
    </w:p>
    <w:p w14:paraId="773890A7" w14:textId="77777777" w:rsidR="004D5C46" w:rsidRPr="00DF50C6" w:rsidRDefault="004D5C46" w:rsidP="00810704">
      <w:pPr>
        <w:jc w:val="both"/>
        <w:rPr>
          <w:rFonts w:ascii="Times New Roman" w:hAnsi="Times New Roman" w:cs="Times New Roman"/>
        </w:rPr>
      </w:pPr>
      <w:r w:rsidRPr="00DF50C6">
        <w:rPr>
          <w:rFonts w:ascii="Times New Roman" w:hAnsi="Times New Roman" w:cs="Times New Roman"/>
        </w:rPr>
        <w:t>Additionally, Civil Service Law No. 81 of 2016 and its executive regulations include a comprehensive system for hiring persons with disabilities in the state administrative apparatus, with Article 12 allocating 5% of government jobs for persons with disabilities to ensure their integration into the labor market and their economic empowerment. This approach is supported by the Rights of Persons with Disabilities Law No. 10 of 2018, which mandates employers with fifty or more workers to hire persons with disabilities at a rate of 5% of the total workforce, with candidates recommended through employment offices. This measure is one of the most successful mechanisms for institutional integration that has enhanced opportunities for persons with disabilities in public work and contributed to removing economic barriers to their political and social participation.</w:t>
      </w:r>
      <w:r w:rsidRPr="005D5A34">
        <w:rPr>
          <w:rStyle w:val="FootnoteReference"/>
          <w:rFonts w:ascii="Times New Roman" w:hAnsi="Times New Roman" w:cs="Times New Roman"/>
        </w:rPr>
        <w:footnoteReference w:id="8"/>
      </w:r>
    </w:p>
    <w:p w14:paraId="50124B08" w14:textId="77777777" w:rsidR="004D5C46" w:rsidRPr="00DF50C6" w:rsidRDefault="004D5C46" w:rsidP="00810704">
      <w:pPr>
        <w:jc w:val="both"/>
        <w:rPr>
          <w:rFonts w:ascii="Times New Roman" w:hAnsi="Times New Roman" w:cs="Times New Roman"/>
        </w:rPr>
      </w:pPr>
      <w:r w:rsidRPr="00DF50C6">
        <w:rPr>
          <w:rFonts w:ascii="Times New Roman" w:hAnsi="Times New Roman" w:cs="Times New Roman"/>
        </w:rPr>
        <w:t>In Morocco, measures allow any voter with a disability to be accompanied by a person to assist them in exercising their right to vote freely. A ministerial memorandum has also mandated that ballot boxes be placed on the ground floor to be easily accessible for persons with mobility disabilities</w:t>
      </w:r>
      <w:r w:rsidRPr="005D5A34">
        <w:rPr>
          <w:rStyle w:val="FootnoteReference"/>
          <w:rFonts w:ascii="Times New Roman" w:hAnsi="Times New Roman" w:cs="Times New Roman"/>
        </w:rPr>
        <w:footnoteReference w:id="9"/>
      </w:r>
      <w:r w:rsidRPr="00DF50C6">
        <w:rPr>
          <w:rFonts w:ascii="Times New Roman" w:hAnsi="Times New Roman" w:cs="Times New Roman"/>
        </w:rPr>
        <w:t xml:space="preserve"> and to ensure usability by wheelchair users. Additionally, polling </w:t>
      </w:r>
      <w:proofErr w:type="spellStart"/>
      <w:r w:rsidRPr="00DF50C6">
        <w:rPr>
          <w:rFonts w:ascii="Times New Roman" w:hAnsi="Times New Roman" w:cs="Times New Roman"/>
        </w:rPr>
        <w:t>center</w:t>
      </w:r>
      <w:proofErr w:type="spellEnd"/>
      <w:r w:rsidRPr="00DF50C6">
        <w:rPr>
          <w:rFonts w:ascii="Times New Roman" w:hAnsi="Times New Roman" w:cs="Times New Roman"/>
        </w:rPr>
        <w:t xml:space="preserve"> officials should be provided with necessary data about voters with disabilities to enable them to take all </w:t>
      </w:r>
      <w:r w:rsidRPr="00DF50C6">
        <w:rPr>
          <w:rFonts w:ascii="Times New Roman" w:hAnsi="Times New Roman" w:cs="Times New Roman"/>
        </w:rPr>
        <w:lastRenderedPageBreak/>
        <w:t>necessary measures to facilitate access to polling places and ensure these voters can exercise their right to vote with ease and convenience.</w:t>
      </w:r>
      <w:r w:rsidRPr="005D5A34">
        <w:rPr>
          <w:rStyle w:val="FootnoteReference"/>
          <w:rFonts w:ascii="Times New Roman" w:hAnsi="Times New Roman" w:cs="Times New Roman"/>
        </w:rPr>
        <w:footnoteReference w:id="10"/>
      </w:r>
      <w:r w:rsidRPr="00DF50C6">
        <w:rPr>
          <w:rFonts w:ascii="Times New Roman" w:hAnsi="Times New Roman" w:cs="Times New Roman"/>
        </w:rPr>
        <w:t xml:space="preserve"> </w:t>
      </w:r>
      <w:r w:rsidRPr="005D5A34">
        <w:rPr>
          <w:rFonts w:ascii="Times New Roman" w:hAnsi="Times New Roman" w:cs="Times New Roman"/>
        </w:rPr>
        <w:t>Maat</w:t>
      </w:r>
      <w:r w:rsidRPr="00DF50C6">
        <w:rPr>
          <w:rFonts w:ascii="Times New Roman" w:hAnsi="Times New Roman" w:cs="Times New Roman"/>
        </w:rPr>
        <w:t xml:space="preserve"> has also reviewed the steps taken by Jordan to remove obstacles to the political participation of persons with disabilities. Jordan has adopted an executive plan for political participation to empower persons with disabilities in the electoral process, in collaboration with the Higher Council for Persons with Disabilities and the Independent Election Commission in Jordan.</w:t>
      </w:r>
      <w:r w:rsidRPr="005D5A34">
        <w:rPr>
          <w:rStyle w:val="FootnoteReference"/>
          <w:rFonts w:ascii="Times New Roman" w:hAnsi="Times New Roman" w:cs="Times New Roman"/>
        </w:rPr>
        <w:footnoteReference w:id="11"/>
      </w:r>
      <w:r w:rsidRPr="00DF50C6">
        <w:rPr>
          <w:rFonts w:ascii="Times New Roman" w:hAnsi="Times New Roman" w:cs="Times New Roman"/>
        </w:rPr>
        <w:t xml:space="preserve"> The practices previously mentioned in Egypt, Morocco, and Jordan aim to increase the participation of persons with disabilities in the political processes of the three countries.</w:t>
      </w:r>
    </w:p>
    <w:p w14:paraId="68D54F31" w14:textId="77777777" w:rsidR="004D5C46" w:rsidRPr="005D5A34" w:rsidRDefault="004D5C46" w:rsidP="004D5C46">
      <w:pPr>
        <w:jc w:val="both"/>
        <w:rPr>
          <w:rFonts w:ascii="Times New Roman" w:hAnsi="Times New Roman" w:cs="Times New Roman"/>
        </w:rPr>
      </w:pPr>
    </w:p>
    <w:p w14:paraId="4994A190" w14:textId="532B01AF" w:rsidR="004A7201" w:rsidRPr="00BF478D" w:rsidRDefault="004A7201" w:rsidP="00BF478D">
      <w:pPr>
        <w:rPr>
          <w:rtl/>
        </w:rPr>
      </w:pPr>
    </w:p>
    <w:sectPr w:rsidR="004A7201" w:rsidRPr="00BF478D" w:rsidSect="00786D2C">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26390" w14:textId="77777777" w:rsidR="00DE6A62" w:rsidRDefault="00DE6A62" w:rsidP="004F6D5A">
      <w:pPr>
        <w:spacing w:after="0" w:line="240" w:lineRule="auto"/>
      </w:pPr>
      <w:r>
        <w:separator/>
      </w:r>
    </w:p>
  </w:endnote>
  <w:endnote w:type="continuationSeparator" w:id="0">
    <w:p w14:paraId="6B1F6FA5" w14:textId="77777777" w:rsidR="00DE6A62" w:rsidRDefault="00DE6A62" w:rsidP="004F6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444"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16"/>
      <w:gridCol w:w="567"/>
      <w:gridCol w:w="1276"/>
      <w:gridCol w:w="536"/>
      <w:gridCol w:w="1812"/>
      <w:gridCol w:w="412"/>
      <w:gridCol w:w="4272"/>
    </w:tblGrid>
    <w:tr w:rsidR="00646A53" w14:paraId="228E00F9" w14:textId="77777777" w:rsidTr="007A601B">
      <w:trPr>
        <w:jc w:val="center"/>
      </w:trPr>
      <w:tc>
        <w:tcPr>
          <w:tcW w:w="646" w:type="pct"/>
          <w:vMerge w:val="restart"/>
          <w:vAlign w:val="center"/>
        </w:tcPr>
        <w:p w14:paraId="289FA700" w14:textId="77777777" w:rsidR="00646A53" w:rsidRDefault="00646A53" w:rsidP="00646A53">
          <w:pPr>
            <w:spacing w:after="60"/>
            <w:jc w:val="center"/>
            <w:rPr>
              <w:noProof/>
              <w:rtl/>
            </w:rPr>
          </w:pPr>
          <w:r>
            <w:rPr>
              <w:rFonts w:hint="cs"/>
              <w:noProof/>
              <w:lang w:eastAsia="en-GB"/>
            </w:rPr>
            <w:drawing>
              <wp:inline distT="0" distB="0" distL="0" distR="0" wp14:anchorId="6E1055C6" wp14:editId="03B771DD">
                <wp:extent cx="721378" cy="560173"/>
                <wp:effectExtent l="0" t="0" r="2540" b="0"/>
                <wp:docPr id="2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1"/>
                        <pic:cNvPicPr>
                          <a:picLocks noChangeAspect="1" noChangeArrowheads="1"/>
                        </pic:cNvPicPr>
                      </pic:nvPicPr>
                      <pic:blipFill rotWithShape="1">
                        <a:blip r:embed="rId1">
                          <a:extLst>
                            <a:ext uri="{28A0092B-C50C-407E-A947-70E740481C1C}">
                              <a14:useLocalDpi xmlns:a14="http://schemas.microsoft.com/office/drawing/2010/main" val="0"/>
                            </a:ext>
                          </a:extLst>
                        </a:blip>
                        <a:srcRect t="10353" b="11993"/>
                        <a:stretch/>
                      </pic:blipFill>
                      <pic:spPr bwMode="auto">
                        <a:xfrm>
                          <a:off x="0" y="0"/>
                          <a:ext cx="729535" cy="56650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54" w:type="pct"/>
          <w:gridSpan w:val="6"/>
        </w:tcPr>
        <w:p w14:paraId="0FD67016" w14:textId="77777777" w:rsidR="00646A53" w:rsidRDefault="00646A53" w:rsidP="00646A53">
          <w:pPr>
            <w:spacing w:after="60"/>
            <w:rPr>
              <w:rFonts w:ascii="Times New Roman" w:hAnsi="Times New Roman" w:cs="Times New Roman"/>
              <w:b/>
              <w:bCs/>
              <w:color w:val="000066"/>
              <w:sz w:val="20"/>
              <w:szCs w:val="20"/>
            </w:rPr>
          </w:pPr>
        </w:p>
        <w:p w14:paraId="3096C19A" w14:textId="77777777" w:rsidR="00646A53" w:rsidRPr="00EB74DC" w:rsidRDefault="00646A53" w:rsidP="00646A53">
          <w:pPr>
            <w:spacing w:after="60"/>
            <w:jc w:val="center"/>
            <w:rPr>
              <w:rFonts w:ascii="Times New Roman" w:hAnsi="Times New Roman" w:cs="Times New Roman"/>
              <w:b/>
              <w:bCs/>
              <w:color w:val="3333FF"/>
              <w:sz w:val="20"/>
              <w:szCs w:val="20"/>
            </w:rPr>
          </w:pPr>
          <w:r w:rsidRPr="00EB74DC">
            <w:rPr>
              <w:rFonts w:ascii="Times New Roman" w:hAnsi="Times New Roman" w:cs="Times New Roman"/>
              <w:b/>
              <w:bCs/>
              <w:color w:val="3333FF"/>
              <w:sz w:val="20"/>
              <w:szCs w:val="20"/>
            </w:rPr>
            <w:t>Organization in special consultative status with the Economic and Social Council since 2016</w:t>
          </w:r>
        </w:p>
      </w:tc>
    </w:tr>
    <w:tr w:rsidR="00646A53" w14:paraId="2DF3C675" w14:textId="77777777" w:rsidTr="007A601B">
      <w:trPr>
        <w:jc w:val="center"/>
      </w:trPr>
      <w:tc>
        <w:tcPr>
          <w:tcW w:w="646" w:type="pct"/>
          <w:vMerge/>
        </w:tcPr>
        <w:p w14:paraId="3CC803A2" w14:textId="77777777" w:rsidR="00646A53" w:rsidRDefault="00646A53" w:rsidP="00646A53">
          <w:pPr>
            <w:jc w:val="center"/>
            <w:rPr>
              <w:b/>
              <w:bCs/>
              <w:noProof/>
              <w:lang w:bidi="ar-EG"/>
            </w:rPr>
          </w:pPr>
        </w:p>
      </w:tc>
      <w:tc>
        <w:tcPr>
          <w:tcW w:w="278" w:type="pct"/>
          <w:vMerge w:val="restart"/>
          <w:vAlign w:val="center"/>
        </w:tcPr>
        <w:p w14:paraId="60403A03" w14:textId="77777777" w:rsidR="00646A53" w:rsidRPr="000F15D5" w:rsidRDefault="00646A53" w:rsidP="00646A53">
          <w:pPr>
            <w:jc w:val="center"/>
            <w:rPr>
              <w:b/>
              <w:bCs/>
              <w:lang w:bidi="ar-EG"/>
            </w:rPr>
          </w:pPr>
          <w:r>
            <w:rPr>
              <w:b/>
              <w:bCs/>
              <w:noProof/>
              <w:lang w:eastAsia="en-GB"/>
            </w:rPr>
            <w:drawing>
              <wp:inline distT="0" distB="0" distL="0" distR="0" wp14:anchorId="2F97D22D" wp14:editId="6E66C63C">
                <wp:extent cx="113208" cy="180000"/>
                <wp:effectExtent l="0" t="0" r="1270" b="0"/>
                <wp:docPr id="18"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7"/>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3208" cy="180000"/>
                        </a:xfrm>
                        <a:prstGeom prst="rect">
                          <a:avLst/>
                        </a:prstGeom>
                      </pic:spPr>
                    </pic:pic>
                  </a:graphicData>
                </a:graphic>
              </wp:inline>
            </w:drawing>
          </w:r>
        </w:p>
      </w:tc>
      <w:tc>
        <w:tcPr>
          <w:tcW w:w="4076" w:type="pct"/>
          <w:gridSpan w:val="5"/>
          <w:vAlign w:val="center"/>
        </w:tcPr>
        <w:p w14:paraId="1AFE6EF7" w14:textId="77777777" w:rsidR="00646A53" w:rsidRPr="000F15D5" w:rsidRDefault="00646A53" w:rsidP="00646A53">
          <w:pPr>
            <w:ind w:left="-57"/>
            <w:rPr>
              <w:rFonts w:asciiTheme="majorBidi" w:hAnsiTheme="majorBidi" w:cstheme="majorBidi"/>
              <w:color w:val="000000"/>
              <w:sz w:val="18"/>
              <w:szCs w:val="18"/>
              <w:shd w:val="clear" w:color="auto" w:fill="FFFFFF"/>
            </w:rPr>
          </w:pPr>
          <w:r w:rsidRPr="0086433E">
            <w:rPr>
              <w:rFonts w:asciiTheme="majorBidi" w:eastAsia="Times New Roman" w:hAnsiTheme="majorBidi" w:cstheme="majorBidi"/>
              <w:b/>
              <w:bCs/>
              <w:color w:val="000000"/>
              <w:sz w:val="18"/>
              <w:szCs w:val="18"/>
            </w:rPr>
            <w:t>Headquarters</w:t>
          </w:r>
          <w:r>
            <w:rPr>
              <w:rFonts w:asciiTheme="majorBidi" w:eastAsia="Times New Roman" w:hAnsiTheme="majorBidi" w:cstheme="majorBidi"/>
              <w:color w:val="000000"/>
              <w:sz w:val="18"/>
              <w:szCs w:val="18"/>
            </w:rPr>
            <w:t>:</w:t>
          </w:r>
          <w:r w:rsidRPr="000F15D5">
            <w:rPr>
              <w:rFonts w:asciiTheme="majorBidi" w:eastAsia="Times New Roman" w:hAnsiTheme="majorBidi" w:cstheme="majorBidi"/>
              <w:color w:val="000000"/>
              <w:sz w:val="18"/>
              <w:szCs w:val="18"/>
            </w:rPr>
            <w:t>148 Misr Helwan El-</w:t>
          </w:r>
          <w:proofErr w:type="spellStart"/>
          <w:r w:rsidRPr="000F15D5">
            <w:rPr>
              <w:rFonts w:asciiTheme="majorBidi" w:eastAsia="Times New Roman" w:hAnsiTheme="majorBidi" w:cstheme="majorBidi"/>
              <w:color w:val="000000"/>
              <w:sz w:val="18"/>
              <w:szCs w:val="18"/>
            </w:rPr>
            <w:t>Zyrae</w:t>
          </w:r>
          <w:proofErr w:type="spellEnd"/>
          <w:r w:rsidRPr="000F15D5">
            <w:rPr>
              <w:rFonts w:asciiTheme="majorBidi" w:eastAsia="Times New Roman" w:hAnsiTheme="majorBidi" w:cstheme="majorBidi"/>
              <w:color w:val="000000"/>
              <w:sz w:val="18"/>
              <w:szCs w:val="18"/>
            </w:rPr>
            <w:t xml:space="preserve"> Road, El </w:t>
          </w:r>
          <w:proofErr w:type="spellStart"/>
          <w:r w:rsidRPr="000F15D5">
            <w:rPr>
              <w:rFonts w:asciiTheme="majorBidi" w:eastAsia="Times New Roman" w:hAnsiTheme="majorBidi" w:cstheme="majorBidi"/>
              <w:color w:val="000000"/>
              <w:sz w:val="18"/>
              <w:szCs w:val="18"/>
            </w:rPr>
            <w:t>Matbaa</w:t>
          </w:r>
          <w:proofErr w:type="spellEnd"/>
          <w:r w:rsidRPr="000F15D5">
            <w:rPr>
              <w:rFonts w:asciiTheme="majorBidi" w:eastAsia="Times New Roman" w:hAnsiTheme="majorBidi" w:cstheme="majorBidi"/>
              <w:color w:val="000000"/>
              <w:sz w:val="18"/>
              <w:szCs w:val="18"/>
              <w:rtl/>
            </w:rPr>
            <w:t xml:space="preserve"> </w:t>
          </w:r>
          <w:proofErr w:type="spellStart"/>
          <w:r w:rsidRPr="000F15D5">
            <w:rPr>
              <w:rFonts w:asciiTheme="majorBidi" w:eastAsia="Times New Roman" w:hAnsiTheme="majorBidi" w:cstheme="majorBidi"/>
              <w:color w:val="000000"/>
              <w:sz w:val="18"/>
              <w:szCs w:val="18"/>
            </w:rPr>
            <w:t>Sq</w:t>
          </w:r>
          <w:proofErr w:type="spellEnd"/>
          <w:r w:rsidRPr="000F15D5">
            <w:rPr>
              <w:rFonts w:asciiTheme="majorBidi" w:eastAsia="Times New Roman" w:hAnsiTheme="majorBidi" w:cstheme="majorBidi"/>
              <w:color w:val="000000"/>
              <w:sz w:val="18"/>
              <w:szCs w:val="18"/>
            </w:rPr>
            <w:t xml:space="preserve">, </w:t>
          </w:r>
          <w:proofErr w:type="spellStart"/>
          <w:r w:rsidRPr="000F15D5">
            <w:rPr>
              <w:rFonts w:asciiTheme="majorBidi" w:eastAsia="Times New Roman" w:hAnsiTheme="majorBidi" w:cstheme="majorBidi"/>
              <w:color w:val="000000"/>
              <w:sz w:val="18"/>
              <w:szCs w:val="18"/>
            </w:rPr>
            <w:t>Hadayek</w:t>
          </w:r>
          <w:proofErr w:type="spellEnd"/>
          <w:r w:rsidRPr="000F15D5">
            <w:rPr>
              <w:rFonts w:asciiTheme="majorBidi" w:eastAsia="Times New Roman" w:hAnsiTheme="majorBidi" w:cstheme="majorBidi"/>
              <w:color w:val="000000"/>
              <w:sz w:val="18"/>
              <w:szCs w:val="18"/>
            </w:rPr>
            <w:t xml:space="preserve"> El Maadi, 4</w:t>
          </w:r>
          <w:r w:rsidRPr="000F15D5">
            <w:rPr>
              <w:rFonts w:asciiTheme="majorBidi" w:eastAsia="Times New Roman" w:hAnsiTheme="majorBidi" w:cstheme="majorBidi"/>
              <w:color w:val="000000"/>
              <w:sz w:val="18"/>
              <w:szCs w:val="18"/>
              <w:vertAlign w:val="superscript"/>
            </w:rPr>
            <w:t>th</w:t>
          </w:r>
          <w:r w:rsidRPr="000F15D5">
            <w:rPr>
              <w:rFonts w:asciiTheme="majorBidi" w:eastAsia="Times New Roman" w:hAnsiTheme="majorBidi" w:cstheme="majorBidi"/>
              <w:color w:val="000000"/>
              <w:sz w:val="18"/>
              <w:szCs w:val="18"/>
            </w:rPr>
            <w:t xml:space="preserve"> Floor, No 41, Cairo, Egypt</w:t>
          </w:r>
          <w:r w:rsidRPr="000F15D5">
            <w:rPr>
              <w:rFonts w:asciiTheme="majorBidi" w:eastAsia="Times New Roman" w:hAnsiTheme="majorBidi" w:cstheme="majorBidi"/>
              <w:color w:val="FF0000"/>
              <w:sz w:val="18"/>
              <w:szCs w:val="18"/>
            </w:rPr>
            <w:t xml:space="preserve"> </w:t>
          </w:r>
        </w:p>
      </w:tc>
    </w:tr>
    <w:tr w:rsidR="00646A53" w14:paraId="21D64D10" w14:textId="77777777" w:rsidTr="007A601B">
      <w:trPr>
        <w:jc w:val="center"/>
      </w:trPr>
      <w:tc>
        <w:tcPr>
          <w:tcW w:w="646" w:type="pct"/>
          <w:vMerge/>
        </w:tcPr>
        <w:p w14:paraId="7C115057" w14:textId="77777777" w:rsidR="00646A53" w:rsidRDefault="00646A53" w:rsidP="00646A53">
          <w:pPr>
            <w:jc w:val="center"/>
            <w:rPr>
              <w:lang w:bidi="ar-EG"/>
            </w:rPr>
          </w:pPr>
        </w:p>
      </w:tc>
      <w:tc>
        <w:tcPr>
          <w:tcW w:w="278" w:type="pct"/>
          <w:vMerge/>
          <w:vAlign w:val="center"/>
        </w:tcPr>
        <w:p w14:paraId="3F4411A4" w14:textId="77777777" w:rsidR="00646A53" w:rsidRDefault="00646A53" w:rsidP="00646A53">
          <w:pPr>
            <w:jc w:val="center"/>
            <w:rPr>
              <w:lang w:bidi="ar-EG"/>
            </w:rPr>
          </w:pPr>
        </w:p>
      </w:tc>
      <w:tc>
        <w:tcPr>
          <w:tcW w:w="4076" w:type="pct"/>
          <w:gridSpan w:val="5"/>
          <w:vAlign w:val="center"/>
        </w:tcPr>
        <w:p w14:paraId="31659A1E" w14:textId="77777777" w:rsidR="00646A53" w:rsidRPr="000F15D5" w:rsidRDefault="00646A53" w:rsidP="00646A53">
          <w:pPr>
            <w:rPr>
              <w:rFonts w:asciiTheme="majorBidi" w:hAnsiTheme="majorBidi" w:cstheme="majorBidi"/>
              <w:color w:val="000000"/>
              <w:sz w:val="18"/>
              <w:szCs w:val="18"/>
              <w:shd w:val="clear" w:color="auto" w:fill="FFFFFF"/>
            </w:rPr>
          </w:pPr>
          <w:r w:rsidRPr="005C2948">
            <w:rPr>
              <w:rFonts w:asciiTheme="majorBidi" w:hAnsiTheme="majorBidi" w:cstheme="majorBidi"/>
              <w:b/>
              <w:bCs/>
              <w:color w:val="000000" w:themeColor="text1"/>
              <w:sz w:val="18"/>
              <w:szCs w:val="18"/>
              <w:shd w:val="clear" w:color="auto" w:fill="FFFFFF"/>
            </w:rPr>
            <w:t>Maat Training Center</w:t>
          </w:r>
          <w:r>
            <w:rPr>
              <w:rFonts w:asciiTheme="majorBidi" w:hAnsiTheme="majorBidi" w:cstheme="majorBidi"/>
              <w:color w:val="000000"/>
              <w:sz w:val="18"/>
              <w:szCs w:val="18"/>
              <w:shd w:val="clear" w:color="auto" w:fill="FFFFFF"/>
            </w:rPr>
            <w:t xml:space="preserve">: </w:t>
          </w:r>
          <w:r w:rsidRPr="000F15D5">
            <w:rPr>
              <w:rFonts w:asciiTheme="majorBidi" w:hAnsiTheme="majorBidi" w:cstheme="majorBidi"/>
              <w:color w:val="000000"/>
              <w:sz w:val="18"/>
              <w:szCs w:val="18"/>
              <w:shd w:val="clear" w:color="auto" w:fill="FFFFFF"/>
            </w:rPr>
            <w:t xml:space="preserve">380 Corniche El Nil St., </w:t>
          </w:r>
          <w:proofErr w:type="spellStart"/>
          <w:r w:rsidRPr="000F15D5">
            <w:rPr>
              <w:rFonts w:asciiTheme="majorBidi" w:hAnsiTheme="majorBidi" w:cstheme="majorBidi"/>
              <w:color w:val="000000"/>
              <w:sz w:val="18"/>
              <w:szCs w:val="18"/>
              <w:shd w:val="clear" w:color="auto" w:fill="FFFFFF"/>
            </w:rPr>
            <w:t>Gawharet</w:t>
          </w:r>
          <w:proofErr w:type="spellEnd"/>
          <w:r w:rsidRPr="000F15D5">
            <w:rPr>
              <w:rFonts w:asciiTheme="majorBidi" w:hAnsiTheme="majorBidi" w:cstheme="majorBidi"/>
              <w:color w:val="000000"/>
              <w:sz w:val="18"/>
              <w:szCs w:val="18"/>
              <w:shd w:val="clear" w:color="auto" w:fill="FFFFFF"/>
            </w:rPr>
            <w:t xml:space="preserve"> El Maadi Tower,38th Floor, Tower B, Cairo, Egypt</w:t>
          </w:r>
        </w:p>
      </w:tc>
    </w:tr>
    <w:tr w:rsidR="00646A53" w14:paraId="7F46E2BA" w14:textId="77777777" w:rsidTr="007A601B">
      <w:trPr>
        <w:jc w:val="center"/>
      </w:trPr>
      <w:tc>
        <w:tcPr>
          <w:tcW w:w="646" w:type="pct"/>
          <w:vMerge/>
        </w:tcPr>
        <w:p w14:paraId="35572253" w14:textId="77777777" w:rsidR="00646A53" w:rsidRDefault="00646A53" w:rsidP="00646A53">
          <w:pPr>
            <w:jc w:val="center"/>
            <w:rPr>
              <w:noProof/>
              <w:lang w:bidi="ar-EG"/>
            </w:rPr>
          </w:pPr>
        </w:p>
      </w:tc>
      <w:tc>
        <w:tcPr>
          <w:tcW w:w="278" w:type="pct"/>
          <w:vAlign w:val="center"/>
        </w:tcPr>
        <w:p w14:paraId="6ACC96E0" w14:textId="77777777" w:rsidR="00646A53" w:rsidRDefault="00646A53" w:rsidP="00646A53">
          <w:pPr>
            <w:jc w:val="center"/>
            <w:rPr>
              <w:lang w:bidi="ar-EG"/>
            </w:rPr>
          </w:pPr>
          <w:r>
            <w:rPr>
              <w:noProof/>
              <w:lang w:eastAsia="en-GB"/>
            </w:rPr>
            <w:drawing>
              <wp:inline distT="0" distB="0" distL="0" distR="0" wp14:anchorId="77CFED58" wp14:editId="7ED14B6A">
                <wp:extent cx="178378" cy="180000"/>
                <wp:effectExtent l="0" t="0" r="0" b="0"/>
                <wp:docPr id="19"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صورة 8"/>
                        <pic:cNvPicPr/>
                      </pic:nvPicPr>
                      <pic:blipFill>
                        <a:blip r:embed="rId3" cstate="print">
                          <a:extLst>
                            <a:ext uri="{28A0092B-C50C-407E-A947-70E740481C1C}">
                              <a14:useLocalDpi xmlns:a14="http://schemas.microsoft.com/office/drawing/2010/main" val="0"/>
                            </a:ext>
                          </a:extLst>
                        </a:blip>
                        <a:stretch>
                          <a:fillRect/>
                        </a:stretch>
                      </pic:blipFill>
                      <pic:spPr>
                        <a:xfrm>
                          <a:off x="0" y="0"/>
                          <a:ext cx="178378" cy="180000"/>
                        </a:xfrm>
                        <a:prstGeom prst="rect">
                          <a:avLst/>
                        </a:prstGeom>
                      </pic:spPr>
                    </pic:pic>
                  </a:graphicData>
                </a:graphic>
              </wp:inline>
            </w:drawing>
          </w:r>
        </w:p>
      </w:tc>
      <w:tc>
        <w:tcPr>
          <w:tcW w:w="626" w:type="pct"/>
          <w:vAlign w:val="center"/>
        </w:tcPr>
        <w:p w14:paraId="45C50F94" w14:textId="77777777" w:rsidR="00646A53" w:rsidRPr="000F15D5" w:rsidRDefault="00646A53" w:rsidP="00646A53">
          <w:pPr>
            <w:rPr>
              <w:sz w:val="18"/>
              <w:szCs w:val="18"/>
              <w:lang w:bidi="ar-EG"/>
            </w:rPr>
          </w:pPr>
          <w:r w:rsidRPr="000F15D5">
            <w:rPr>
              <w:rFonts w:ascii="Tahoma" w:hAnsi="Tahoma" w:cs="Tahoma"/>
              <w:color w:val="000000"/>
              <w:sz w:val="18"/>
              <w:szCs w:val="18"/>
              <w:shd w:val="clear" w:color="auto" w:fill="FFFFFF"/>
            </w:rPr>
            <w:t>490 El Maadi</w:t>
          </w:r>
          <w:r w:rsidRPr="000F15D5">
            <w:rPr>
              <w:sz w:val="18"/>
              <w:szCs w:val="18"/>
              <w:lang w:bidi="ar-EG"/>
            </w:rPr>
            <w:t xml:space="preserve"> </w:t>
          </w:r>
        </w:p>
      </w:tc>
      <w:tc>
        <w:tcPr>
          <w:tcW w:w="1152" w:type="pct"/>
          <w:gridSpan w:val="2"/>
          <w:vAlign w:val="center"/>
        </w:tcPr>
        <w:p w14:paraId="33F37283" w14:textId="77777777" w:rsidR="00646A53" w:rsidRPr="000F15D5" w:rsidRDefault="00646A53" w:rsidP="00646A53">
          <w:pPr>
            <w:rPr>
              <w:sz w:val="18"/>
              <w:szCs w:val="18"/>
              <w:lang w:bidi="ar-EG"/>
            </w:rPr>
          </w:pPr>
          <w:r w:rsidRPr="00A20672">
            <w:rPr>
              <w:b/>
              <w:bCs/>
              <w:noProof/>
              <w:sz w:val="18"/>
              <w:szCs w:val="18"/>
              <w:lang w:bidi="ar-EG"/>
            </w:rPr>
            <w:t>WWW</w:t>
          </w:r>
          <w:r>
            <w:rPr>
              <w:b/>
              <w:bCs/>
              <w:noProof/>
              <w:sz w:val="18"/>
              <w:szCs w:val="18"/>
              <w:lang w:bidi="ar-EG"/>
            </w:rPr>
            <w:t>.</w:t>
          </w:r>
          <w:r w:rsidRPr="0086433E">
            <w:rPr>
              <w:rFonts w:ascii="Times New Roman" w:eastAsia="Times New Roman" w:hAnsi="Times New Roman" w:cs="Times New Roman"/>
              <w:color w:val="000000"/>
              <w:sz w:val="20"/>
              <w:szCs w:val="20"/>
            </w:rPr>
            <w:t>maatpeace.org </w:t>
          </w:r>
        </w:p>
      </w:tc>
      <w:tc>
        <w:tcPr>
          <w:tcW w:w="202" w:type="pct"/>
          <w:vAlign w:val="center"/>
        </w:tcPr>
        <w:p w14:paraId="1D7CEBF3" w14:textId="77777777" w:rsidR="00646A53" w:rsidRPr="00A20672" w:rsidRDefault="00646A53" w:rsidP="00646A53">
          <w:pPr>
            <w:rPr>
              <w:b/>
              <w:bCs/>
              <w:sz w:val="18"/>
              <w:szCs w:val="18"/>
              <w:lang w:bidi="ar-EG"/>
            </w:rPr>
          </w:pPr>
          <w:r>
            <w:rPr>
              <w:b/>
              <w:bCs/>
              <w:noProof/>
              <w:sz w:val="18"/>
              <w:szCs w:val="18"/>
              <w:lang w:eastAsia="en-GB"/>
            </w:rPr>
            <w:drawing>
              <wp:inline distT="0" distB="0" distL="0" distR="0" wp14:anchorId="3E472ADA" wp14:editId="4B43C516">
                <wp:extent cx="185455" cy="180000"/>
                <wp:effectExtent l="0" t="0" r="5080" b="0"/>
                <wp:docPr id="20"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صورة 15"/>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5455" cy="180000"/>
                        </a:xfrm>
                        <a:prstGeom prst="rect">
                          <a:avLst/>
                        </a:prstGeom>
                      </pic:spPr>
                    </pic:pic>
                  </a:graphicData>
                </a:graphic>
              </wp:inline>
            </w:drawing>
          </w:r>
        </w:p>
      </w:tc>
      <w:tc>
        <w:tcPr>
          <w:tcW w:w="2096" w:type="pct"/>
          <w:vAlign w:val="center"/>
        </w:tcPr>
        <w:p w14:paraId="5C749361" w14:textId="77777777" w:rsidR="00646A53" w:rsidRPr="000F15D5" w:rsidRDefault="00646A53" w:rsidP="00646A53">
          <w:pPr>
            <w:rPr>
              <w:sz w:val="18"/>
              <w:szCs w:val="18"/>
              <w:lang w:bidi="ar-EG"/>
            </w:rPr>
          </w:pPr>
          <w:r w:rsidRPr="0086433E">
            <w:rPr>
              <w:rStyle w:val="apple-style-span"/>
              <w:color w:val="000000"/>
              <w:sz w:val="20"/>
              <w:szCs w:val="20"/>
            </w:rPr>
            <w:t>maat@maatpeace.org</w:t>
          </w:r>
        </w:p>
      </w:tc>
    </w:tr>
    <w:tr w:rsidR="00646A53" w14:paraId="20A66BA8" w14:textId="77777777" w:rsidTr="007A601B">
      <w:trPr>
        <w:jc w:val="center"/>
      </w:trPr>
      <w:tc>
        <w:tcPr>
          <w:tcW w:w="646" w:type="pct"/>
          <w:vMerge/>
        </w:tcPr>
        <w:p w14:paraId="5D74E863" w14:textId="77777777" w:rsidR="00646A53" w:rsidRDefault="00646A53" w:rsidP="00646A53">
          <w:pPr>
            <w:jc w:val="center"/>
            <w:rPr>
              <w:noProof/>
              <w:lang w:bidi="ar-EG"/>
            </w:rPr>
          </w:pPr>
        </w:p>
      </w:tc>
      <w:tc>
        <w:tcPr>
          <w:tcW w:w="278" w:type="pct"/>
          <w:vAlign w:val="center"/>
        </w:tcPr>
        <w:p w14:paraId="690410AE" w14:textId="77777777" w:rsidR="00646A53" w:rsidRDefault="00646A53" w:rsidP="00646A53">
          <w:pPr>
            <w:jc w:val="center"/>
            <w:rPr>
              <w:noProof/>
              <w:lang w:bidi="ar-EG"/>
            </w:rPr>
          </w:pPr>
          <w:r>
            <w:rPr>
              <w:noProof/>
              <w:lang w:eastAsia="en-GB"/>
            </w:rPr>
            <w:drawing>
              <wp:inline distT="0" distB="0" distL="0" distR="0" wp14:anchorId="01ECB94F" wp14:editId="718DB6C8">
                <wp:extent cx="178378" cy="180000"/>
                <wp:effectExtent l="0" t="0" r="0" b="0"/>
                <wp:docPr id="21" name="صورة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صورة 9"/>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8378" cy="180000"/>
                        </a:xfrm>
                        <a:prstGeom prst="rect">
                          <a:avLst/>
                        </a:prstGeom>
                      </pic:spPr>
                    </pic:pic>
                  </a:graphicData>
                </a:graphic>
              </wp:inline>
            </w:drawing>
          </w:r>
        </w:p>
      </w:tc>
      <w:tc>
        <w:tcPr>
          <w:tcW w:w="889" w:type="pct"/>
          <w:gridSpan w:val="2"/>
          <w:vAlign w:val="center"/>
        </w:tcPr>
        <w:p w14:paraId="5C00C092" w14:textId="77777777" w:rsidR="00646A53" w:rsidRPr="00DE0507" w:rsidRDefault="00646A53" w:rsidP="00646A53">
          <w:pPr>
            <w:rPr>
              <w:rFonts w:ascii="Tahoma" w:hAnsi="Tahoma" w:cs="Tahoma"/>
              <w:color w:val="000000"/>
              <w:sz w:val="18"/>
              <w:szCs w:val="18"/>
              <w:shd w:val="clear" w:color="auto" w:fill="FFFFFF"/>
            </w:rPr>
          </w:pPr>
          <w:r w:rsidRPr="00DE0507">
            <w:rPr>
              <w:rStyle w:val="apple-style-span"/>
              <w:color w:val="000000"/>
              <w:sz w:val="18"/>
              <w:szCs w:val="18"/>
            </w:rPr>
            <w:t xml:space="preserve">00(20) (2) </w:t>
          </w:r>
          <w:r w:rsidRPr="00DE0507">
            <w:rPr>
              <w:rStyle w:val="apple-style-span"/>
              <w:b/>
              <w:bCs/>
              <w:color w:val="000000"/>
              <w:sz w:val="18"/>
              <w:szCs w:val="18"/>
            </w:rPr>
            <w:t>25266026</w:t>
          </w:r>
        </w:p>
      </w:tc>
      <w:tc>
        <w:tcPr>
          <w:tcW w:w="889" w:type="pct"/>
          <w:vAlign w:val="center"/>
        </w:tcPr>
        <w:p w14:paraId="23E88751" w14:textId="77777777" w:rsidR="00646A53" w:rsidRPr="00DE0507" w:rsidRDefault="00646A53" w:rsidP="00646A53">
          <w:pPr>
            <w:rPr>
              <w:noProof/>
              <w:sz w:val="18"/>
              <w:szCs w:val="18"/>
              <w:lang w:bidi="ar-EG"/>
            </w:rPr>
          </w:pPr>
          <w:r w:rsidRPr="00DE0507">
            <w:rPr>
              <w:rStyle w:val="apple-style-span"/>
              <w:color w:val="000000"/>
              <w:sz w:val="18"/>
              <w:szCs w:val="18"/>
            </w:rPr>
            <w:t xml:space="preserve">00(20) (2) </w:t>
          </w:r>
          <w:r w:rsidRPr="00DE0507">
            <w:rPr>
              <w:rStyle w:val="apple-style-span"/>
              <w:b/>
              <w:bCs/>
              <w:color w:val="000000"/>
              <w:sz w:val="18"/>
              <w:szCs w:val="18"/>
            </w:rPr>
            <w:t>25266019</w:t>
          </w:r>
        </w:p>
      </w:tc>
      <w:tc>
        <w:tcPr>
          <w:tcW w:w="202" w:type="pct"/>
          <w:vAlign w:val="center"/>
        </w:tcPr>
        <w:p w14:paraId="2A9C05F2" w14:textId="77777777" w:rsidR="00646A53" w:rsidRDefault="00646A53" w:rsidP="00646A53">
          <w:pPr>
            <w:rPr>
              <w:b/>
              <w:bCs/>
              <w:noProof/>
              <w:sz w:val="18"/>
              <w:szCs w:val="18"/>
              <w:lang w:bidi="ar-EG"/>
            </w:rPr>
          </w:pPr>
          <w:r w:rsidRPr="005C2948">
            <w:rPr>
              <w:rFonts w:asciiTheme="majorBidi" w:hAnsiTheme="majorBidi" w:cstheme="majorBidi"/>
              <w:b/>
              <w:bCs/>
              <w:noProof/>
              <w:color w:val="000000"/>
              <w:sz w:val="18"/>
              <w:szCs w:val="18"/>
              <w:shd w:val="clear" w:color="auto" w:fill="FFFFFF"/>
              <w:lang w:eastAsia="en-GB"/>
            </w:rPr>
            <w:drawing>
              <wp:inline distT="0" distB="0" distL="0" distR="0" wp14:anchorId="64AA0181" wp14:editId="6908A387">
                <wp:extent cx="100547" cy="180000"/>
                <wp:effectExtent l="0" t="0" r="0" b="0"/>
                <wp:docPr id="22" name="صورة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صورة 16"/>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0547" cy="180000"/>
                        </a:xfrm>
                        <a:prstGeom prst="rect">
                          <a:avLst/>
                        </a:prstGeom>
                      </pic:spPr>
                    </pic:pic>
                  </a:graphicData>
                </a:graphic>
              </wp:inline>
            </w:drawing>
          </w:r>
        </w:p>
      </w:tc>
      <w:tc>
        <w:tcPr>
          <w:tcW w:w="2096" w:type="pct"/>
          <w:vAlign w:val="center"/>
        </w:tcPr>
        <w:p w14:paraId="3E9CCE62" w14:textId="77777777" w:rsidR="00646A53" w:rsidRPr="0086433E" w:rsidRDefault="00646A53" w:rsidP="00646A53">
          <w:pPr>
            <w:rPr>
              <w:rStyle w:val="apple-style-span"/>
              <w:color w:val="000000"/>
              <w:sz w:val="20"/>
              <w:szCs w:val="20"/>
            </w:rPr>
          </w:pPr>
          <w:r w:rsidRPr="0086433E">
            <w:rPr>
              <w:rStyle w:val="apple-style-span"/>
              <w:b/>
              <w:bCs/>
              <w:color w:val="000000" w:themeColor="text1"/>
              <w:sz w:val="18"/>
              <w:szCs w:val="18"/>
            </w:rPr>
            <w:t>+201226521170</w:t>
          </w:r>
        </w:p>
      </w:tc>
    </w:tr>
  </w:tbl>
  <w:p w14:paraId="48FDA0F5" w14:textId="3EA43699" w:rsidR="00646A53" w:rsidRPr="00646A53" w:rsidRDefault="00646A53" w:rsidP="00646A53">
    <w:pPr>
      <w:pStyle w:val="Footer"/>
      <w:rPr>
        <w:sz w:val="2"/>
        <w:szCs w:val="2"/>
      </w:rPr>
    </w:pPr>
    <w:r>
      <w:rPr>
        <w:noProof/>
        <w:lang w:val="en-GB" w:eastAsia="en-GB"/>
      </w:rPr>
      <w:drawing>
        <wp:anchor distT="0" distB="0" distL="114300" distR="114300" simplePos="0" relativeHeight="251659264" behindDoc="0" locked="0" layoutInCell="1" allowOverlap="1" wp14:anchorId="0B7660F1" wp14:editId="5771AA6F">
          <wp:simplePos x="0" y="0"/>
          <wp:positionH relativeFrom="page">
            <wp:posOffset>60896</wp:posOffset>
          </wp:positionH>
          <wp:positionV relativeFrom="paragraph">
            <wp:posOffset>-1053465</wp:posOffset>
          </wp:positionV>
          <wp:extent cx="7726693" cy="185531"/>
          <wp:effectExtent l="0" t="0" r="0" b="508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aer blank wz water mark final.jpg"/>
                  <pic:cNvPicPr/>
                </pic:nvPicPr>
                <pic:blipFill rotWithShape="1">
                  <a:blip r:embed="rId7" cstate="print">
                    <a:extLst>
                      <a:ext uri="{28A0092B-C50C-407E-A947-70E740481C1C}">
                        <a14:useLocalDpi xmlns:a14="http://schemas.microsoft.com/office/drawing/2010/main" val="0"/>
                      </a:ext>
                    </a:extLst>
                  </a:blip>
                  <a:srcRect l="3247" t="96152" r="-3247" b="2006"/>
                  <a:stretch/>
                </pic:blipFill>
                <pic:spPr bwMode="auto">
                  <a:xfrm>
                    <a:off x="0" y="0"/>
                    <a:ext cx="7726693" cy="18553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9C81B" w14:textId="77777777" w:rsidR="00DE6A62" w:rsidRDefault="00DE6A62" w:rsidP="004F6D5A">
      <w:pPr>
        <w:spacing w:after="0" w:line="240" w:lineRule="auto"/>
      </w:pPr>
      <w:r>
        <w:separator/>
      </w:r>
    </w:p>
  </w:footnote>
  <w:footnote w:type="continuationSeparator" w:id="0">
    <w:p w14:paraId="101DF00A" w14:textId="77777777" w:rsidR="00DE6A62" w:rsidRDefault="00DE6A62" w:rsidP="004F6D5A">
      <w:pPr>
        <w:spacing w:after="0" w:line="240" w:lineRule="auto"/>
      </w:pPr>
      <w:r>
        <w:continuationSeparator/>
      </w:r>
    </w:p>
  </w:footnote>
  <w:footnote w:id="1">
    <w:p w14:paraId="5A4BEA1C" w14:textId="77777777" w:rsidR="004D5C46" w:rsidRPr="005D5A34" w:rsidRDefault="004D5C46" w:rsidP="004D5C46">
      <w:pPr>
        <w:pStyle w:val="FootnoteText"/>
        <w:rPr>
          <w:rFonts w:ascii="Times New Roman" w:hAnsi="Times New Roman" w:cs="Times New Roman"/>
          <w:sz w:val="16"/>
          <w:szCs w:val="16"/>
        </w:rPr>
      </w:pPr>
      <w:r w:rsidRPr="005D5A34">
        <w:rPr>
          <w:rStyle w:val="FootnoteReference"/>
          <w:rFonts w:ascii="Times New Roman" w:hAnsi="Times New Roman" w:cs="Times New Roman"/>
          <w:sz w:val="16"/>
          <w:szCs w:val="16"/>
        </w:rPr>
        <w:footnoteRef/>
      </w:r>
      <w:r w:rsidRPr="005D5A34">
        <w:rPr>
          <w:rFonts w:ascii="Times New Roman" w:hAnsi="Times New Roman" w:cs="Times New Roman"/>
          <w:sz w:val="16"/>
          <w:szCs w:val="16"/>
        </w:rPr>
        <w:t xml:space="preserve"> </w:t>
      </w:r>
      <w:r w:rsidRPr="005D5A34">
        <w:rPr>
          <w:rFonts w:ascii="Times New Roman" w:hAnsi="Times New Roman" w:cs="Times New Roman"/>
          <w:sz w:val="16"/>
          <w:szCs w:val="16"/>
          <w:lang w:bidi="ar-EG"/>
        </w:rPr>
        <w:t xml:space="preserve">Inter-Parliamentary Union, </w:t>
      </w:r>
      <w:hyperlink r:id="rId1" w:history="1">
        <w:r w:rsidRPr="005D5A34">
          <w:rPr>
            <w:rStyle w:val="Hyperlink"/>
            <w:rFonts w:ascii="Times New Roman" w:hAnsi="Times New Roman" w:cs="Times New Roman"/>
            <w:sz w:val="16"/>
            <w:szCs w:val="16"/>
            <w:lang w:bidi="ar-EG"/>
          </w:rPr>
          <w:t>https://2h.ae/mSVh</w:t>
        </w:r>
      </w:hyperlink>
    </w:p>
  </w:footnote>
  <w:footnote w:id="2">
    <w:p w14:paraId="2D610FD0" w14:textId="77777777" w:rsidR="004D5C46" w:rsidRPr="005D5A34" w:rsidRDefault="004D5C46" w:rsidP="004D5C46">
      <w:pPr>
        <w:pStyle w:val="FootnoteText"/>
        <w:rPr>
          <w:rFonts w:ascii="Times New Roman" w:hAnsi="Times New Roman" w:cs="Times New Roman"/>
          <w:sz w:val="16"/>
          <w:szCs w:val="16"/>
        </w:rPr>
      </w:pPr>
      <w:r w:rsidRPr="005D5A34">
        <w:rPr>
          <w:rStyle w:val="FootnoteReference"/>
          <w:rFonts w:ascii="Times New Roman" w:hAnsi="Times New Roman" w:cs="Times New Roman"/>
          <w:sz w:val="16"/>
          <w:szCs w:val="16"/>
        </w:rPr>
        <w:footnoteRef/>
      </w:r>
      <w:r w:rsidRPr="005D5A34">
        <w:rPr>
          <w:rFonts w:ascii="Times New Roman" w:hAnsi="Times New Roman" w:cs="Times New Roman"/>
          <w:sz w:val="16"/>
          <w:szCs w:val="16"/>
        </w:rPr>
        <w:t xml:space="preserve"> Disability inclusion in the House of Commons: A new institutionalism story, OUP Academic, </w:t>
      </w:r>
      <w:hyperlink r:id="rId2" w:history="1">
        <w:r w:rsidRPr="005D5A34">
          <w:rPr>
            <w:rStyle w:val="Hyperlink"/>
            <w:rFonts w:ascii="Times New Roman" w:hAnsi="Times New Roman" w:cs="Times New Roman"/>
            <w:sz w:val="16"/>
            <w:szCs w:val="16"/>
          </w:rPr>
          <w:t>https://2h.ae/TkAN</w:t>
        </w:r>
      </w:hyperlink>
    </w:p>
  </w:footnote>
  <w:footnote w:id="3">
    <w:p w14:paraId="7FA857A8" w14:textId="79549D41" w:rsidR="004D5C46" w:rsidRPr="005D5A34" w:rsidRDefault="004D5C46" w:rsidP="004D5C46">
      <w:pPr>
        <w:pStyle w:val="FootnoteText"/>
        <w:rPr>
          <w:rFonts w:ascii="Times New Roman" w:hAnsi="Times New Roman" w:cs="Times New Roman"/>
          <w:sz w:val="16"/>
          <w:szCs w:val="16"/>
        </w:rPr>
      </w:pPr>
      <w:r w:rsidRPr="005D5A34">
        <w:rPr>
          <w:rStyle w:val="FootnoteReference"/>
          <w:rFonts w:ascii="Times New Roman" w:hAnsi="Times New Roman" w:cs="Times New Roman"/>
          <w:sz w:val="16"/>
          <w:szCs w:val="16"/>
        </w:rPr>
        <w:footnoteRef/>
      </w:r>
      <w:r w:rsidRPr="005D5A34">
        <w:rPr>
          <w:rFonts w:ascii="Times New Roman" w:hAnsi="Times New Roman" w:cs="Times New Roman"/>
          <w:sz w:val="16"/>
          <w:szCs w:val="16"/>
        </w:rPr>
        <w:t xml:space="preserve"> Political participation of people with disabilities – </w:t>
      </w:r>
      <w:r>
        <w:rPr>
          <w:rFonts w:ascii="Times New Roman" w:hAnsi="Times New Roman" w:cs="Times New Roman"/>
          <w:sz w:val="16"/>
          <w:szCs w:val="16"/>
        </w:rPr>
        <w:t>N</w:t>
      </w:r>
      <w:r w:rsidRPr="005D5A34">
        <w:rPr>
          <w:rFonts w:ascii="Times New Roman" w:hAnsi="Times New Roman" w:cs="Times New Roman"/>
          <w:sz w:val="16"/>
          <w:szCs w:val="16"/>
        </w:rPr>
        <w:t xml:space="preserve">ew </w:t>
      </w:r>
      <w:r>
        <w:rPr>
          <w:rFonts w:ascii="Times New Roman" w:hAnsi="Times New Roman" w:cs="Times New Roman"/>
          <w:sz w:val="16"/>
          <w:szCs w:val="16"/>
        </w:rPr>
        <w:t>D</w:t>
      </w:r>
      <w:r w:rsidRPr="005D5A34">
        <w:rPr>
          <w:rFonts w:ascii="Times New Roman" w:hAnsi="Times New Roman" w:cs="Times New Roman"/>
          <w:sz w:val="16"/>
          <w:szCs w:val="16"/>
        </w:rPr>
        <w:t xml:space="preserve">evelopments, FRA, </w:t>
      </w:r>
      <w:hyperlink r:id="rId3" w:history="1">
        <w:r w:rsidRPr="005D5A34">
          <w:rPr>
            <w:rStyle w:val="Hyperlink"/>
            <w:rFonts w:ascii="Times New Roman" w:hAnsi="Times New Roman" w:cs="Times New Roman"/>
            <w:sz w:val="16"/>
            <w:szCs w:val="16"/>
          </w:rPr>
          <w:t>https://2h.ae/QAdg</w:t>
        </w:r>
      </w:hyperlink>
    </w:p>
  </w:footnote>
  <w:footnote w:id="4">
    <w:p w14:paraId="7837B19A" w14:textId="77777777" w:rsidR="004D5C46" w:rsidRPr="005D5A34" w:rsidRDefault="004D5C46" w:rsidP="004D5C46">
      <w:pPr>
        <w:pStyle w:val="FootnoteText"/>
        <w:rPr>
          <w:rFonts w:ascii="Times New Roman" w:hAnsi="Times New Roman" w:cs="Times New Roman"/>
          <w:sz w:val="16"/>
          <w:szCs w:val="16"/>
        </w:rPr>
      </w:pPr>
      <w:r w:rsidRPr="005D5A34">
        <w:rPr>
          <w:rStyle w:val="FootnoteReference"/>
          <w:rFonts w:ascii="Times New Roman" w:hAnsi="Times New Roman" w:cs="Times New Roman"/>
          <w:sz w:val="16"/>
          <w:szCs w:val="16"/>
        </w:rPr>
        <w:footnoteRef/>
      </w:r>
      <w:r w:rsidRPr="005D5A34">
        <w:rPr>
          <w:rFonts w:ascii="Times New Roman" w:hAnsi="Times New Roman" w:cs="Times New Roman"/>
          <w:sz w:val="16"/>
          <w:szCs w:val="16"/>
        </w:rPr>
        <w:t xml:space="preserve"> THE 2017 HUMAN DIMENSION IMPLEMENTATION MEETING, </w:t>
      </w:r>
      <w:hyperlink r:id="rId4" w:history="1">
        <w:r w:rsidRPr="005D5A34">
          <w:rPr>
            <w:rStyle w:val="Hyperlink"/>
            <w:rFonts w:ascii="Times New Roman" w:hAnsi="Times New Roman" w:cs="Times New Roman"/>
            <w:sz w:val="16"/>
            <w:szCs w:val="16"/>
          </w:rPr>
          <w:t>https://www.osce.org/files/f/documents/7/3/340551.pdf</w:t>
        </w:r>
      </w:hyperlink>
    </w:p>
  </w:footnote>
  <w:footnote w:id="5">
    <w:p w14:paraId="622B04F2" w14:textId="77777777" w:rsidR="004D5C46" w:rsidRPr="005D5A34" w:rsidRDefault="004D5C46" w:rsidP="004D5C46">
      <w:pPr>
        <w:pStyle w:val="FootnoteText"/>
        <w:rPr>
          <w:rFonts w:ascii="Times New Roman" w:hAnsi="Times New Roman" w:cs="Times New Roman"/>
          <w:sz w:val="16"/>
          <w:szCs w:val="16"/>
        </w:rPr>
      </w:pPr>
      <w:r w:rsidRPr="005D5A34">
        <w:rPr>
          <w:rStyle w:val="FootnoteReference"/>
          <w:rFonts w:ascii="Times New Roman" w:hAnsi="Times New Roman" w:cs="Times New Roman"/>
          <w:sz w:val="16"/>
          <w:szCs w:val="16"/>
        </w:rPr>
        <w:footnoteRef/>
      </w:r>
      <w:r w:rsidRPr="005D5A34">
        <w:rPr>
          <w:rFonts w:ascii="Times New Roman" w:hAnsi="Times New Roman" w:cs="Times New Roman"/>
          <w:sz w:val="16"/>
          <w:szCs w:val="16"/>
        </w:rPr>
        <w:t xml:space="preserve"> PWDA Condemns Ableist Rhetoric and Calls for Respectful Leadership Ahead of Election, PWDA, </w:t>
      </w:r>
      <w:hyperlink r:id="rId5" w:history="1">
        <w:r w:rsidRPr="005D5A34">
          <w:rPr>
            <w:rStyle w:val="Hyperlink"/>
            <w:rFonts w:ascii="Times New Roman" w:hAnsi="Times New Roman" w:cs="Times New Roman"/>
            <w:sz w:val="16"/>
            <w:szCs w:val="16"/>
          </w:rPr>
          <w:t>https://2h.ae/NORE</w:t>
        </w:r>
      </w:hyperlink>
    </w:p>
  </w:footnote>
  <w:footnote w:id="6">
    <w:p w14:paraId="2769B14D" w14:textId="5C017F89" w:rsidR="004D5C46" w:rsidRPr="005D5A34" w:rsidRDefault="004D5C46" w:rsidP="004D5C46">
      <w:pPr>
        <w:pStyle w:val="FootnoteText"/>
        <w:rPr>
          <w:rFonts w:ascii="Times New Roman" w:hAnsi="Times New Roman" w:cs="Times New Roman"/>
          <w:sz w:val="16"/>
          <w:szCs w:val="16"/>
        </w:rPr>
      </w:pPr>
      <w:r w:rsidRPr="005D5A34">
        <w:rPr>
          <w:rStyle w:val="FootnoteReference"/>
          <w:rFonts w:ascii="Times New Roman" w:hAnsi="Times New Roman" w:cs="Times New Roman"/>
          <w:sz w:val="16"/>
          <w:szCs w:val="16"/>
        </w:rPr>
        <w:footnoteRef/>
      </w:r>
      <w:r w:rsidRPr="005D5A34">
        <w:rPr>
          <w:rFonts w:ascii="Times New Roman" w:hAnsi="Times New Roman" w:cs="Times New Roman"/>
          <w:sz w:val="16"/>
          <w:szCs w:val="16"/>
        </w:rPr>
        <w:t xml:space="preserve"> Constitution of Egypt 2014 (</w:t>
      </w:r>
      <w:r w:rsidR="00810704">
        <w:rPr>
          <w:rFonts w:ascii="Times New Roman" w:hAnsi="Times New Roman" w:cs="Times New Roman"/>
          <w:sz w:val="16"/>
          <w:szCs w:val="16"/>
        </w:rPr>
        <w:t>A</w:t>
      </w:r>
      <w:r w:rsidRPr="005D5A34">
        <w:rPr>
          <w:rFonts w:ascii="Times New Roman" w:hAnsi="Times New Roman" w:cs="Times New Roman"/>
          <w:sz w:val="16"/>
          <w:szCs w:val="16"/>
        </w:rPr>
        <w:t xml:space="preserve">mended 2019), </w:t>
      </w:r>
      <w:hyperlink r:id="rId6" w:history="1">
        <w:r w:rsidRPr="005D5A34">
          <w:rPr>
            <w:rStyle w:val="Hyperlink"/>
            <w:rFonts w:ascii="Times New Roman" w:hAnsi="Times New Roman" w:cs="Times New Roman"/>
            <w:sz w:val="16"/>
            <w:szCs w:val="16"/>
          </w:rPr>
          <w:t>https://2h.ae/AVgI</w:t>
        </w:r>
      </w:hyperlink>
      <w:r w:rsidRPr="005D5A34">
        <w:rPr>
          <w:rFonts w:ascii="Times New Roman" w:hAnsi="Times New Roman" w:cs="Times New Roman"/>
          <w:sz w:val="16"/>
          <w:szCs w:val="16"/>
        </w:rPr>
        <w:t xml:space="preserve"> </w:t>
      </w:r>
    </w:p>
  </w:footnote>
  <w:footnote w:id="7">
    <w:p w14:paraId="1CC39457" w14:textId="77777777" w:rsidR="004D5C46" w:rsidRPr="005D5A34" w:rsidRDefault="004D5C46" w:rsidP="004D5C46">
      <w:pPr>
        <w:pStyle w:val="FootnoteText"/>
        <w:rPr>
          <w:rFonts w:ascii="Times New Roman" w:hAnsi="Times New Roman" w:cs="Times New Roman"/>
          <w:sz w:val="16"/>
          <w:szCs w:val="16"/>
        </w:rPr>
      </w:pPr>
      <w:r w:rsidRPr="005D5A34">
        <w:rPr>
          <w:rStyle w:val="FootnoteReference"/>
          <w:rFonts w:ascii="Times New Roman" w:hAnsi="Times New Roman" w:cs="Times New Roman"/>
          <w:sz w:val="16"/>
          <w:szCs w:val="16"/>
        </w:rPr>
        <w:footnoteRef/>
      </w:r>
      <w:r w:rsidRPr="005D5A34">
        <w:rPr>
          <w:rFonts w:ascii="Times New Roman" w:hAnsi="Times New Roman" w:cs="Times New Roman"/>
          <w:sz w:val="16"/>
          <w:szCs w:val="16"/>
        </w:rPr>
        <w:t xml:space="preserve"> Conditions required for the candidacy of persons with disabilities on electoral lists for the House of Representatives in accordance with the law, Al-Diyar, </w:t>
      </w:r>
      <w:hyperlink r:id="rId7" w:history="1">
        <w:r w:rsidRPr="005D5A34">
          <w:rPr>
            <w:rStyle w:val="Hyperlink"/>
            <w:rFonts w:ascii="Times New Roman" w:hAnsi="Times New Roman" w:cs="Times New Roman"/>
            <w:sz w:val="16"/>
            <w:szCs w:val="16"/>
          </w:rPr>
          <w:t>https://www.eldyar.net/621256</w:t>
        </w:r>
      </w:hyperlink>
      <w:r w:rsidRPr="005D5A34">
        <w:rPr>
          <w:rFonts w:ascii="Times New Roman" w:hAnsi="Times New Roman" w:cs="Times New Roman"/>
          <w:sz w:val="16"/>
          <w:szCs w:val="16"/>
        </w:rPr>
        <w:t xml:space="preserve"> </w:t>
      </w:r>
    </w:p>
  </w:footnote>
  <w:footnote w:id="8">
    <w:p w14:paraId="161E9E62" w14:textId="77777777" w:rsidR="004D5C46" w:rsidRPr="005D5A34" w:rsidRDefault="004D5C46" w:rsidP="004D5C46">
      <w:pPr>
        <w:pStyle w:val="FootnoteText"/>
        <w:rPr>
          <w:rFonts w:ascii="Times New Roman" w:hAnsi="Times New Roman" w:cs="Times New Roman"/>
          <w:sz w:val="16"/>
          <w:szCs w:val="16"/>
        </w:rPr>
      </w:pPr>
      <w:r w:rsidRPr="005D5A34">
        <w:rPr>
          <w:rStyle w:val="FootnoteReference"/>
          <w:rFonts w:ascii="Times New Roman" w:hAnsi="Times New Roman" w:cs="Times New Roman"/>
          <w:sz w:val="16"/>
          <w:szCs w:val="16"/>
        </w:rPr>
        <w:footnoteRef/>
      </w:r>
      <w:r w:rsidRPr="005D5A34">
        <w:rPr>
          <w:rFonts w:ascii="Times New Roman" w:hAnsi="Times New Roman" w:cs="Times New Roman"/>
          <w:sz w:val="16"/>
          <w:szCs w:val="16"/>
        </w:rPr>
        <w:t xml:space="preserve"> Procedures specified by law for appointing people with disabilities to government jobs, available at the following link, </w:t>
      </w:r>
      <w:hyperlink r:id="rId8" w:history="1">
        <w:r w:rsidRPr="005D5A34">
          <w:rPr>
            <w:rStyle w:val="Hyperlink"/>
            <w:rFonts w:ascii="Times New Roman" w:hAnsi="Times New Roman" w:cs="Times New Roman"/>
            <w:sz w:val="16"/>
            <w:szCs w:val="16"/>
          </w:rPr>
          <w:t>https://www.elbalad.news/6546709</w:t>
        </w:r>
      </w:hyperlink>
      <w:r w:rsidRPr="005D5A34">
        <w:rPr>
          <w:rFonts w:ascii="Times New Roman" w:hAnsi="Times New Roman" w:cs="Times New Roman"/>
          <w:sz w:val="16"/>
          <w:szCs w:val="16"/>
        </w:rPr>
        <w:t xml:space="preserve"> </w:t>
      </w:r>
    </w:p>
  </w:footnote>
  <w:footnote w:id="9">
    <w:p w14:paraId="2FAEC1BC" w14:textId="77777777" w:rsidR="004D5C46" w:rsidRPr="005D5A34" w:rsidRDefault="004D5C46" w:rsidP="004D5C46">
      <w:pPr>
        <w:pStyle w:val="FootnoteText"/>
        <w:rPr>
          <w:rFonts w:ascii="Times New Roman" w:hAnsi="Times New Roman" w:cs="Times New Roman"/>
          <w:sz w:val="16"/>
          <w:szCs w:val="16"/>
        </w:rPr>
      </w:pPr>
      <w:r w:rsidRPr="005D5A34">
        <w:rPr>
          <w:rStyle w:val="FootnoteReference"/>
          <w:rFonts w:ascii="Times New Roman" w:hAnsi="Times New Roman" w:cs="Times New Roman"/>
          <w:sz w:val="16"/>
          <w:szCs w:val="16"/>
        </w:rPr>
        <w:footnoteRef/>
      </w:r>
      <w:r w:rsidRPr="005D5A34">
        <w:rPr>
          <w:rFonts w:ascii="Times New Roman" w:hAnsi="Times New Roman" w:cs="Times New Roman"/>
          <w:sz w:val="16"/>
          <w:szCs w:val="16"/>
        </w:rPr>
        <w:t xml:space="preserve"> Participation in political and public life for people with disabilities, at the following link: </w:t>
      </w:r>
      <w:hyperlink r:id="rId9" w:history="1">
        <w:r w:rsidRPr="005D5A34">
          <w:rPr>
            <w:rStyle w:val="Hyperlink"/>
            <w:rFonts w:ascii="Times New Roman" w:hAnsi="Times New Roman" w:cs="Times New Roman"/>
            <w:sz w:val="16"/>
            <w:szCs w:val="16"/>
          </w:rPr>
          <w:t>https://shorturl.at/mJK1s</w:t>
        </w:r>
      </w:hyperlink>
      <w:r w:rsidRPr="005D5A34">
        <w:rPr>
          <w:rFonts w:ascii="Times New Roman" w:hAnsi="Times New Roman" w:cs="Times New Roman"/>
          <w:sz w:val="16"/>
          <w:szCs w:val="16"/>
        </w:rPr>
        <w:t xml:space="preserve"> </w:t>
      </w:r>
    </w:p>
  </w:footnote>
  <w:footnote w:id="10">
    <w:p w14:paraId="5E4B229C" w14:textId="77777777" w:rsidR="004D5C46" w:rsidRPr="005D5A34" w:rsidRDefault="004D5C46" w:rsidP="004D5C46">
      <w:pPr>
        <w:pStyle w:val="FootnoteText"/>
        <w:rPr>
          <w:rFonts w:ascii="Times New Roman" w:hAnsi="Times New Roman" w:cs="Times New Roman"/>
          <w:sz w:val="16"/>
          <w:szCs w:val="16"/>
        </w:rPr>
      </w:pPr>
      <w:r w:rsidRPr="005D5A34">
        <w:rPr>
          <w:rStyle w:val="FootnoteReference"/>
          <w:rFonts w:ascii="Times New Roman" w:hAnsi="Times New Roman" w:cs="Times New Roman"/>
          <w:sz w:val="16"/>
          <w:szCs w:val="16"/>
        </w:rPr>
        <w:footnoteRef/>
      </w:r>
      <w:r w:rsidRPr="005D5A34">
        <w:rPr>
          <w:rFonts w:ascii="Times New Roman" w:hAnsi="Times New Roman" w:cs="Times New Roman"/>
          <w:sz w:val="16"/>
          <w:szCs w:val="16"/>
        </w:rPr>
        <w:t xml:space="preserve"> Participation in political and public life for people with disabilities, Enable Me Maroc, at the following link: </w:t>
      </w:r>
      <w:hyperlink r:id="rId10" w:history="1">
        <w:r w:rsidRPr="005D5A34">
          <w:rPr>
            <w:rStyle w:val="Hyperlink"/>
            <w:rFonts w:ascii="Times New Roman" w:hAnsi="Times New Roman" w:cs="Times New Roman"/>
            <w:sz w:val="16"/>
            <w:szCs w:val="16"/>
          </w:rPr>
          <w:t>https://shorturl.at/ZxdzS</w:t>
        </w:r>
      </w:hyperlink>
      <w:r w:rsidRPr="005D5A34">
        <w:rPr>
          <w:rFonts w:ascii="Times New Roman" w:hAnsi="Times New Roman" w:cs="Times New Roman"/>
          <w:sz w:val="16"/>
          <w:szCs w:val="16"/>
        </w:rPr>
        <w:t xml:space="preserve"> </w:t>
      </w:r>
    </w:p>
  </w:footnote>
  <w:footnote w:id="11">
    <w:p w14:paraId="037BA84C" w14:textId="76F10008" w:rsidR="004D5C46" w:rsidRPr="005D5A34" w:rsidRDefault="004D5C46" w:rsidP="004D5C46">
      <w:pPr>
        <w:pStyle w:val="FootnoteText"/>
        <w:rPr>
          <w:rFonts w:ascii="Times New Roman" w:hAnsi="Times New Roman" w:cs="Times New Roman"/>
          <w:sz w:val="16"/>
          <w:szCs w:val="16"/>
        </w:rPr>
      </w:pPr>
      <w:r w:rsidRPr="005D5A34">
        <w:rPr>
          <w:rStyle w:val="FootnoteReference"/>
          <w:rFonts w:ascii="Times New Roman" w:hAnsi="Times New Roman" w:cs="Times New Roman"/>
          <w:sz w:val="16"/>
          <w:szCs w:val="16"/>
        </w:rPr>
        <w:footnoteRef/>
      </w:r>
      <w:r w:rsidRPr="005D5A34">
        <w:rPr>
          <w:rFonts w:ascii="Times New Roman" w:hAnsi="Times New Roman" w:cs="Times New Roman"/>
          <w:sz w:val="16"/>
          <w:szCs w:val="16"/>
        </w:rPr>
        <w:t xml:space="preserve"> Annual Report 2023, Supreme Council for the Rights of Persons with Disabilities, </w:t>
      </w:r>
      <w:r w:rsidR="00810704">
        <w:rPr>
          <w:rFonts w:ascii="Times New Roman" w:hAnsi="Times New Roman" w:cs="Times New Roman"/>
          <w:sz w:val="16"/>
          <w:szCs w:val="16"/>
        </w:rPr>
        <w:t>P</w:t>
      </w:r>
      <w:r w:rsidRPr="005D5A34">
        <w:rPr>
          <w:rFonts w:ascii="Times New Roman" w:hAnsi="Times New Roman" w:cs="Times New Roman"/>
          <w:sz w:val="16"/>
          <w:szCs w:val="16"/>
        </w:rPr>
        <w:t xml:space="preserve">.14, at the following link: </w:t>
      </w:r>
      <w:hyperlink r:id="rId11" w:history="1">
        <w:r w:rsidRPr="005D5A34">
          <w:rPr>
            <w:rStyle w:val="Hyperlink"/>
            <w:rFonts w:ascii="Times New Roman" w:hAnsi="Times New Roman" w:cs="Times New Roman"/>
            <w:sz w:val="16"/>
            <w:szCs w:val="16"/>
          </w:rPr>
          <w:t>https://shorturl.at/0K8ij</w:t>
        </w:r>
      </w:hyperlink>
      <w:r w:rsidRPr="005D5A34">
        <w:rPr>
          <w:rFonts w:ascii="Times New Roman" w:hAnsi="Times New Roman" w:cs="Times New Roman"/>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CF735" w14:textId="18E60A97" w:rsidR="0058685C" w:rsidRPr="0058685C" w:rsidRDefault="0058685C" w:rsidP="0058685C">
    <w:pPr>
      <w:pStyle w:val="Header"/>
    </w:pPr>
    <w:r>
      <w:rPr>
        <w:noProof/>
        <w:lang w:val="en-GB" w:eastAsia="en-GB"/>
      </w:rPr>
      <w:drawing>
        <wp:inline distT="0" distB="0" distL="0" distR="0" wp14:anchorId="4C31023F" wp14:editId="0F2FF7FE">
          <wp:extent cx="1471930" cy="1143000"/>
          <wp:effectExtent l="0" t="0" r="0" b="0"/>
          <wp:docPr id="5" name="صورة 1"/>
          <wp:cNvGraphicFramePr/>
          <a:graphic xmlns:a="http://schemas.openxmlformats.org/drawingml/2006/main">
            <a:graphicData uri="http://schemas.openxmlformats.org/drawingml/2006/picture">
              <pic:pic xmlns:pic="http://schemas.openxmlformats.org/drawingml/2006/picture">
                <pic:nvPicPr>
                  <pic:cNvPr id="5" name="صورة 1"/>
                  <pic:cNvPicPr/>
                </pic:nvPicPr>
                <pic:blipFill rotWithShape="1">
                  <a:blip r:embed="rId1">
                    <a:extLst>
                      <a:ext uri="{28A0092B-C50C-407E-A947-70E740481C1C}">
                        <a14:useLocalDpi xmlns:a14="http://schemas.microsoft.com/office/drawing/2010/main" val="0"/>
                      </a:ext>
                    </a:extLst>
                  </a:blip>
                  <a:srcRect t="10353" b="11993"/>
                  <a:stretch/>
                </pic:blipFill>
                <pic:spPr bwMode="auto">
                  <a:xfrm>
                    <a:off x="0" y="0"/>
                    <a:ext cx="1471930" cy="11430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E25F2"/>
    <w:multiLevelType w:val="hybridMultilevel"/>
    <w:tmpl w:val="D8A4C192"/>
    <w:lvl w:ilvl="0" w:tplc="F0FED06C">
      <w:numFmt w:val="bullet"/>
      <w:lvlText w:val="•"/>
      <w:lvlJc w:val="left"/>
      <w:pPr>
        <w:ind w:left="720" w:hanging="360"/>
      </w:pPr>
      <w:rPr>
        <w:rFonts w:ascii="Times New Roman" w:eastAsiaTheme="minorHAnsi" w:hAnsi="Times New Roman" w:cs="Times New Roman" w:hint="default"/>
        <w:b w:val="0"/>
        <w:color w:val="auto"/>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24699"/>
    <w:multiLevelType w:val="hybridMultilevel"/>
    <w:tmpl w:val="5AC6C20C"/>
    <w:lvl w:ilvl="0" w:tplc="BAA26048">
      <w:start w:val="1"/>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FC1C07"/>
    <w:multiLevelType w:val="hybridMultilevel"/>
    <w:tmpl w:val="A76E9C24"/>
    <w:lvl w:ilvl="0" w:tplc="B5505BD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BBF4152"/>
    <w:multiLevelType w:val="multilevel"/>
    <w:tmpl w:val="2B5CD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73E80"/>
    <w:multiLevelType w:val="hybridMultilevel"/>
    <w:tmpl w:val="EA429E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2C59E9"/>
    <w:multiLevelType w:val="hybridMultilevel"/>
    <w:tmpl w:val="835CCE3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8813640"/>
    <w:multiLevelType w:val="hybridMultilevel"/>
    <w:tmpl w:val="845C2A7E"/>
    <w:lvl w:ilvl="0" w:tplc="FDC2A49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E84018"/>
    <w:multiLevelType w:val="hybridMultilevel"/>
    <w:tmpl w:val="19BA3DF2"/>
    <w:lvl w:ilvl="0" w:tplc="E8C43CDC">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9938A0"/>
    <w:multiLevelType w:val="hybridMultilevel"/>
    <w:tmpl w:val="318E69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CA52769"/>
    <w:multiLevelType w:val="hybridMultilevel"/>
    <w:tmpl w:val="77D25404"/>
    <w:lvl w:ilvl="0" w:tplc="04090001">
      <w:start w:val="1"/>
      <w:numFmt w:val="bullet"/>
      <w:lvlText w:val=""/>
      <w:lvlJc w:val="left"/>
      <w:pPr>
        <w:ind w:left="1080" w:hanging="720"/>
      </w:pPr>
      <w:rPr>
        <w:rFonts w:ascii="Symbol" w:hAnsi="Symbol" w:hint="default"/>
      </w:rPr>
    </w:lvl>
    <w:lvl w:ilvl="1" w:tplc="A8322572">
      <w:start w:val="3"/>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3557E8"/>
    <w:multiLevelType w:val="hybridMultilevel"/>
    <w:tmpl w:val="60AAE6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4173DFC"/>
    <w:multiLevelType w:val="hybridMultilevel"/>
    <w:tmpl w:val="3F4EF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F62A5B"/>
    <w:multiLevelType w:val="hybridMultilevel"/>
    <w:tmpl w:val="63289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9733F2"/>
    <w:multiLevelType w:val="hybridMultilevel"/>
    <w:tmpl w:val="6298D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47589E"/>
    <w:multiLevelType w:val="hybridMultilevel"/>
    <w:tmpl w:val="D90C5B4C"/>
    <w:lvl w:ilvl="0" w:tplc="BAA26048">
      <w:start w:val="1"/>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E469F9"/>
    <w:multiLevelType w:val="hybridMultilevel"/>
    <w:tmpl w:val="6E402D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F425DC"/>
    <w:multiLevelType w:val="hybridMultilevel"/>
    <w:tmpl w:val="54E68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45139A5"/>
    <w:multiLevelType w:val="hybridMultilevel"/>
    <w:tmpl w:val="A89A8A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4B96ABB"/>
    <w:multiLevelType w:val="hybridMultilevel"/>
    <w:tmpl w:val="5D18C316"/>
    <w:lvl w:ilvl="0" w:tplc="1152C8B4">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092316"/>
    <w:multiLevelType w:val="hybridMultilevel"/>
    <w:tmpl w:val="8CCE5CE0"/>
    <w:lvl w:ilvl="0" w:tplc="BAA26048">
      <w:start w:val="1"/>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026491"/>
    <w:multiLevelType w:val="hybridMultilevel"/>
    <w:tmpl w:val="9A7029F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3FA11BD"/>
    <w:multiLevelType w:val="hybridMultilevel"/>
    <w:tmpl w:val="892CF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7B27A1"/>
    <w:multiLevelType w:val="hybridMultilevel"/>
    <w:tmpl w:val="0E7C2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D63ED5"/>
    <w:multiLevelType w:val="hybridMultilevel"/>
    <w:tmpl w:val="48C64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5133F0"/>
    <w:multiLevelType w:val="hybridMultilevel"/>
    <w:tmpl w:val="CD1EA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0B6001"/>
    <w:multiLevelType w:val="hybridMultilevel"/>
    <w:tmpl w:val="BEAE8F96"/>
    <w:lvl w:ilvl="0" w:tplc="04090001">
      <w:start w:val="1"/>
      <w:numFmt w:val="bullet"/>
      <w:lvlText w:val=""/>
      <w:lvlJc w:val="left"/>
      <w:pPr>
        <w:ind w:left="720" w:hanging="360"/>
      </w:pPr>
      <w:rPr>
        <w:rFonts w:ascii="Symbol" w:hAnsi="Symbol" w:hint="default"/>
      </w:rPr>
    </w:lvl>
    <w:lvl w:ilvl="1" w:tplc="5908E1FC">
      <w:start w:val="3"/>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735A69"/>
    <w:multiLevelType w:val="hybridMultilevel"/>
    <w:tmpl w:val="4F6670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B9272BF"/>
    <w:multiLevelType w:val="hybridMultilevel"/>
    <w:tmpl w:val="91BA2F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C3C531E"/>
    <w:multiLevelType w:val="hybridMultilevel"/>
    <w:tmpl w:val="C290C4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7557F5"/>
    <w:multiLevelType w:val="hybridMultilevel"/>
    <w:tmpl w:val="4364A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7C0FCF"/>
    <w:multiLevelType w:val="hybridMultilevel"/>
    <w:tmpl w:val="3496C198"/>
    <w:lvl w:ilvl="0" w:tplc="0409000F">
      <w:start w:val="1"/>
      <w:numFmt w:val="decimal"/>
      <w:lvlText w:val="%1."/>
      <w:lvlJc w:val="left"/>
      <w:pPr>
        <w:ind w:left="720" w:hanging="360"/>
      </w:pPr>
      <w:rPr>
        <w:rFonts w:hint="default"/>
      </w:rPr>
    </w:lvl>
    <w:lvl w:ilvl="1" w:tplc="5908E1FC">
      <w:start w:val="3"/>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784443"/>
    <w:multiLevelType w:val="hybridMultilevel"/>
    <w:tmpl w:val="F370B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F65EF3"/>
    <w:multiLevelType w:val="hybridMultilevel"/>
    <w:tmpl w:val="5F722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655D76"/>
    <w:multiLevelType w:val="hybridMultilevel"/>
    <w:tmpl w:val="721AB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FB628E"/>
    <w:multiLevelType w:val="hybridMultilevel"/>
    <w:tmpl w:val="75501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5435CD"/>
    <w:multiLevelType w:val="hybridMultilevel"/>
    <w:tmpl w:val="6E08A2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D397D5D"/>
    <w:multiLevelType w:val="hybridMultilevel"/>
    <w:tmpl w:val="302E9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120721"/>
    <w:multiLevelType w:val="hybridMultilevel"/>
    <w:tmpl w:val="7D244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015039"/>
    <w:multiLevelType w:val="hybridMultilevel"/>
    <w:tmpl w:val="9D6495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DB6F36"/>
    <w:multiLevelType w:val="hybridMultilevel"/>
    <w:tmpl w:val="549E8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AF2F59"/>
    <w:multiLevelType w:val="hybridMultilevel"/>
    <w:tmpl w:val="547A621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1" w15:restartNumberingAfterBreak="0">
    <w:nsid w:val="7C325036"/>
    <w:multiLevelType w:val="hybridMultilevel"/>
    <w:tmpl w:val="DD94F04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D142B4F"/>
    <w:multiLevelType w:val="hybridMultilevel"/>
    <w:tmpl w:val="7A56D4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F3F59E1"/>
    <w:multiLevelType w:val="hybridMultilevel"/>
    <w:tmpl w:val="C556F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8969025">
    <w:abstractNumId w:val="19"/>
  </w:num>
  <w:num w:numId="2" w16cid:durableId="319427900">
    <w:abstractNumId w:val="6"/>
  </w:num>
  <w:num w:numId="3" w16cid:durableId="483819352">
    <w:abstractNumId w:val="1"/>
  </w:num>
  <w:num w:numId="4" w16cid:durableId="1550531087">
    <w:abstractNumId w:val="14"/>
  </w:num>
  <w:num w:numId="5" w16cid:durableId="365302262">
    <w:abstractNumId w:val="4"/>
  </w:num>
  <w:num w:numId="6" w16cid:durableId="1490904455">
    <w:abstractNumId w:val="32"/>
  </w:num>
  <w:num w:numId="7" w16cid:durableId="1975796718">
    <w:abstractNumId w:val="37"/>
  </w:num>
  <w:num w:numId="8" w16cid:durableId="168910388">
    <w:abstractNumId w:val="41"/>
  </w:num>
  <w:num w:numId="9" w16cid:durableId="864364265">
    <w:abstractNumId w:val="30"/>
  </w:num>
  <w:num w:numId="10" w16cid:durableId="1110662610">
    <w:abstractNumId w:val="33"/>
  </w:num>
  <w:num w:numId="11" w16cid:durableId="48504678">
    <w:abstractNumId w:val="25"/>
  </w:num>
  <w:num w:numId="12" w16cid:durableId="1057243330">
    <w:abstractNumId w:val="40"/>
  </w:num>
  <w:num w:numId="13" w16cid:durableId="113838224">
    <w:abstractNumId w:val="23"/>
  </w:num>
  <w:num w:numId="14" w16cid:durableId="1819300015">
    <w:abstractNumId w:val="9"/>
  </w:num>
  <w:num w:numId="15" w16cid:durableId="1354769003">
    <w:abstractNumId w:val="29"/>
  </w:num>
  <w:num w:numId="16" w16cid:durableId="765884069">
    <w:abstractNumId w:val="15"/>
  </w:num>
  <w:num w:numId="17" w16cid:durableId="1830708544">
    <w:abstractNumId w:val="0"/>
  </w:num>
  <w:num w:numId="18" w16cid:durableId="1195772453">
    <w:abstractNumId w:val="20"/>
  </w:num>
  <w:num w:numId="19" w16cid:durableId="116266373">
    <w:abstractNumId w:val="2"/>
  </w:num>
  <w:num w:numId="20" w16cid:durableId="1165899663">
    <w:abstractNumId w:val="11"/>
  </w:num>
  <w:num w:numId="21" w16cid:durableId="1921870603">
    <w:abstractNumId w:val="43"/>
  </w:num>
  <w:num w:numId="22" w16cid:durableId="1106846340">
    <w:abstractNumId w:val="13"/>
  </w:num>
  <w:num w:numId="23" w16cid:durableId="1120413215">
    <w:abstractNumId w:val="18"/>
  </w:num>
  <w:num w:numId="24" w16cid:durableId="884490536">
    <w:abstractNumId w:val="31"/>
  </w:num>
  <w:num w:numId="25" w16cid:durableId="1098991049">
    <w:abstractNumId w:val="35"/>
  </w:num>
  <w:num w:numId="26" w16cid:durableId="631596808">
    <w:abstractNumId w:val="10"/>
  </w:num>
  <w:num w:numId="27" w16cid:durableId="1306087360">
    <w:abstractNumId w:val="8"/>
  </w:num>
  <w:num w:numId="28" w16cid:durableId="909191109">
    <w:abstractNumId w:val="26"/>
  </w:num>
  <w:num w:numId="29" w16cid:durableId="556204899">
    <w:abstractNumId w:val="27"/>
  </w:num>
  <w:num w:numId="30" w16cid:durableId="1668284805">
    <w:abstractNumId w:val="16"/>
  </w:num>
  <w:num w:numId="31" w16cid:durableId="1777868951">
    <w:abstractNumId w:val="24"/>
  </w:num>
  <w:num w:numId="32" w16cid:durableId="1614898655">
    <w:abstractNumId w:val="7"/>
  </w:num>
  <w:num w:numId="33" w16cid:durableId="364449577">
    <w:abstractNumId w:val="12"/>
  </w:num>
  <w:num w:numId="34" w16cid:durableId="248081818">
    <w:abstractNumId w:val="39"/>
  </w:num>
  <w:num w:numId="35" w16cid:durableId="1742749116">
    <w:abstractNumId w:val="36"/>
  </w:num>
  <w:num w:numId="36" w16cid:durableId="1632056943">
    <w:abstractNumId w:val="28"/>
  </w:num>
  <w:num w:numId="37" w16cid:durableId="16198188">
    <w:abstractNumId w:val="34"/>
  </w:num>
  <w:num w:numId="38" w16cid:durableId="995642619">
    <w:abstractNumId w:val="21"/>
  </w:num>
  <w:num w:numId="39" w16cid:durableId="1951429902">
    <w:abstractNumId w:val="42"/>
  </w:num>
  <w:num w:numId="40" w16cid:durableId="1660618793">
    <w:abstractNumId w:val="22"/>
  </w:num>
  <w:num w:numId="41" w16cid:durableId="566649021">
    <w:abstractNumId w:val="38"/>
  </w:num>
  <w:num w:numId="42" w16cid:durableId="230387690">
    <w:abstractNumId w:val="17"/>
  </w:num>
  <w:num w:numId="43" w16cid:durableId="335613693">
    <w:abstractNumId w:val="3"/>
  </w:num>
  <w:num w:numId="44" w16cid:durableId="19558662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650"/>
    <w:rsid w:val="00015BCC"/>
    <w:rsid w:val="0002084A"/>
    <w:rsid w:val="00042C6F"/>
    <w:rsid w:val="0004495D"/>
    <w:rsid w:val="0004619A"/>
    <w:rsid w:val="00046C49"/>
    <w:rsid w:val="00047ED5"/>
    <w:rsid w:val="00050B79"/>
    <w:rsid w:val="00086352"/>
    <w:rsid w:val="00093D9F"/>
    <w:rsid w:val="000A0E24"/>
    <w:rsid w:val="000B5D57"/>
    <w:rsid w:val="000B6F75"/>
    <w:rsid w:val="000B7584"/>
    <w:rsid w:val="000C7C14"/>
    <w:rsid w:val="00101544"/>
    <w:rsid w:val="00107673"/>
    <w:rsid w:val="00114CCA"/>
    <w:rsid w:val="00156C09"/>
    <w:rsid w:val="001668A8"/>
    <w:rsid w:val="00196443"/>
    <w:rsid w:val="001A6E66"/>
    <w:rsid w:val="001B13EB"/>
    <w:rsid w:val="001B450B"/>
    <w:rsid w:val="001D1DBC"/>
    <w:rsid w:val="001D532C"/>
    <w:rsid w:val="001D6213"/>
    <w:rsid w:val="001F354D"/>
    <w:rsid w:val="001F47FD"/>
    <w:rsid w:val="002257CD"/>
    <w:rsid w:val="002305C5"/>
    <w:rsid w:val="002533B2"/>
    <w:rsid w:val="00284AAE"/>
    <w:rsid w:val="0028723E"/>
    <w:rsid w:val="002876FE"/>
    <w:rsid w:val="0029400A"/>
    <w:rsid w:val="002D0B34"/>
    <w:rsid w:val="002D5B01"/>
    <w:rsid w:val="002D65A3"/>
    <w:rsid w:val="002D7273"/>
    <w:rsid w:val="003216C7"/>
    <w:rsid w:val="00326F85"/>
    <w:rsid w:val="003319F3"/>
    <w:rsid w:val="003439F7"/>
    <w:rsid w:val="00360DAB"/>
    <w:rsid w:val="00371F59"/>
    <w:rsid w:val="00372B51"/>
    <w:rsid w:val="0038184B"/>
    <w:rsid w:val="00383811"/>
    <w:rsid w:val="003A0EBE"/>
    <w:rsid w:val="003A1F96"/>
    <w:rsid w:val="003A60A9"/>
    <w:rsid w:val="003A745E"/>
    <w:rsid w:val="003B7C83"/>
    <w:rsid w:val="003C01C1"/>
    <w:rsid w:val="00401F8D"/>
    <w:rsid w:val="004055DB"/>
    <w:rsid w:val="004134D4"/>
    <w:rsid w:val="00414D42"/>
    <w:rsid w:val="004273C5"/>
    <w:rsid w:val="00434DDB"/>
    <w:rsid w:val="00436AE3"/>
    <w:rsid w:val="004650D2"/>
    <w:rsid w:val="00477C56"/>
    <w:rsid w:val="00484A19"/>
    <w:rsid w:val="00490571"/>
    <w:rsid w:val="004A7201"/>
    <w:rsid w:val="004D5C46"/>
    <w:rsid w:val="004F28E4"/>
    <w:rsid w:val="004F6D5A"/>
    <w:rsid w:val="004F6EC6"/>
    <w:rsid w:val="004F7950"/>
    <w:rsid w:val="005025C7"/>
    <w:rsid w:val="00505CB3"/>
    <w:rsid w:val="005132DF"/>
    <w:rsid w:val="0051677C"/>
    <w:rsid w:val="00531689"/>
    <w:rsid w:val="00531CED"/>
    <w:rsid w:val="005612DD"/>
    <w:rsid w:val="00566EF4"/>
    <w:rsid w:val="0058685C"/>
    <w:rsid w:val="005A38AA"/>
    <w:rsid w:val="005B3A8D"/>
    <w:rsid w:val="005C3446"/>
    <w:rsid w:val="005D38D7"/>
    <w:rsid w:val="005E2E96"/>
    <w:rsid w:val="005E642C"/>
    <w:rsid w:val="006105E2"/>
    <w:rsid w:val="00640577"/>
    <w:rsid w:val="006412F6"/>
    <w:rsid w:val="00644334"/>
    <w:rsid w:val="00644785"/>
    <w:rsid w:val="00646A53"/>
    <w:rsid w:val="006807A3"/>
    <w:rsid w:val="00683E71"/>
    <w:rsid w:val="00690C3F"/>
    <w:rsid w:val="00693967"/>
    <w:rsid w:val="006946CB"/>
    <w:rsid w:val="006B1AFB"/>
    <w:rsid w:val="006F5D15"/>
    <w:rsid w:val="00713444"/>
    <w:rsid w:val="00720C57"/>
    <w:rsid w:val="00741D51"/>
    <w:rsid w:val="0074772B"/>
    <w:rsid w:val="0075015E"/>
    <w:rsid w:val="00755B2C"/>
    <w:rsid w:val="00771104"/>
    <w:rsid w:val="00786D2C"/>
    <w:rsid w:val="007A3C77"/>
    <w:rsid w:val="007B5697"/>
    <w:rsid w:val="007C2144"/>
    <w:rsid w:val="007C3E73"/>
    <w:rsid w:val="007E38ED"/>
    <w:rsid w:val="007E56C8"/>
    <w:rsid w:val="007F62CB"/>
    <w:rsid w:val="00810704"/>
    <w:rsid w:val="00823531"/>
    <w:rsid w:val="00823F46"/>
    <w:rsid w:val="00826C6D"/>
    <w:rsid w:val="00843A10"/>
    <w:rsid w:val="008566A8"/>
    <w:rsid w:val="00860C1C"/>
    <w:rsid w:val="00871BB0"/>
    <w:rsid w:val="00875304"/>
    <w:rsid w:val="008823E1"/>
    <w:rsid w:val="00884133"/>
    <w:rsid w:val="008A0867"/>
    <w:rsid w:val="008F0744"/>
    <w:rsid w:val="008F2641"/>
    <w:rsid w:val="0091285A"/>
    <w:rsid w:val="009337BF"/>
    <w:rsid w:val="009412A9"/>
    <w:rsid w:val="009850AD"/>
    <w:rsid w:val="00990858"/>
    <w:rsid w:val="009B028E"/>
    <w:rsid w:val="009C623E"/>
    <w:rsid w:val="009D1F8F"/>
    <w:rsid w:val="009E15C5"/>
    <w:rsid w:val="009E290C"/>
    <w:rsid w:val="00A162C1"/>
    <w:rsid w:val="00A31EA7"/>
    <w:rsid w:val="00A3448D"/>
    <w:rsid w:val="00A37636"/>
    <w:rsid w:val="00A537CE"/>
    <w:rsid w:val="00A63977"/>
    <w:rsid w:val="00A64F85"/>
    <w:rsid w:val="00A81650"/>
    <w:rsid w:val="00A81860"/>
    <w:rsid w:val="00A83C1E"/>
    <w:rsid w:val="00AB2EAB"/>
    <w:rsid w:val="00AE7B0F"/>
    <w:rsid w:val="00AF7FD1"/>
    <w:rsid w:val="00B01D47"/>
    <w:rsid w:val="00B219C4"/>
    <w:rsid w:val="00B23185"/>
    <w:rsid w:val="00B35D5B"/>
    <w:rsid w:val="00B36D64"/>
    <w:rsid w:val="00B50DC2"/>
    <w:rsid w:val="00B53978"/>
    <w:rsid w:val="00B66916"/>
    <w:rsid w:val="00B76BA7"/>
    <w:rsid w:val="00BA7411"/>
    <w:rsid w:val="00BB10FB"/>
    <w:rsid w:val="00BB2414"/>
    <w:rsid w:val="00BB2E0C"/>
    <w:rsid w:val="00BC2D2E"/>
    <w:rsid w:val="00BC41A1"/>
    <w:rsid w:val="00BD5FAD"/>
    <w:rsid w:val="00BE6F35"/>
    <w:rsid w:val="00BF1B11"/>
    <w:rsid w:val="00BF478D"/>
    <w:rsid w:val="00C0706B"/>
    <w:rsid w:val="00C26FE4"/>
    <w:rsid w:val="00C34E13"/>
    <w:rsid w:val="00C351FE"/>
    <w:rsid w:val="00C47923"/>
    <w:rsid w:val="00C86D0C"/>
    <w:rsid w:val="00CC193E"/>
    <w:rsid w:val="00CC2F15"/>
    <w:rsid w:val="00CC606D"/>
    <w:rsid w:val="00CD3720"/>
    <w:rsid w:val="00CD5381"/>
    <w:rsid w:val="00D01C6A"/>
    <w:rsid w:val="00D11899"/>
    <w:rsid w:val="00D500E7"/>
    <w:rsid w:val="00D56CB6"/>
    <w:rsid w:val="00D57B63"/>
    <w:rsid w:val="00D65CAF"/>
    <w:rsid w:val="00D674C8"/>
    <w:rsid w:val="00DA1879"/>
    <w:rsid w:val="00DB04A9"/>
    <w:rsid w:val="00DB5AB9"/>
    <w:rsid w:val="00DC35AC"/>
    <w:rsid w:val="00DD77D6"/>
    <w:rsid w:val="00DE35AB"/>
    <w:rsid w:val="00DE6A62"/>
    <w:rsid w:val="00DF3596"/>
    <w:rsid w:val="00E12DC0"/>
    <w:rsid w:val="00E3117B"/>
    <w:rsid w:val="00E4520A"/>
    <w:rsid w:val="00E45A93"/>
    <w:rsid w:val="00E47C87"/>
    <w:rsid w:val="00E55456"/>
    <w:rsid w:val="00E820AA"/>
    <w:rsid w:val="00E94DD0"/>
    <w:rsid w:val="00E9641B"/>
    <w:rsid w:val="00EA2C34"/>
    <w:rsid w:val="00EA4670"/>
    <w:rsid w:val="00EB7424"/>
    <w:rsid w:val="00ED3ED2"/>
    <w:rsid w:val="00ED7702"/>
    <w:rsid w:val="00EF597D"/>
    <w:rsid w:val="00F27F37"/>
    <w:rsid w:val="00F533B4"/>
    <w:rsid w:val="00F56B3D"/>
    <w:rsid w:val="00F60E10"/>
    <w:rsid w:val="00F715CB"/>
    <w:rsid w:val="00F72F2C"/>
    <w:rsid w:val="00F8429A"/>
    <w:rsid w:val="00F871C7"/>
    <w:rsid w:val="00F94355"/>
    <w:rsid w:val="00FA13E3"/>
    <w:rsid w:val="00FA5CD7"/>
    <w:rsid w:val="00FD2C1E"/>
    <w:rsid w:val="00FE66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58E1D3"/>
  <w15:chartTrackingRefBased/>
  <w15:docId w15:val="{E4AEE0B2-DA05-4C24-9857-515E84AA2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5C46"/>
    <w:pPr>
      <w:spacing w:line="278" w:lineRule="auto"/>
    </w:pPr>
    <w:rPr>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5_G"/>
    <w:basedOn w:val="Normal"/>
    <w:link w:val="FootnoteTextChar"/>
    <w:uiPriority w:val="99"/>
    <w:unhideWhenUsed/>
    <w:qFormat/>
    <w:rsid w:val="004F6D5A"/>
    <w:pPr>
      <w:spacing w:after="0" w:line="240" w:lineRule="auto"/>
    </w:pPr>
    <w:rPr>
      <w:kern w:val="0"/>
      <w:sz w:val="20"/>
      <w:szCs w:val="20"/>
      <w:lang w:val="en-US"/>
      <w14:ligatures w14:val="none"/>
    </w:rPr>
  </w:style>
  <w:style w:type="character" w:customStyle="1" w:styleId="FootnoteTextChar">
    <w:name w:val="Footnote Text Char"/>
    <w:aliases w:val="5_G Char"/>
    <w:basedOn w:val="DefaultParagraphFont"/>
    <w:link w:val="FootnoteText"/>
    <w:uiPriority w:val="99"/>
    <w:rsid w:val="004F6D5A"/>
    <w:rPr>
      <w:sz w:val="20"/>
      <w:szCs w:val="20"/>
    </w:rPr>
  </w:style>
  <w:style w:type="character" w:styleId="FootnoteReference">
    <w:name w:val="footnote reference"/>
    <w:aliases w:val="4_G,4_GA"/>
    <w:basedOn w:val="DefaultParagraphFont"/>
    <w:uiPriority w:val="99"/>
    <w:unhideWhenUsed/>
    <w:qFormat/>
    <w:rsid w:val="004F6D5A"/>
    <w:rPr>
      <w:vertAlign w:val="superscript"/>
    </w:rPr>
  </w:style>
  <w:style w:type="character" w:styleId="Hyperlink">
    <w:name w:val="Hyperlink"/>
    <w:basedOn w:val="DefaultParagraphFont"/>
    <w:uiPriority w:val="99"/>
    <w:unhideWhenUsed/>
    <w:rsid w:val="004F6D5A"/>
    <w:rPr>
      <w:color w:val="0563C1" w:themeColor="hyperlink"/>
      <w:u w:val="single"/>
    </w:rPr>
  </w:style>
  <w:style w:type="character" w:styleId="FollowedHyperlink">
    <w:name w:val="FollowedHyperlink"/>
    <w:basedOn w:val="DefaultParagraphFont"/>
    <w:uiPriority w:val="99"/>
    <w:semiHidden/>
    <w:unhideWhenUsed/>
    <w:rsid w:val="009D1F8F"/>
    <w:rPr>
      <w:color w:val="954F72" w:themeColor="followedHyperlink"/>
      <w:u w:val="single"/>
    </w:rPr>
  </w:style>
  <w:style w:type="paragraph" w:styleId="ListParagraph">
    <w:name w:val="List Paragraph"/>
    <w:basedOn w:val="Normal"/>
    <w:link w:val="ListParagraphChar"/>
    <w:uiPriority w:val="34"/>
    <w:qFormat/>
    <w:rsid w:val="00AF7FD1"/>
    <w:pPr>
      <w:spacing w:line="259" w:lineRule="auto"/>
      <w:ind w:left="720"/>
      <w:contextualSpacing/>
    </w:pPr>
    <w:rPr>
      <w:kern w:val="0"/>
      <w:sz w:val="22"/>
      <w:szCs w:val="22"/>
      <w:lang w:val="en-US"/>
      <w14:ligatures w14:val="none"/>
    </w:rPr>
  </w:style>
  <w:style w:type="paragraph" w:styleId="Header">
    <w:name w:val="header"/>
    <w:basedOn w:val="Normal"/>
    <w:link w:val="HeaderChar"/>
    <w:uiPriority w:val="99"/>
    <w:unhideWhenUsed/>
    <w:rsid w:val="0058685C"/>
    <w:pPr>
      <w:tabs>
        <w:tab w:val="center" w:pos="4680"/>
        <w:tab w:val="right" w:pos="9360"/>
      </w:tabs>
      <w:spacing w:after="0" w:line="240" w:lineRule="auto"/>
    </w:pPr>
    <w:rPr>
      <w:kern w:val="0"/>
      <w:sz w:val="22"/>
      <w:szCs w:val="22"/>
      <w:lang w:val="en-US"/>
      <w14:ligatures w14:val="none"/>
    </w:rPr>
  </w:style>
  <w:style w:type="character" w:customStyle="1" w:styleId="HeaderChar">
    <w:name w:val="Header Char"/>
    <w:basedOn w:val="DefaultParagraphFont"/>
    <w:link w:val="Header"/>
    <w:uiPriority w:val="99"/>
    <w:rsid w:val="0058685C"/>
  </w:style>
  <w:style w:type="paragraph" w:styleId="Footer">
    <w:name w:val="footer"/>
    <w:basedOn w:val="Normal"/>
    <w:link w:val="FooterChar"/>
    <w:uiPriority w:val="99"/>
    <w:unhideWhenUsed/>
    <w:rsid w:val="0058685C"/>
    <w:pPr>
      <w:tabs>
        <w:tab w:val="center" w:pos="4680"/>
        <w:tab w:val="right" w:pos="9360"/>
      </w:tabs>
      <w:spacing w:after="0" w:line="240" w:lineRule="auto"/>
    </w:pPr>
    <w:rPr>
      <w:kern w:val="0"/>
      <w:sz w:val="22"/>
      <w:szCs w:val="22"/>
      <w:lang w:val="en-US"/>
      <w14:ligatures w14:val="none"/>
    </w:rPr>
  </w:style>
  <w:style w:type="character" w:customStyle="1" w:styleId="FooterChar">
    <w:name w:val="Footer Char"/>
    <w:basedOn w:val="DefaultParagraphFont"/>
    <w:link w:val="Footer"/>
    <w:uiPriority w:val="99"/>
    <w:rsid w:val="0058685C"/>
  </w:style>
  <w:style w:type="table" w:styleId="TableGrid">
    <w:name w:val="Table Grid"/>
    <w:basedOn w:val="TableNormal"/>
    <w:uiPriority w:val="39"/>
    <w:rsid w:val="00646A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646A53"/>
  </w:style>
  <w:style w:type="character" w:customStyle="1" w:styleId="UnresolvedMention1">
    <w:name w:val="Unresolved Mention1"/>
    <w:basedOn w:val="DefaultParagraphFont"/>
    <w:uiPriority w:val="99"/>
    <w:semiHidden/>
    <w:unhideWhenUsed/>
    <w:rsid w:val="007E56C8"/>
    <w:rPr>
      <w:color w:val="605E5C"/>
      <w:shd w:val="clear" w:color="auto" w:fill="E1DFDD"/>
    </w:rPr>
  </w:style>
  <w:style w:type="character" w:customStyle="1" w:styleId="ListParagraphChar">
    <w:name w:val="List Paragraph Char"/>
    <w:link w:val="ListParagraph"/>
    <w:uiPriority w:val="34"/>
    <w:rsid w:val="00E55456"/>
  </w:style>
  <w:style w:type="paragraph" w:styleId="HTMLPreformatted">
    <w:name w:val="HTML Preformatted"/>
    <w:basedOn w:val="Normal"/>
    <w:link w:val="HTMLPreformattedChar"/>
    <w:uiPriority w:val="99"/>
    <w:unhideWhenUsed/>
    <w:rsid w:val="009850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n-US"/>
      <w14:ligatures w14:val="none"/>
    </w:rPr>
  </w:style>
  <w:style w:type="character" w:customStyle="1" w:styleId="HTMLPreformattedChar">
    <w:name w:val="HTML Preformatted Char"/>
    <w:basedOn w:val="DefaultParagraphFont"/>
    <w:link w:val="HTMLPreformatted"/>
    <w:uiPriority w:val="99"/>
    <w:rsid w:val="009850AD"/>
    <w:rPr>
      <w:rFonts w:ascii="Courier New" w:eastAsia="Times New Roman" w:hAnsi="Courier New" w:cs="Courier New"/>
      <w:sz w:val="20"/>
      <w:szCs w:val="20"/>
    </w:rPr>
  </w:style>
  <w:style w:type="character" w:customStyle="1" w:styleId="y2iqfc">
    <w:name w:val="y2iqfc"/>
    <w:basedOn w:val="DefaultParagraphFont"/>
    <w:rsid w:val="009850AD"/>
  </w:style>
  <w:style w:type="character" w:styleId="CommentReference">
    <w:name w:val="annotation reference"/>
    <w:basedOn w:val="DefaultParagraphFont"/>
    <w:uiPriority w:val="99"/>
    <w:semiHidden/>
    <w:unhideWhenUsed/>
    <w:rsid w:val="009850AD"/>
    <w:rPr>
      <w:sz w:val="16"/>
      <w:szCs w:val="16"/>
    </w:rPr>
  </w:style>
  <w:style w:type="paragraph" w:styleId="CommentText">
    <w:name w:val="annotation text"/>
    <w:basedOn w:val="Normal"/>
    <w:link w:val="CommentTextChar"/>
    <w:uiPriority w:val="99"/>
    <w:semiHidden/>
    <w:unhideWhenUsed/>
    <w:rsid w:val="009850AD"/>
    <w:pPr>
      <w:bidi/>
      <w:spacing w:after="200" w:line="240" w:lineRule="auto"/>
      <w:ind w:left="300" w:hanging="357"/>
    </w:pPr>
    <w:rPr>
      <w:rFonts w:eastAsiaTheme="minorEastAsia"/>
      <w:sz w:val="20"/>
      <w:szCs w:val="20"/>
    </w:rPr>
  </w:style>
  <w:style w:type="character" w:customStyle="1" w:styleId="CommentTextChar">
    <w:name w:val="Comment Text Char"/>
    <w:basedOn w:val="DefaultParagraphFont"/>
    <w:link w:val="CommentText"/>
    <w:uiPriority w:val="99"/>
    <w:semiHidden/>
    <w:rsid w:val="009850AD"/>
    <w:rPr>
      <w:rFonts w:eastAsiaTheme="minorEastAsia"/>
      <w:sz w:val="20"/>
      <w:szCs w:val="20"/>
    </w:rPr>
  </w:style>
  <w:style w:type="character" w:styleId="UnresolvedMention">
    <w:name w:val="Unresolved Mention"/>
    <w:basedOn w:val="DefaultParagraphFont"/>
    <w:uiPriority w:val="99"/>
    <w:semiHidden/>
    <w:unhideWhenUsed/>
    <w:rsid w:val="006105E2"/>
    <w:rPr>
      <w:color w:val="605E5C"/>
      <w:shd w:val="clear" w:color="auto" w:fill="E1DFDD"/>
    </w:rPr>
  </w:style>
  <w:style w:type="table" w:styleId="GridTable5Dark-Accent1">
    <w:name w:val="Grid Table 5 Dark Accent 1"/>
    <w:basedOn w:val="TableNormal"/>
    <w:uiPriority w:val="50"/>
    <w:rsid w:val="00D500E7"/>
    <w:pPr>
      <w:spacing w:before="100" w:beforeAutospacing="1" w:after="0" w:afterAutospacing="1"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841083">
      <w:bodyDiv w:val="1"/>
      <w:marLeft w:val="0"/>
      <w:marRight w:val="0"/>
      <w:marTop w:val="0"/>
      <w:marBottom w:val="0"/>
      <w:divBdr>
        <w:top w:val="none" w:sz="0" w:space="0" w:color="auto"/>
        <w:left w:val="none" w:sz="0" w:space="0" w:color="auto"/>
        <w:bottom w:val="none" w:sz="0" w:space="0" w:color="auto"/>
        <w:right w:val="none" w:sz="0" w:space="0" w:color="auto"/>
      </w:divBdr>
    </w:div>
    <w:div w:id="664556909">
      <w:bodyDiv w:val="1"/>
      <w:marLeft w:val="0"/>
      <w:marRight w:val="0"/>
      <w:marTop w:val="0"/>
      <w:marBottom w:val="0"/>
      <w:divBdr>
        <w:top w:val="none" w:sz="0" w:space="0" w:color="auto"/>
        <w:left w:val="none" w:sz="0" w:space="0" w:color="auto"/>
        <w:bottom w:val="none" w:sz="0" w:space="0" w:color="auto"/>
        <w:right w:val="none" w:sz="0" w:space="0" w:color="auto"/>
      </w:divBdr>
    </w:div>
    <w:div w:id="1346781868">
      <w:bodyDiv w:val="1"/>
      <w:marLeft w:val="0"/>
      <w:marRight w:val="0"/>
      <w:marTop w:val="0"/>
      <w:marBottom w:val="0"/>
      <w:divBdr>
        <w:top w:val="none" w:sz="0" w:space="0" w:color="auto"/>
        <w:left w:val="none" w:sz="0" w:space="0" w:color="auto"/>
        <w:bottom w:val="none" w:sz="0" w:space="0" w:color="auto"/>
        <w:right w:val="none" w:sz="0" w:space="0" w:color="auto"/>
      </w:divBdr>
    </w:div>
    <w:div w:id="1655446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jpe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ww.elbalad.news/6546709" TargetMode="External"/><Relationship Id="rId3" Type="http://schemas.openxmlformats.org/officeDocument/2006/relationships/hyperlink" Target="https://2h.ae/QAdg" TargetMode="External"/><Relationship Id="rId7" Type="http://schemas.openxmlformats.org/officeDocument/2006/relationships/hyperlink" Target="https://www.eldyar.net/621256" TargetMode="External"/><Relationship Id="rId2" Type="http://schemas.openxmlformats.org/officeDocument/2006/relationships/hyperlink" Target="https://2h.ae/TkAN" TargetMode="External"/><Relationship Id="rId1" Type="http://schemas.openxmlformats.org/officeDocument/2006/relationships/hyperlink" Target="https://2h.ae/mSVh" TargetMode="External"/><Relationship Id="rId6" Type="http://schemas.openxmlformats.org/officeDocument/2006/relationships/hyperlink" Target="https://2h.ae/AVgI" TargetMode="External"/><Relationship Id="rId11" Type="http://schemas.openxmlformats.org/officeDocument/2006/relationships/hyperlink" Target="https://shorturl.at/0K8ij" TargetMode="External"/><Relationship Id="rId5" Type="http://schemas.openxmlformats.org/officeDocument/2006/relationships/hyperlink" Target="https://2h.ae/NORE" TargetMode="External"/><Relationship Id="rId10" Type="http://schemas.openxmlformats.org/officeDocument/2006/relationships/hyperlink" Target="https://shorturl.at/ZxdzS" TargetMode="External"/><Relationship Id="rId4" Type="http://schemas.openxmlformats.org/officeDocument/2006/relationships/hyperlink" Target="https://www.osce.org/files/f/documents/7/3/340551.pdf" TargetMode="External"/><Relationship Id="rId9" Type="http://schemas.openxmlformats.org/officeDocument/2006/relationships/hyperlink" Target="https://shorturl.at/mJK1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1ca8d4ac47142d165de5b84173c7f574">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05afde50684eb31341d4cf470f2a654"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2F798CFA-3D8E-489F-8992-A7625FD7A28B}">
  <ds:schemaRefs>
    <ds:schemaRef ds:uri="http://schemas.openxmlformats.org/officeDocument/2006/bibliography"/>
  </ds:schemaRefs>
</ds:datastoreItem>
</file>

<file path=customXml/itemProps2.xml><?xml version="1.0" encoding="utf-8"?>
<ds:datastoreItem xmlns:ds="http://schemas.openxmlformats.org/officeDocument/2006/customXml" ds:itemID="{F9A20C01-22CC-4F99-B0A0-AC8CB65953D7}"/>
</file>

<file path=customXml/itemProps3.xml><?xml version="1.0" encoding="utf-8"?>
<ds:datastoreItem xmlns:ds="http://schemas.openxmlformats.org/officeDocument/2006/customXml" ds:itemID="{2D76A4C7-E5B4-4B4E-B71E-53B18E7DA8EA}"/>
</file>

<file path=customXml/itemProps4.xml><?xml version="1.0" encoding="utf-8"?>
<ds:datastoreItem xmlns:ds="http://schemas.openxmlformats.org/officeDocument/2006/customXml" ds:itemID="{F455D91C-8B74-4EFE-95A2-015F9C510459}"/>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1990</Words>
  <Characters>11348</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Barbora Zamrska</cp:lastModifiedBy>
  <cp:revision>2</cp:revision>
  <dcterms:created xsi:type="dcterms:W3CDTF">2025-11-04T09:18:00Z</dcterms:created>
  <dcterms:modified xsi:type="dcterms:W3CDTF">2025-11-04T09:18:00Z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a082c0eeaec495607543bb366324cad789a8f1398e9c10fe1a33a8fa08a1c73f</vt:lpwstr>
  </property>
  <property fmtid="{D5CDD505-2E9C-101B-9397-08002B2CF9AE}" pid="3" name="ContentTypeId">
    <vt:lpwstr>0x010100F5AB59289BFBAB4F9FD152C776C60BDD</vt:lpwstr>
  </property>
  <property fmtid="{D5CDD505-2E9C-101B-9397-08002B2CF9AE}" pid="4" name="MediaServiceImageTags">
    <vt:lpwstr/>
  </property>
</Properties>
</file>