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849F" w14:textId="1E51B348" w:rsidR="002B0402" w:rsidRPr="00073CEE" w:rsidRDefault="005130EF" w:rsidP="001404E3">
      <w:pPr>
        <w:pStyle w:val="Heading1"/>
        <w:rPr>
          <w:color w:val="auto"/>
        </w:rPr>
      </w:pPr>
      <w:r w:rsidRPr="00073CEE">
        <w:rPr>
          <w:color w:val="auto"/>
        </w:rPr>
        <w:t>AUSTRALIAN government RESPONSE</w:t>
      </w:r>
    </w:p>
    <w:p w14:paraId="03513B0B" w14:textId="3AB73C4E" w:rsidR="005130EF" w:rsidRPr="00073CEE" w:rsidRDefault="005130EF" w:rsidP="002E3C11">
      <w:pPr>
        <w:pStyle w:val="Heading2"/>
        <w:rPr>
          <w:color w:val="auto"/>
        </w:rPr>
      </w:pPr>
      <w:r w:rsidRPr="00073CEE">
        <w:rPr>
          <w:color w:val="auto"/>
        </w:rPr>
        <w:t xml:space="preserve">Call for submissions: Report on </w:t>
      </w:r>
      <w:r w:rsidR="00073CEE" w:rsidRPr="00073CEE">
        <w:rPr>
          <w:color w:val="auto"/>
        </w:rPr>
        <w:t>Equal Participation in political and public life</w:t>
      </w:r>
    </w:p>
    <w:p w14:paraId="0CD40E92" w14:textId="77777777" w:rsidR="00073CEE" w:rsidRPr="00276469" w:rsidRDefault="00073CEE" w:rsidP="00276469">
      <w:pPr>
        <w:rPr>
          <w:rFonts w:cstheme="minorHAnsi"/>
          <w:color w:val="auto"/>
        </w:rPr>
      </w:pPr>
      <w:r w:rsidRPr="00276469">
        <w:rPr>
          <w:rFonts w:cstheme="minorHAnsi"/>
          <w:color w:val="auto"/>
        </w:rPr>
        <w:t>Australia thanks the Special Rapporteur on the rights of persons with disabilities for their invitation to provide a submission to inform the Report on equal participation in political and public life.</w:t>
      </w:r>
    </w:p>
    <w:p w14:paraId="4BC977A1" w14:textId="4F293CA9" w:rsidR="007E510F" w:rsidRPr="00276469" w:rsidRDefault="007E510F" w:rsidP="00276469">
      <w:pPr>
        <w:suppressAutoHyphens w:val="0"/>
        <w:spacing w:before="240"/>
        <w:rPr>
          <w:rFonts w:cstheme="minorHAnsi"/>
          <w:b/>
          <w:bCs/>
          <w:color w:val="auto"/>
          <w:sz w:val="32"/>
          <w:szCs w:val="32"/>
          <w:lang w:val="en-AU"/>
        </w:rPr>
      </w:pPr>
      <w:r w:rsidRPr="00276469">
        <w:rPr>
          <w:rFonts w:cstheme="minorHAnsi"/>
          <w:b/>
          <w:bCs/>
          <w:color w:val="auto"/>
          <w:sz w:val="32"/>
          <w:szCs w:val="32"/>
          <w:lang w:val="en-AU"/>
        </w:rPr>
        <w:t>AUSTRALIAN DISABILITY REFORM</w:t>
      </w:r>
    </w:p>
    <w:p w14:paraId="3AD010A0" w14:textId="282919A4" w:rsidR="007E510F" w:rsidRPr="00276469" w:rsidRDefault="007E510F" w:rsidP="00276469">
      <w:pPr>
        <w:suppressAutoHyphens w:val="0"/>
        <w:rPr>
          <w:rFonts w:cstheme="minorHAnsi"/>
          <w:color w:val="auto"/>
          <w:szCs w:val="24"/>
          <w:lang w:val="en-AU"/>
        </w:rPr>
      </w:pPr>
      <w:r w:rsidRPr="00276469">
        <w:rPr>
          <w:rFonts w:cstheme="minorHAnsi"/>
          <w:color w:val="auto"/>
          <w:szCs w:val="24"/>
          <w:lang w:val="en-AU"/>
        </w:rPr>
        <w:t>Australia’s Disability Strategy 2021–2031</w:t>
      </w:r>
    </w:p>
    <w:p w14:paraId="5B1A9ECB" w14:textId="77777777" w:rsidR="007E510F" w:rsidRPr="00276469" w:rsidRDefault="007E510F" w:rsidP="00276469">
      <w:pPr>
        <w:numPr>
          <w:ilvl w:val="0"/>
          <w:numId w:val="19"/>
        </w:numPr>
        <w:suppressAutoHyphens w:val="0"/>
        <w:rPr>
          <w:rFonts w:cstheme="minorHAnsi"/>
          <w:color w:val="auto"/>
          <w:szCs w:val="24"/>
          <w:lang w:val="en-AU"/>
        </w:rPr>
      </w:pPr>
      <w:r w:rsidRPr="00276469">
        <w:rPr>
          <w:rFonts w:cstheme="minorHAnsi"/>
          <w:color w:val="auto"/>
          <w:szCs w:val="24"/>
          <w:lang w:val="en-AU"/>
        </w:rPr>
        <w:t>Australia’s Disability Strategy (the Strategy) sets the national direction for disability reform, aiming to create an inclusive society where people with disability have equal opportunities to participate in all aspects of life, including the right to be actively engaged in politics and hold public office. The Strategy is grounded in the social model of disability and closely aligns with the UN Convention on the Rights of Persons with Disabilities (CRPD).</w:t>
      </w:r>
    </w:p>
    <w:p w14:paraId="274AB554" w14:textId="77777777" w:rsidR="007E510F" w:rsidRPr="00276469" w:rsidRDefault="007E510F" w:rsidP="00276469">
      <w:pPr>
        <w:numPr>
          <w:ilvl w:val="0"/>
          <w:numId w:val="20"/>
        </w:numPr>
        <w:suppressAutoHyphens w:val="0"/>
        <w:rPr>
          <w:rFonts w:cstheme="minorHAnsi"/>
          <w:color w:val="auto"/>
          <w:szCs w:val="24"/>
          <w:lang w:val="en-AU"/>
        </w:rPr>
      </w:pPr>
      <w:r w:rsidRPr="00276469">
        <w:rPr>
          <w:rFonts w:cstheme="minorHAnsi"/>
          <w:color w:val="auto"/>
          <w:szCs w:val="24"/>
          <w:lang w:val="en-AU"/>
        </w:rPr>
        <w:t>The Strategy advances equal political participation for people with disability by promoting their leadership through the Community Attitudes Outcome Area and enhancing access to voting and civic engagement via assistive technology and disability supports under the Personal and Community Support Outcome Area.</w:t>
      </w:r>
    </w:p>
    <w:p w14:paraId="781B1A59" w14:textId="77777777" w:rsidR="007E510F" w:rsidRPr="00276469" w:rsidRDefault="007E510F" w:rsidP="00276469">
      <w:pPr>
        <w:suppressAutoHyphens w:val="0"/>
        <w:rPr>
          <w:rFonts w:cstheme="minorHAnsi"/>
          <w:color w:val="auto"/>
          <w:szCs w:val="24"/>
          <w:lang w:val="en-AU"/>
        </w:rPr>
      </w:pPr>
      <w:r w:rsidRPr="00276469">
        <w:rPr>
          <w:rFonts w:cstheme="minorHAnsi"/>
          <w:color w:val="auto"/>
          <w:szCs w:val="24"/>
          <w:lang w:val="en-AU"/>
        </w:rPr>
        <w:t>Stigma and ableism</w:t>
      </w:r>
    </w:p>
    <w:p w14:paraId="42CEC96F"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The Strategy recognises ableism and stigma as significant barriers to leadership and decision-making roles for people with disability, especially among First Nations people.</w:t>
      </w:r>
    </w:p>
    <w:p w14:paraId="12127FF8"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First Nations people with disability experience unique marginalisation, with higher disability prevalence and policy frameworks that often do not address their specific needs.</w:t>
      </w:r>
    </w:p>
    <w:p w14:paraId="6AC3FBFF"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In July 2024, all Australian governments agreed in principle to the Disability Royal Commission’s Recommendation 9.10, committing to partner with First Nations people to develop a Forum or other shared decision-making mechanism. Implementation details and funding are pending future government decisions.</w:t>
      </w:r>
    </w:p>
    <w:p w14:paraId="7BA75A99"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The Community Attitudes Outcome Area highlights attitudinal barriers as the most significant obstacle for people with disability.</w:t>
      </w:r>
    </w:p>
    <w:p w14:paraId="5E4B8E2D"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The Strategy promotes disability confidence, inclusive leadership, and challenges stereotypes about people with disability holding public office.</w:t>
      </w:r>
    </w:p>
    <w:p w14:paraId="139A3216" w14:textId="77777777" w:rsidR="007E510F" w:rsidRPr="00276469" w:rsidRDefault="007E510F" w:rsidP="00276469">
      <w:pPr>
        <w:numPr>
          <w:ilvl w:val="0"/>
          <w:numId w:val="21"/>
        </w:numPr>
        <w:suppressAutoHyphens w:val="0"/>
        <w:rPr>
          <w:rFonts w:cstheme="minorHAnsi"/>
          <w:color w:val="auto"/>
          <w:szCs w:val="24"/>
          <w:lang w:val="en-AU"/>
        </w:rPr>
      </w:pPr>
      <w:r w:rsidRPr="00276469">
        <w:rPr>
          <w:rFonts w:cstheme="minorHAnsi"/>
          <w:color w:val="auto"/>
          <w:szCs w:val="24"/>
          <w:lang w:val="en-AU"/>
        </w:rPr>
        <w:t>The Community Attitudes Targeted Action Plan (2025–2027) aims to shift public perceptions and foster respect for the rights and contributions of people with disability.</w:t>
      </w:r>
    </w:p>
    <w:p w14:paraId="1D803263" w14:textId="77777777" w:rsidR="007E510F" w:rsidRPr="00276469" w:rsidRDefault="007E510F" w:rsidP="00276469">
      <w:pPr>
        <w:suppressAutoHyphens w:val="0"/>
        <w:rPr>
          <w:rFonts w:cstheme="minorHAnsi"/>
          <w:color w:val="auto"/>
          <w:szCs w:val="24"/>
          <w:lang w:val="en-AU"/>
        </w:rPr>
      </w:pPr>
      <w:r w:rsidRPr="00276469">
        <w:rPr>
          <w:rFonts w:cstheme="minorHAnsi"/>
          <w:color w:val="auto"/>
          <w:szCs w:val="24"/>
          <w:lang w:val="en-AU"/>
        </w:rPr>
        <w:t>Barriers</w:t>
      </w:r>
    </w:p>
    <w:p w14:paraId="5A19C2E0" w14:textId="77777777" w:rsidR="007E510F" w:rsidRPr="00276469" w:rsidRDefault="007E510F" w:rsidP="00276469">
      <w:pPr>
        <w:numPr>
          <w:ilvl w:val="0"/>
          <w:numId w:val="22"/>
        </w:numPr>
        <w:suppressAutoHyphens w:val="0"/>
        <w:rPr>
          <w:rFonts w:cstheme="minorHAnsi"/>
          <w:color w:val="auto"/>
          <w:szCs w:val="24"/>
          <w:lang w:val="en-AU"/>
        </w:rPr>
      </w:pPr>
      <w:r w:rsidRPr="00276469">
        <w:rPr>
          <w:rFonts w:cstheme="minorHAnsi"/>
          <w:color w:val="auto"/>
          <w:szCs w:val="24"/>
          <w:lang w:val="en-AU"/>
        </w:rPr>
        <w:t>People with disability who also belong to intersectional cohorts—such as women, First Nations people, those from culturally diverse backgrounds, and individuals experiencing socio-economic disadvantage—face compounded barriers due to overlapping forms of discrimination.</w:t>
      </w:r>
    </w:p>
    <w:p w14:paraId="2955ED15" w14:textId="77777777" w:rsidR="007E510F" w:rsidRPr="00276469" w:rsidRDefault="007E510F" w:rsidP="00276469">
      <w:pPr>
        <w:numPr>
          <w:ilvl w:val="0"/>
          <w:numId w:val="22"/>
        </w:numPr>
        <w:suppressAutoHyphens w:val="0"/>
        <w:ind w:left="714" w:hanging="357"/>
        <w:rPr>
          <w:rFonts w:cstheme="minorHAnsi"/>
          <w:color w:val="auto"/>
          <w:szCs w:val="24"/>
          <w:lang w:val="en-AU"/>
        </w:rPr>
      </w:pPr>
      <w:r w:rsidRPr="00276469">
        <w:rPr>
          <w:rFonts w:cstheme="minorHAnsi"/>
          <w:color w:val="auto"/>
          <w:szCs w:val="24"/>
          <w:lang w:val="en-AU"/>
        </w:rPr>
        <w:lastRenderedPageBreak/>
        <w:t>While the Strategy’s focus on universal design, accessible transport, and inclusive communication marks significant progress, ongoing efforts are needed to overcome remaining challenges such as structural inaccessibility, financial hardship, and intersectional discrimination. These persistent barriers are being addressed with renewed commitment, ensuring that more people with disability can fully and equally participate in public life, including in politics and decision-making roles. Each step forward strengthens the foundation for a more inclusive and empowering society.</w:t>
      </w:r>
    </w:p>
    <w:p w14:paraId="60751312" w14:textId="77777777" w:rsidR="007E510F" w:rsidRPr="00276469" w:rsidRDefault="007E510F" w:rsidP="00276469">
      <w:pPr>
        <w:suppressAutoHyphens w:val="0"/>
        <w:rPr>
          <w:rFonts w:cstheme="minorHAnsi"/>
          <w:color w:val="auto"/>
          <w:szCs w:val="24"/>
          <w:lang w:val="en-AU"/>
        </w:rPr>
      </w:pPr>
      <w:r w:rsidRPr="00276469">
        <w:rPr>
          <w:rFonts w:cstheme="minorHAnsi"/>
          <w:color w:val="auto"/>
          <w:szCs w:val="24"/>
          <w:lang w:val="en-AU"/>
        </w:rPr>
        <w:t>Successful Measures and Supports</w:t>
      </w:r>
    </w:p>
    <w:p w14:paraId="06698E95" w14:textId="77777777" w:rsidR="007E510F" w:rsidRPr="00276469" w:rsidRDefault="007E510F" w:rsidP="00276469">
      <w:pPr>
        <w:numPr>
          <w:ilvl w:val="0"/>
          <w:numId w:val="23"/>
        </w:numPr>
        <w:suppressAutoHyphens w:val="0"/>
        <w:rPr>
          <w:rFonts w:cstheme="minorHAnsi"/>
          <w:color w:val="auto"/>
          <w:szCs w:val="24"/>
          <w:lang w:val="en-AU"/>
        </w:rPr>
      </w:pPr>
      <w:r w:rsidRPr="00276469">
        <w:rPr>
          <w:rFonts w:cstheme="minorHAnsi"/>
          <w:color w:val="auto"/>
          <w:szCs w:val="24"/>
          <w:lang w:val="en-AU"/>
        </w:rPr>
        <w:t>The Strategy promotes inclusive practices across government systems.</w:t>
      </w:r>
    </w:p>
    <w:p w14:paraId="1A8F92F8" w14:textId="77777777" w:rsidR="007E510F" w:rsidRPr="00276469" w:rsidRDefault="007E510F" w:rsidP="00276469">
      <w:pPr>
        <w:numPr>
          <w:ilvl w:val="0"/>
          <w:numId w:val="23"/>
        </w:numPr>
        <w:suppressAutoHyphens w:val="0"/>
        <w:rPr>
          <w:rFonts w:cstheme="minorHAnsi"/>
          <w:color w:val="auto"/>
          <w:szCs w:val="24"/>
          <w:lang w:val="en-AU"/>
        </w:rPr>
      </w:pPr>
      <w:r w:rsidRPr="00276469">
        <w:rPr>
          <w:rFonts w:cstheme="minorHAnsi"/>
          <w:color w:val="auto"/>
          <w:szCs w:val="24"/>
          <w:lang w:val="en-AU"/>
        </w:rPr>
        <w:t xml:space="preserve">Examples include: </w:t>
      </w:r>
    </w:p>
    <w:p w14:paraId="1105E759" w14:textId="77777777" w:rsidR="007E510F" w:rsidRPr="00276469" w:rsidRDefault="007E510F" w:rsidP="00276469">
      <w:pPr>
        <w:numPr>
          <w:ilvl w:val="1"/>
          <w:numId w:val="23"/>
        </w:numPr>
        <w:suppressAutoHyphens w:val="0"/>
        <w:rPr>
          <w:rFonts w:cstheme="minorHAnsi"/>
          <w:color w:val="auto"/>
          <w:szCs w:val="24"/>
          <w:lang w:val="en-AU"/>
        </w:rPr>
      </w:pPr>
      <w:r w:rsidRPr="00276469">
        <w:rPr>
          <w:rFonts w:cstheme="minorHAnsi"/>
          <w:color w:val="auto"/>
          <w:szCs w:val="24"/>
          <w:lang w:val="en-AU"/>
        </w:rPr>
        <w:t>Assistive technology for communication and mobility. For many, the right supports, including the NDIS and assistive technology supports are recognised as enablers of independence and civic engagement.</w:t>
      </w:r>
    </w:p>
    <w:p w14:paraId="2A88FE1A" w14:textId="77777777" w:rsidR="007E510F" w:rsidRPr="00276469" w:rsidRDefault="007E510F" w:rsidP="00276469">
      <w:pPr>
        <w:numPr>
          <w:ilvl w:val="1"/>
          <w:numId w:val="23"/>
        </w:numPr>
        <w:suppressAutoHyphens w:val="0"/>
        <w:rPr>
          <w:rFonts w:cstheme="minorHAnsi"/>
          <w:color w:val="auto"/>
          <w:szCs w:val="24"/>
          <w:lang w:val="en-AU"/>
        </w:rPr>
      </w:pPr>
      <w:r w:rsidRPr="00276469">
        <w:rPr>
          <w:rFonts w:cstheme="minorHAnsi"/>
          <w:color w:val="auto"/>
          <w:szCs w:val="24"/>
          <w:lang w:val="en-AU"/>
        </w:rPr>
        <w:t>Championing disability leadership, as highlighted under the Community Outcome Area and the Ensuring Occupations are Responsive to People with Disability (ACOLA Report – see link below).</w:t>
      </w:r>
    </w:p>
    <w:p w14:paraId="6488EAD5" w14:textId="77777777" w:rsidR="007E510F" w:rsidRPr="00276469" w:rsidRDefault="007E510F" w:rsidP="00276469">
      <w:pPr>
        <w:numPr>
          <w:ilvl w:val="1"/>
          <w:numId w:val="23"/>
        </w:numPr>
        <w:suppressAutoHyphens w:val="0"/>
        <w:rPr>
          <w:rFonts w:cstheme="minorHAnsi"/>
          <w:color w:val="auto"/>
          <w:szCs w:val="24"/>
          <w:lang w:val="en-AU"/>
        </w:rPr>
      </w:pPr>
      <w:r w:rsidRPr="00276469">
        <w:rPr>
          <w:rFonts w:cstheme="minorHAnsi"/>
          <w:color w:val="auto"/>
          <w:szCs w:val="24"/>
          <w:lang w:val="en-AU"/>
        </w:rPr>
        <w:t>Disability advocacy programs that support individuals to navigate systems and assert their rights.</w:t>
      </w:r>
    </w:p>
    <w:p w14:paraId="73A5E0D7" w14:textId="77777777" w:rsidR="007E510F" w:rsidRPr="00276469" w:rsidRDefault="007E510F" w:rsidP="00276469">
      <w:pPr>
        <w:numPr>
          <w:ilvl w:val="0"/>
          <w:numId w:val="23"/>
        </w:numPr>
        <w:suppressAutoHyphens w:val="0"/>
        <w:rPr>
          <w:rFonts w:cstheme="minorHAnsi"/>
          <w:color w:val="auto"/>
          <w:szCs w:val="24"/>
          <w:lang w:val="en-AU"/>
        </w:rPr>
      </w:pPr>
      <w:r w:rsidRPr="00276469">
        <w:rPr>
          <w:rFonts w:cstheme="minorHAnsi"/>
          <w:color w:val="auto"/>
          <w:szCs w:val="24"/>
          <w:lang w:val="en-AU"/>
        </w:rPr>
        <w:t>The Strategy works to embed the voice of people with disability in all national plans, policies, programs and evaluations to better reflect lived experience.</w:t>
      </w:r>
    </w:p>
    <w:p w14:paraId="3DAF94C9" w14:textId="77777777" w:rsidR="007E510F" w:rsidRPr="00276469" w:rsidRDefault="007E510F" w:rsidP="00276469">
      <w:pPr>
        <w:numPr>
          <w:ilvl w:val="0"/>
          <w:numId w:val="23"/>
        </w:numPr>
        <w:suppressAutoHyphens w:val="0"/>
        <w:rPr>
          <w:rFonts w:cstheme="minorHAnsi"/>
          <w:color w:val="auto"/>
          <w:szCs w:val="24"/>
          <w:lang w:val="en-AU"/>
        </w:rPr>
      </w:pPr>
      <w:r w:rsidRPr="00276469">
        <w:rPr>
          <w:rFonts w:cstheme="minorHAnsi"/>
          <w:color w:val="auto"/>
          <w:szCs w:val="24"/>
          <w:lang w:val="en-AU"/>
        </w:rPr>
        <w:t xml:space="preserve">We also encourage you to consider including the following resources in your work: </w:t>
      </w:r>
    </w:p>
    <w:p w14:paraId="13EBC674" w14:textId="77777777" w:rsidR="007E510F" w:rsidRPr="00276469" w:rsidRDefault="007E510F" w:rsidP="00276469">
      <w:pPr>
        <w:numPr>
          <w:ilvl w:val="1"/>
          <w:numId w:val="23"/>
        </w:numPr>
        <w:suppressAutoHyphens w:val="0"/>
        <w:rPr>
          <w:rFonts w:cstheme="minorHAnsi"/>
          <w:i/>
          <w:iCs/>
          <w:color w:val="auto"/>
          <w:szCs w:val="24"/>
          <w:lang w:val="en-AU"/>
        </w:rPr>
      </w:pPr>
      <w:hyperlink r:id="rId11" w:history="1">
        <w:r w:rsidRPr="00276469">
          <w:rPr>
            <w:rStyle w:val="Hyperlink"/>
            <w:rFonts w:cstheme="minorHAnsi"/>
            <w:i/>
            <w:iCs/>
            <w:szCs w:val="24"/>
            <w:lang w:val="en-AU"/>
          </w:rPr>
          <w:t>Good Practice Guidelines for Engaging with People with Disability</w:t>
        </w:r>
      </w:hyperlink>
    </w:p>
    <w:p w14:paraId="5729050A" w14:textId="77777777" w:rsidR="007E510F" w:rsidRPr="00276469" w:rsidRDefault="007E510F" w:rsidP="00276469">
      <w:pPr>
        <w:numPr>
          <w:ilvl w:val="1"/>
          <w:numId w:val="23"/>
        </w:numPr>
        <w:suppressAutoHyphens w:val="0"/>
        <w:rPr>
          <w:rFonts w:cstheme="minorHAnsi"/>
          <w:i/>
          <w:iCs/>
          <w:color w:val="auto"/>
          <w:szCs w:val="24"/>
          <w:lang w:val="en-AU"/>
        </w:rPr>
      </w:pPr>
      <w:hyperlink r:id="rId12" w:history="1">
        <w:r w:rsidRPr="00276469">
          <w:rPr>
            <w:rStyle w:val="Hyperlink"/>
            <w:rFonts w:cstheme="minorHAnsi"/>
            <w:i/>
            <w:iCs/>
            <w:szCs w:val="24"/>
            <w:lang w:val="en-AU"/>
          </w:rPr>
          <w:t>Guide to Applying Australia’s Disability Strategy 2021–2031</w:t>
        </w:r>
      </w:hyperlink>
    </w:p>
    <w:p w14:paraId="5BB3339D" w14:textId="77777777" w:rsidR="007E510F" w:rsidRPr="00276469" w:rsidRDefault="007E510F" w:rsidP="00276469">
      <w:pPr>
        <w:numPr>
          <w:ilvl w:val="1"/>
          <w:numId w:val="23"/>
        </w:numPr>
        <w:suppressAutoHyphens w:val="0"/>
        <w:rPr>
          <w:rFonts w:cstheme="minorHAnsi"/>
          <w:i/>
          <w:iCs/>
          <w:color w:val="auto"/>
          <w:szCs w:val="24"/>
          <w:lang w:val="en-AU"/>
        </w:rPr>
      </w:pPr>
      <w:hyperlink r:id="rId13" w:history="1">
        <w:r w:rsidRPr="00276469">
          <w:rPr>
            <w:rStyle w:val="Hyperlink"/>
            <w:rFonts w:cstheme="minorHAnsi"/>
            <w:i/>
            <w:iCs/>
            <w:szCs w:val="24"/>
            <w:lang w:val="en-AU"/>
          </w:rPr>
          <w:t>Toolkit for Engaging with People with Disability in Evaluation</w:t>
        </w:r>
      </w:hyperlink>
    </w:p>
    <w:p w14:paraId="04CFE5DB" w14:textId="77777777" w:rsidR="007E510F" w:rsidRPr="00276469" w:rsidRDefault="007E510F" w:rsidP="00276469">
      <w:pPr>
        <w:numPr>
          <w:ilvl w:val="1"/>
          <w:numId w:val="23"/>
        </w:numPr>
        <w:suppressAutoHyphens w:val="0"/>
        <w:rPr>
          <w:rFonts w:cstheme="minorHAnsi"/>
          <w:i/>
          <w:iCs/>
          <w:color w:val="auto"/>
          <w:szCs w:val="24"/>
          <w:lang w:val="en-AU"/>
        </w:rPr>
      </w:pPr>
      <w:hyperlink r:id="rId14" w:history="1">
        <w:r w:rsidRPr="00276469">
          <w:rPr>
            <w:rStyle w:val="Hyperlink"/>
            <w:rFonts w:cstheme="minorHAnsi"/>
            <w:i/>
            <w:iCs/>
            <w:szCs w:val="24"/>
            <w:lang w:val="en-AU"/>
          </w:rPr>
          <w:t>National Agreement on Closing the Gap | Closing the Gap</w:t>
        </w:r>
      </w:hyperlink>
    </w:p>
    <w:p w14:paraId="36B1B18A" w14:textId="77777777" w:rsidR="007E510F" w:rsidRPr="00276469" w:rsidRDefault="007E510F" w:rsidP="00276469">
      <w:pPr>
        <w:numPr>
          <w:ilvl w:val="1"/>
          <w:numId w:val="23"/>
        </w:numPr>
        <w:suppressAutoHyphens w:val="0"/>
        <w:rPr>
          <w:rFonts w:cstheme="minorHAnsi"/>
          <w:i/>
          <w:iCs/>
          <w:color w:val="auto"/>
          <w:szCs w:val="24"/>
          <w:lang w:val="en-AU"/>
        </w:rPr>
      </w:pPr>
      <w:hyperlink r:id="rId15" w:history="1">
        <w:r w:rsidRPr="00276469">
          <w:rPr>
            <w:rStyle w:val="Hyperlink"/>
            <w:rFonts w:cstheme="minorHAnsi"/>
            <w:i/>
            <w:iCs/>
            <w:szCs w:val="24"/>
            <w:lang w:val="en-AU"/>
          </w:rPr>
          <w:t>Disability Sector Strengthening Plan</w:t>
        </w:r>
      </w:hyperlink>
    </w:p>
    <w:p w14:paraId="59F4D0B3" w14:textId="77777777" w:rsidR="007E510F" w:rsidRPr="00276469" w:rsidRDefault="007E510F" w:rsidP="00276469">
      <w:pPr>
        <w:numPr>
          <w:ilvl w:val="1"/>
          <w:numId w:val="23"/>
        </w:numPr>
        <w:suppressAutoHyphens w:val="0"/>
        <w:ind w:left="1434" w:hanging="357"/>
        <w:rPr>
          <w:rFonts w:cstheme="minorHAnsi"/>
          <w:i/>
          <w:iCs/>
          <w:color w:val="auto"/>
          <w:szCs w:val="24"/>
          <w:lang w:val="en-AU"/>
        </w:rPr>
      </w:pPr>
      <w:hyperlink r:id="rId16" w:history="1">
        <w:r w:rsidRPr="00276469">
          <w:rPr>
            <w:rStyle w:val="Hyperlink"/>
            <w:rFonts w:cstheme="minorHAnsi"/>
            <w:i/>
            <w:iCs/>
            <w:szCs w:val="24"/>
            <w:lang w:val="en-AU"/>
          </w:rPr>
          <w:t>Ensuring Occupations are Responsive to People with Disability</w:t>
        </w:r>
      </w:hyperlink>
    </w:p>
    <w:p w14:paraId="779CFE88" w14:textId="0ACCE0DA" w:rsidR="00073CEE" w:rsidRPr="00276469" w:rsidRDefault="00073CEE" w:rsidP="00276469">
      <w:pPr>
        <w:suppressAutoHyphens w:val="0"/>
        <w:spacing w:before="240"/>
        <w:rPr>
          <w:rFonts w:cstheme="minorHAnsi"/>
          <w:b/>
          <w:bCs/>
          <w:color w:val="auto"/>
          <w:sz w:val="32"/>
          <w:szCs w:val="32"/>
          <w:lang w:val="en-AU"/>
        </w:rPr>
      </w:pPr>
      <w:r w:rsidRPr="00276469">
        <w:rPr>
          <w:rFonts w:cstheme="minorHAnsi"/>
          <w:b/>
          <w:bCs/>
          <w:color w:val="auto"/>
          <w:sz w:val="32"/>
          <w:szCs w:val="32"/>
          <w:lang w:val="en-AU"/>
        </w:rPr>
        <w:t>ELECTORAL MATTERS</w:t>
      </w:r>
    </w:p>
    <w:p w14:paraId="41D9680D" w14:textId="7D3F11DB" w:rsidR="00073CEE" w:rsidRPr="00276469" w:rsidRDefault="00073CEE" w:rsidP="00276469">
      <w:pPr>
        <w:rPr>
          <w:rFonts w:cstheme="minorHAnsi"/>
          <w:b/>
          <w:bCs/>
          <w:color w:val="auto"/>
        </w:rPr>
      </w:pPr>
      <w:r w:rsidRPr="00276469">
        <w:rPr>
          <w:rFonts w:cstheme="minorHAnsi"/>
          <w:b/>
          <w:bCs/>
          <w:color w:val="auto"/>
        </w:rPr>
        <w:t xml:space="preserve">Candidates in elections </w:t>
      </w:r>
    </w:p>
    <w:p w14:paraId="4C799948" w14:textId="77777777" w:rsidR="00073CEE" w:rsidRPr="00276469" w:rsidRDefault="00073CEE" w:rsidP="00276469">
      <w:pPr>
        <w:rPr>
          <w:rFonts w:cstheme="minorHAnsi"/>
          <w:color w:val="auto"/>
        </w:rPr>
      </w:pPr>
      <w:r w:rsidRPr="00276469">
        <w:rPr>
          <w:rFonts w:cstheme="minorHAnsi"/>
          <w:color w:val="auto"/>
        </w:rPr>
        <w:t xml:space="preserve">The </w:t>
      </w:r>
      <w:r w:rsidRPr="00276469">
        <w:rPr>
          <w:rFonts w:cstheme="minorHAnsi"/>
          <w:i/>
          <w:iCs/>
          <w:color w:val="auto"/>
        </w:rPr>
        <w:t xml:space="preserve">Commonwealth Electoral Act 1918 </w:t>
      </w:r>
      <w:r w:rsidRPr="00276469">
        <w:rPr>
          <w:rFonts w:cstheme="minorHAnsi"/>
          <w:color w:val="auto"/>
        </w:rPr>
        <w:t xml:space="preserve">does not prohibit people with disability from standing in federal elections or holding public office. </w:t>
      </w:r>
    </w:p>
    <w:p w14:paraId="6FFA41D6" w14:textId="77777777" w:rsidR="00073CEE" w:rsidRPr="00276469" w:rsidRDefault="00073CEE" w:rsidP="00276469">
      <w:pPr>
        <w:rPr>
          <w:rFonts w:cstheme="minorHAnsi"/>
          <w:color w:val="auto"/>
        </w:rPr>
      </w:pPr>
      <w:r w:rsidRPr="00276469">
        <w:rPr>
          <w:rFonts w:cstheme="minorHAnsi"/>
          <w:color w:val="auto"/>
          <w:lang w:val="en-AU"/>
        </w:rPr>
        <w:t>The Australian Electoral Commission (AEC) does not capture data on federal election candidates with disability.</w:t>
      </w:r>
    </w:p>
    <w:p w14:paraId="6EBC910C" w14:textId="77777777" w:rsidR="00073CEE" w:rsidRPr="00276469" w:rsidRDefault="00073CEE" w:rsidP="00276469">
      <w:pPr>
        <w:keepNext/>
        <w:rPr>
          <w:rFonts w:cstheme="minorHAnsi"/>
          <w:b/>
          <w:bCs/>
          <w:color w:val="auto"/>
        </w:rPr>
      </w:pPr>
      <w:r w:rsidRPr="00276469">
        <w:rPr>
          <w:rFonts w:cstheme="minorHAnsi"/>
          <w:b/>
          <w:bCs/>
          <w:color w:val="auto"/>
        </w:rPr>
        <w:lastRenderedPageBreak/>
        <w:t xml:space="preserve">Services for electors </w:t>
      </w:r>
    </w:p>
    <w:p w14:paraId="53155F30" w14:textId="77777777" w:rsidR="00073CEE" w:rsidRPr="00276469" w:rsidRDefault="00073CEE" w:rsidP="00276469">
      <w:pPr>
        <w:keepNext/>
        <w:rPr>
          <w:rFonts w:cstheme="minorHAnsi"/>
          <w:b/>
          <w:bCs/>
          <w:i/>
          <w:iCs/>
          <w:color w:val="auto"/>
        </w:rPr>
      </w:pPr>
      <w:r w:rsidRPr="00276469">
        <w:rPr>
          <w:rFonts w:cstheme="minorHAnsi"/>
          <w:b/>
          <w:bCs/>
          <w:i/>
          <w:iCs/>
          <w:color w:val="auto"/>
        </w:rPr>
        <w:t>Supporting voter turnout with more options</w:t>
      </w:r>
    </w:p>
    <w:p w14:paraId="75F18894" w14:textId="77777777" w:rsidR="00073CEE" w:rsidRPr="00276469" w:rsidRDefault="00073CEE" w:rsidP="00276469">
      <w:pPr>
        <w:rPr>
          <w:rFonts w:cstheme="minorHAnsi"/>
          <w:color w:val="auto"/>
        </w:rPr>
      </w:pPr>
      <w:r w:rsidRPr="00276469">
        <w:rPr>
          <w:rFonts w:cstheme="minorHAnsi"/>
          <w:color w:val="auto"/>
        </w:rPr>
        <w:t xml:space="preserve">The AEC continues to increase options for voters to encourage and support maximum voter turnout at elections. </w:t>
      </w:r>
    </w:p>
    <w:p w14:paraId="4E11954B" w14:textId="77777777" w:rsidR="00073CEE" w:rsidRPr="00276469" w:rsidRDefault="00073CEE" w:rsidP="00276469">
      <w:pPr>
        <w:rPr>
          <w:rFonts w:cstheme="minorHAnsi"/>
          <w:color w:val="auto"/>
        </w:rPr>
      </w:pPr>
      <w:r w:rsidRPr="00276469">
        <w:rPr>
          <w:rFonts w:cstheme="minorHAnsi"/>
          <w:color w:val="auto"/>
        </w:rPr>
        <w:t>To inform its review of services and resource planning, the AEC engaged extensively with consumer peak bodies, service providers and advocates through various committees and working groups. The groups included the established Aged Care Advisory Working Group and Disability Advisory Committee, as well as the newly formed Mental Health Advisory Group. These groups were pivotal in identifying opportunities for improvements to enrolment and voting services and related resources. They also helped increase awareness and understanding of AEC processes across the relevant sectors to ensure voters were enrolled and supported through the voting process for the 2025 federal election.</w:t>
      </w:r>
    </w:p>
    <w:p w14:paraId="13993E15" w14:textId="77777777" w:rsidR="00073CEE" w:rsidRPr="00276469" w:rsidRDefault="00073CEE" w:rsidP="00276469">
      <w:pPr>
        <w:rPr>
          <w:rFonts w:cstheme="minorHAnsi"/>
          <w:b/>
          <w:bCs/>
          <w:i/>
          <w:iCs/>
          <w:color w:val="auto"/>
        </w:rPr>
      </w:pPr>
      <w:r w:rsidRPr="00276469">
        <w:rPr>
          <w:rFonts w:cstheme="minorHAnsi"/>
          <w:b/>
          <w:bCs/>
          <w:i/>
          <w:iCs/>
          <w:color w:val="auto"/>
        </w:rPr>
        <w:t>Improving voter equity and accessibility</w:t>
      </w:r>
    </w:p>
    <w:p w14:paraId="78EF6B51" w14:textId="77777777" w:rsidR="00073CEE" w:rsidRPr="00276469" w:rsidRDefault="00073CEE" w:rsidP="00276469">
      <w:pPr>
        <w:rPr>
          <w:rFonts w:cstheme="minorHAnsi"/>
          <w:color w:val="auto"/>
        </w:rPr>
      </w:pPr>
      <w:r w:rsidRPr="00276469">
        <w:rPr>
          <w:rFonts w:cstheme="minorHAnsi"/>
          <w:color w:val="auto"/>
        </w:rPr>
        <w:t xml:space="preserve">On 13 February 2025, the Australian Parliament passed the </w:t>
      </w:r>
      <w:r w:rsidRPr="00276469">
        <w:rPr>
          <w:rFonts w:cstheme="minorHAnsi"/>
          <w:i/>
          <w:iCs/>
          <w:color w:val="auto"/>
        </w:rPr>
        <w:t xml:space="preserve">Electoral Legislation Amendment (Electoral Reform) Act 2025 </w:t>
      </w:r>
      <w:r w:rsidRPr="00276469">
        <w:rPr>
          <w:rFonts w:cstheme="minorHAnsi"/>
          <w:color w:val="auto"/>
        </w:rPr>
        <w:t xml:space="preserve">(Electoral Reform Act). The Act implements several recommendations made by the Australian Parliaments’ multipartisan Joint Standing Committee on Electoral Matters (JSCEM) report into the conduct of the 2022 federal election, including recommendations in relation to enfranchisement of people with a disability and carers of people with a disability. </w:t>
      </w:r>
    </w:p>
    <w:p w14:paraId="13F4EB67" w14:textId="77777777" w:rsidR="00073CEE" w:rsidRPr="00276469" w:rsidRDefault="00073CEE" w:rsidP="00276469">
      <w:pPr>
        <w:rPr>
          <w:rFonts w:cstheme="minorHAnsi"/>
          <w:color w:val="auto"/>
        </w:rPr>
      </w:pPr>
      <w:r w:rsidRPr="00276469">
        <w:rPr>
          <w:rFonts w:cstheme="minorHAnsi"/>
          <w:color w:val="auto"/>
        </w:rPr>
        <w:t>The Electoral Reform Act:</w:t>
      </w:r>
    </w:p>
    <w:p w14:paraId="35F79454" w14:textId="2289F84F" w:rsidR="00073CEE" w:rsidRPr="00276469" w:rsidRDefault="00073CEE" w:rsidP="00276469">
      <w:pPr>
        <w:numPr>
          <w:ilvl w:val="0"/>
          <w:numId w:val="13"/>
        </w:numPr>
        <w:rPr>
          <w:rFonts w:cstheme="minorHAnsi"/>
          <w:color w:val="auto"/>
          <w:lang w:val="en-AU"/>
        </w:rPr>
      </w:pPr>
      <w:r w:rsidRPr="00276469">
        <w:rPr>
          <w:rFonts w:cstheme="minorHAnsi"/>
          <w:color w:val="auto"/>
          <w:lang w:val="en-AU"/>
        </w:rPr>
        <w:t>modernised the language of the Electoral Act to align with contemporary understandings of cognitive impairment</w:t>
      </w:r>
    </w:p>
    <w:p w14:paraId="7602200C" w14:textId="68E1E95E" w:rsidR="00073CEE" w:rsidRPr="00276469" w:rsidRDefault="00073CEE" w:rsidP="00276469">
      <w:pPr>
        <w:numPr>
          <w:ilvl w:val="0"/>
          <w:numId w:val="13"/>
        </w:numPr>
        <w:rPr>
          <w:rFonts w:cstheme="minorHAnsi"/>
          <w:color w:val="auto"/>
          <w:lang w:val="en-AU"/>
        </w:rPr>
      </w:pPr>
      <w:r w:rsidRPr="00276469">
        <w:rPr>
          <w:rFonts w:cstheme="minorHAnsi"/>
          <w:color w:val="auto"/>
          <w:lang w:val="en-AU"/>
        </w:rPr>
        <w:t>expanded the grounds upon which an elector can apply to be registered as a general postal voter to include an elector who is a person with a disability, or their carer</w:t>
      </w:r>
    </w:p>
    <w:p w14:paraId="4A945BC7" w14:textId="77777777" w:rsidR="00073CEE" w:rsidRPr="00276469" w:rsidRDefault="00073CEE" w:rsidP="00276469">
      <w:pPr>
        <w:numPr>
          <w:ilvl w:val="0"/>
          <w:numId w:val="13"/>
        </w:numPr>
        <w:rPr>
          <w:rFonts w:cstheme="minorHAnsi"/>
          <w:color w:val="auto"/>
          <w:lang w:val="en-AU"/>
        </w:rPr>
      </w:pPr>
      <w:r w:rsidRPr="00276469">
        <w:rPr>
          <w:rFonts w:cstheme="minorHAnsi"/>
          <w:color w:val="auto"/>
          <w:lang w:val="en-AU"/>
        </w:rPr>
        <w:t>expanded the grounds upon which an elector who is a person with a disability, or their carer, can apply for a postal vote or pre-poll vote.</w:t>
      </w:r>
    </w:p>
    <w:p w14:paraId="3891BF07" w14:textId="77777777" w:rsidR="00073CEE" w:rsidRPr="00276469" w:rsidRDefault="00073CEE" w:rsidP="00276469">
      <w:pPr>
        <w:rPr>
          <w:rFonts w:cstheme="minorHAnsi"/>
          <w:color w:val="auto"/>
        </w:rPr>
      </w:pPr>
      <w:r w:rsidRPr="00276469">
        <w:rPr>
          <w:rFonts w:cstheme="minorHAnsi"/>
          <w:color w:val="auto"/>
        </w:rPr>
        <w:t>The AEC has a long history of working with the disability community to improve equity of access and support active participation in electoral services and events.</w:t>
      </w:r>
    </w:p>
    <w:p w14:paraId="4A5A524C" w14:textId="77777777" w:rsidR="00073CEE" w:rsidRPr="00276469" w:rsidRDefault="00073CEE" w:rsidP="00276469">
      <w:pPr>
        <w:rPr>
          <w:rFonts w:cstheme="minorHAnsi"/>
          <w:color w:val="auto"/>
        </w:rPr>
      </w:pPr>
      <w:r w:rsidRPr="00276469">
        <w:rPr>
          <w:rFonts w:cstheme="minorHAnsi"/>
          <w:color w:val="auto"/>
        </w:rPr>
        <w:t xml:space="preserve">As well as publishing details about polling place accessibility, the AEC provides a virtual </w:t>
      </w:r>
      <w:proofErr w:type="spellStart"/>
      <w:r w:rsidRPr="00276469">
        <w:rPr>
          <w:rFonts w:cstheme="minorHAnsi"/>
          <w:color w:val="auto"/>
        </w:rPr>
        <w:t>Auslan</w:t>
      </w:r>
      <w:proofErr w:type="spellEnd"/>
      <w:r w:rsidRPr="00276469">
        <w:rPr>
          <w:rFonts w:cstheme="minorHAnsi"/>
          <w:color w:val="auto"/>
        </w:rPr>
        <w:t xml:space="preserve"> interpreter service at every polling place. The AEC also provides hearing loops and text-to-speech pens at selected polling places in each electorate.</w:t>
      </w:r>
    </w:p>
    <w:p w14:paraId="061416E3" w14:textId="77777777" w:rsidR="00073CEE" w:rsidRPr="00276469" w:rsidRDefault="00073CEE" w:rsidP="00276469">
      <w:pPr>
        <w:rPr>
          <w:rFonts w:cstheme="minorHAnsi"/>
          <w:color w:val="auto"/>
        </w:rPr>
      </w:pPr>
      <w:r w:rsidRPr="00276469">
        <w:rPr>
          <w:rFonts w:cstheme="minorHAnsi"/>
          <w:color w:val="auto"/>
        </w:rPr>
        <w:t xml:space="preserve">The AEC supports people who are in a polling place carpark but unable to enter to vote. AEC staff witness this process to meet legislative requirements. </w:t>
      </w:r>
    </w:p>
    <w:p w14:paraId="4BBEBDCF" w14:textId="77777777" w:rsidR="00073CEE" w:rsidRPr="00276469" w:rsidRDefault="00073CEE" w:rsidP="00276469">
      <w:pPr>
        <w:rPr>
          <w:rFonts w:cstheme="minorHAnsi"/>
          <w:color w:val="auto"/>
        </w:rPr>
      </w:pPr>
      <w:r w:rsidRPr="00276469">
        <w:rPr>
          <w:rFonts w:cstheme="minorHAnsi"/>
          <w:color w:val="auto"/>
        </w:rPr>
        <w:t>Telephone voting is available for people who are blind or have low vision and for voters in Antarctica. The service allows voters to register and vote in secret from any location without attending an AEC office or polling place.</w:t>
      </w:r>
    </w:p>
    <w:p w14:paraId="6F8482A4" w14:textId="77777777" w:rsidR="00073CEE" w:rsidRPr="00276469" w:rsidRDefault="00073CEE" w:rsidP="00276469">
      <w:pPr>
        <w:rPr>
          <w:rFonts w:cstheme="minorHAnsi"/>
          <w:color w:val="auto"/>
        </w:rPr>
      </w:pPr>
      <w:r w:rsidRPr="00276469">
        <w:rPr>
          <w:rFonts w:cstheme="minorHAnsi"/>
          <w:color w:val="auto"/>
        </w:rPr>
        <w:t xml:space="preserve">If voters will be unable to get to a polling place on polling day, they can apply for a postal vote once an election is announced. People with disability and those caring for them can also apply to become a general postal voter to automatically receive ballot papers in the mail for every federal election. </w:t>
      </w:r>
    </w:p>
    <w:p w14:paraId="4994C29E" w14:textId="77777777" w:rsidR="00073CEE" w:rsidRPr="00276469" w:rsidRDefault="00073CEE" w:rsidP="00276469">
      <w:pPr>
        <w:rPr>
          <w:rFonts w:cstheme="minorHAnsi"/>
          <w:color w:val="auto"/>
        </w:rPr>
      </w:pPr>
      <w:r w:rsidRPr="00276469">
        <w:rPr>
          <w:rFonts w:cstheme="minorHAnsi"/>
          <w:color w:val="auto"/>
        </w:rPr>
        <w:lastRenderedPageBreak/>
        <w:t>To assist all voters, including people with disability, the AEC’s website and Online Enrolment system meet accessibility standards to help people enrol to vote. This includes easy read guides and listening to the website through text to speech.</w:t>
      </w:r>
    </w:p>
    <w:p w14:paraId="6AFAF6BF" w14:textId="77777777" w:rsidR="00073CEE" w:rsidRPr="00276469" w:rsidRDefault="00073CEE" w:rsidP="00276469">
      <w:pPr>
        <w:rPr>
          <w:rFonts w:cstheme="minorHAnsi"/>
          <w:b/>
          <w:bCs/>
          <w:i/>
          <w:iCs/>
          <w:color w:val="auto"/>
        </w:rPr>
      </w:pPr>
      <w:r w:rsidRPr="00276469">
        <w:rPr>
          <w:rFonts w:cstheme="minorHAnsi"/>
          <w:b/>
          <w:bCs/>
          <w:i/>
          <w:iCs/>
          <w:color w:val="auto"/>
        </w:rPr>
        <w:t>AEC Disability Advisory Committee</w:t>
      </w:r>
    </w:p>
    <w:p w14:paraId="38D8E4F0" w14:textId="77777777" w:rsidR="00073CEE" w:rsidRPr="00276469" w:rsidRDefault="00073CEE" w:rsidP="00276469">
      <w:pPr>
        <w:rPr>
          <w:rFonts w:cstheme="minorHAnsi"/>
          <w:color w:val="auto"/>
        </w:rPr>
      </w:pPr>
      <w:r w:rsidRPr="00276469">
        <w:rPr>
          <w:rFonts w:cstheme="minorHAnsi"/>
          <w:color w:val="auto"/>
        </w:rPr>
        <w:t>The AEC Disability Advisory Committee promotes greater accessibility, inclusion and participation in the electoral process by people with disability. The committee’s role is to:</w:t>
      </w:r>
    </w:p>
    <w:p w14:paraId="73D3A639" w14:textId="77777777" w:rsidR="00073CEE" w:rsidRPr="00276469" w:rsidRDefault="00073CEE" w:rsidP="00276469">
      <w:pPr>
        <w:numPr>
          <w:ilvl w:val="0"/>
          <w:numId w:val="14"/>
        </w:numPr>
        <w:rPr>
          <w:rFonts w:cstheme="minorHAnsi"/>
          <w:color w:val="auto"/>
          <w:lang w:val="en-AU"/>
        </w:rPr>
      </w:pPr>
      <w:r w:rsidRPr="00276469">
        <w:rPr>
          <w:rFonts w:cstheme="minorHAnsi"/>
          <w:color w:val="auto"/>
          <w:lang w:val="en-AU"/>
        </w:rPr>
        <w:t>seek feedback from Australian disability peak organisations on AEC service offerings</w:t>
      </w:r>
    </w:p>
    <w:p w14:paraId="199CCD26" w14:textId="77777777" w:rsidR="00073CEE" w:rsidRPr="00276469" w:rsidRDefault="00073CEE" w:rsidP="00276469">
      <w:pPr>
        <w:numPr>
          <w:ilvl w:val="0"/>
          <w:numId w:val="14"/>
        </w:numPr>
        <w:rPr>
          <w:rFonts w:cstheme="minorHAnsi"/>
          <w:color w:val="auto"/>
          <w:lang w:val="en-AU"/>
        </w:rPr>
      </w:pPr>
      <w:r w:rsidRPr="00276469">
        <w:rPr>
          <w:rFonts w:cstheme="minorHAnsi"/>
          <w:color w:val="auto"/>
          <w:lang w:val="en-AU"/>
        </w:rPr>
        <w:t>understand new and emerging issues of concern for people with disability</w:t>
      </w:r>
    </w:p>
    <w:p w14:paraId="2F76E8C6" w14:textId="77777777" w:rsidR="00073CEE" w:rsidRPr="00276469" w:rsidRDefault="00073CEE" w:rsidP="00276469">
      <w:pPr>
        <w:numPr>
          <w:ilvl w:val="0"/>
          <w:numId w:val="14"/>
        </w:numPr>
        <w:rPr>
          <w:rFonts w:cstheme="minorHAnsi"/>
          <w:color w:val="auto"/>
          <w:lang w:val="en-AU"/>
        </w:rPr>
      </w:pPr>
      <w:r w:rsidRPr="00276469">
        <w:rPr>
          <w:rFonts w:cstheme="minorHAnsi"/>
          <w:color w:val="auto"/>
          <w:lang w:val="en-AU"/>
        </w:rPr>
        <w:t>collaborate with Electoral Council of Australia and New Zealand partners in the delivery of accessible electoral services across jurisdictions</w:t>
      </w:r>
    </w:p>
    <w:p w14:paraId="7FCCAFB8" w14:textId="77777777" w:rsidR="00073CEE" w:rsidRPr="00276469" w:rsidRDefault="00073CEE" w:rsidP="00276469">
      <w:pPr>
        <w:numPr>
          <w:ilvl w:val="0"/>
          <w:numId w:val="14"/>
        </w:numPr>
        <w:rPr>
          <w:rFonts w:cstheme="minorHAnsi"/>
          <w:color w:val="auto"/>
          <w:lang w:val="en-AU"/>
        </w:rPr>
      </w:pPr>
      <w:r w:rsidRPr="00276469">
        <w:rPr>
          <w:rFonts w:cstheme="minorHAnsi"/>
          <w:color w:val="auto"/>
          <w:lang w:val="en-AU"/>
        </w:rPr>
        <w:t>learn about initiatives being developed in other sectors for people with disability</w:t>
      </w:r>
    </w:p>
    <w:p w14:paraId="6A7E2418" w14:textId="77777777" w:rsidR="00073CEE" w:rsidRPr="00276469" w:rsidRDefault="00073CEE" w:rsidP="00276469">
      <w:pPr>
        <w:numPr>
          <w:ilvl w:val="0"/>
          <w:numId w:val="14"/>
        </w:numPr>
        <w:rPr>
          <w:rFonts w:cstheme="minorHAnsi"/>
          <w:color w:val="auto"/>
          <w:lang w:val="en-AU"/>
        </w:rPr>
      </w:pPr>
      <w:r w:rsidRPr="00276469">
        <w:rPr>
          <w:rFonts w:cstheme="minorHAnsi"/>
          <w:color w:val="auto"/>
          <w:lang w:val="en-AU"/>
        </w:rPr>
        <w:t>promote relevant AEC initiatives to their members.</w:t>
      </w:r>
    </w:p>
    <w:p w14:paraId="043BAF79" w14:textId="77777777" w:rsidR="00073CEE" w:rsidRPr="00276469" w:rsidRDefault="00073CEE" w:rsidP="00276469">
      <w:pPr>
        <w:rPr>
          <w:rFonts w:cstheme="minorHAnsi"/>
          <w:color w:val="auto"/>
        </w:rPr>
      </w:pPr>
      <w:r w:rsidRPr="00276469">
        <w:rPr>
          <w:rFonts w:cstheme="minorHAnsi"/>
          <w:color w:val="auto"/>
        </w:rPr>
        <w:t>The committee comprises:</w:t>
      </w:r>
    </w:p>
    <w:p w14:paraId="00C76703" w14:textId="77777777" w:rsidR="00073CEE" w:rsidRPr="00276469" w:rsidRDefault="00073CEE" w:rsidP="00276469">
      <w:pPr>
        <w:numPr>
          <w:ilvl w:val="0"/>
          <w:numId w:val="15"/>
        </w:numPr>
        <w:rPr>
          <w:rFonts w:cstheme="minorHAnsi"/>
          <w:color w:val="auto"/>
          <w:lang w:val="en-AU"/>
        </w:rPr>
      </w:pPr>
      <w:r w:rsidRPr="00276469">
        <w:rPr>
          <w:rFonts w:cstheme="minorHAnsi"/>
          <w:color w:val="auto"/>
          <w:lang w:val="en-AU"/>
        </w:rPr>
        <w:t>AEC (chair)</w:t>
      </w:r>
    </w:p>
    <w:p w14:paraId="7CC79E73" w14:textId="77777777" w:rsidR="00073CEE" w:rsidRPr="00276469" w:rsidRDefault="00073CEE" w:rsidP="00276469">
      <w:pPr>
        <w:numPr>
          <w:ilvl w:val="0"/>
          <w:numId w:val="15"/>
        </w:numPr>
        <w:rPr>
          <w:rFonts w:cstheme="minorHAnsi"/>
          <w:color w:val="auto"/>
          <w:lang w:val="en-AU"/>
        </w:rPr>
      </w:pPr>
      <w:r w:rsidRPr="00276469">
        <w:rPr>
          <w:rFonts w:cstheme="minorHAnsi"/>
          <w:color w:val="auto"/>
          <w:lang w:val="en-AU"/>
        </w:rPr>
        <w:t>Disability peak bodies:</w:t>
      </w:r>
    </w:p>
    <w:p w14:paraId="1116A31C"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Australian Federation of Disability Organisations</w:t>
      </w:r>
    </w:p>
    <w:p w14:paraId="2C7C1575"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Blind Citizens Australia</w:t>
      </w:r>
    </w:p>
    <w:p w14:paraId="2F4FEA65"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Deaf Australia</w:t>
      </w:r>
    </w:p>
    <w:p w14:paraId="27DFE3B5"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National Ethnic Disability Alliance</w:t>
      </w:r>
    </w:p>
    <w:p w14:paraId="532F6760"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Council for Intellectual Disability</w:t>
      </w:r>
    </w:p>
    <w:p w14:paraId="5C9DB8CC"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People with Disability Australia</w:t>
      </w:r>
    </w:p>
    <w:p w14:paraId="29C74BAB"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Vision Australia</w:t>
      </w:r>
    </w:p>
    <w:p w14:paraId="5DAEA5A1" w14:textId="77777777" w:rsidR="00073CEE" w:rsidRPr="00276469" w:rsidRDefault="00073CEE" w:rsidP="00276469">
      <w:pPr>
        <w:numPr>
          <w:ilvl w:val="0"/>
          <w:numId w:val="15"/>
        </w:numPr>
        <w:rPr>
          <w:rFonts w:cstheme="minorHAnsi"/>
          <w:color w:val="auto"/>
          <w:lang w:val="en-AU"/>
        </w:rPr>
      </w:pPr>
      <w:r w:rsidRPr="00276469">
        <w:rPr>
          <w:rFonts w:cstheme="minorHAnsi"/>
          <w:color w:val="auto"/>
          <w:lang w:val="en-AU"/>
        </w:rPr>
        <w:t>Government agencies</w:t>
      </w:r>
    </w:p>
    <w:p w14:paraId="1014E869"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Australian Human Rights Commission</w:t>
      </w:r>
    </w:p>
    <w:p w14:paraId="0D24AC3C" w14:textId="77777777" w:rsidR="00073CEE" w:rsidRPr="00276469" w:rsidRDefault="00073CEE" w:rsidP="00276469">
      <w:pPr>
        <w:numPr>
          <w:ilvl w:val="1"/>
          <w:numId w:val="15"/>
        </w:numPr>
        <w:rPr>
          <w:rFonts w:cstheme="minorHAnsi"/>
          <w:color w:val="auto"/>
          <w:lang w:val="en-AU"/>
        </w:rPr>
      </w:pPr>
      <w:r w:rsidRPr="00276469">
        <w:rPr>
          <w:rFonts w:cstheme="minorHAnsi"/>
          <w:color w:val="auto"/>
          <w:lang w:val="en-AU"/>
        </w:rPr>
        <w:t>National Disability Insurance Agency</w:t>
      </w:r>
    </w:p>
    <w:p w14:paraId="52F03417" w14:textId="77777777" w:rsidR="00073CEE" w:rsidRPr="00276469" w:rsidRDefault="00073CEE" w:rsidP="00276469">
      <w:pPr>
        <w:numPr>
          <w:ilvl w:val="0"/>
          <w:numId w:val="15"/>
        </w:numPr>
        <w:rPr>
          <w:rFonts w:cstheme="minorHAnsi"/>
          <w:color w:val="auto"/>
          <w:lang w:val="en-AU"/>
        </w:rPr>
      </w:pPr>
      <w:r w:rsidRPr="00276469">
        <w:rPr>
          <w:rFonts w:cstheme="minorHAnsi"/>
          <w:color w:val="auto"/>
          <w:lang w:val="en-AU"/>
        </w:rPr>
        <w:t>Electoral Council of Australia and New Zealand, which includes the state and territory electoral commissions and the New Zealand Electoral Commission.</w:t>
      </w:r>
    </w:p>
    <w:p w14:paraId="640B3C55" w14:textId="77777777" w:rsidR="00073CEE" w:rsidRPr="00276469" w:rsidRDefault="00073CEE" w:rsidP="00276469">
      <w:pPr>
        <w:rPr>
          <w:rFonts w:cstheme="minorHAnsi"/>
          <w:b/>
          <w:bCs/>
          <w:i/>
          <w:iCs/>
          <w:color w:val="auto"/>
        </w:rPr>
      </w:pPr>
      <w:r w:rsidRPr="00276469">
        <w:rPr>
          <w:rFonts w:cstheme="minorHAnsi"/>
          <w:b/>
          <w:bCs/>
          <w:i/>
          <w:iCs/>
          <w:color w:val="auto"/>
        </w:rPr>
        <w:t>2025 federal election – greater equity of access</w:t>
      </w:r>
    </w:p>
    <w:p w14:paraId="1E166AE3" w14:textId="77777777" w:rsidR="00073CEE" w:rsidRPr="00276469" w:rsidRDefault="00073CEE" w:rsidP="00276469">
      <w:pPr>
        <w:rPr>
          <w:rFonts w:cstheme="minorHAnsi"/>
          <w:color w:val="auto"/>
        </w:rPr>
      </w:pPr>
      <w:r w:rsidRPr="00276469">
        <w:rPr>
          <w:rFonts w:cstheme="minorHAnsi"/>
          <w:color w:val="auto"/>
        </w:rPr>
        <w:t xml:space="preserve">The AEC prioritises supporting electoral participation for all Australians including improving access for voters with barriers to participation. </w:t>
      </w:r>
    </w:p>
    <w:p w14:paraId="5D0F506B" w14:textId="77777777" w:rsidR="00073CEE" w:rsidRPr="00276469" w:rsidRDefault="00073CEE" w:rsidP="00276469">
      <w:pPr>
        <w:rPr>
          <w:rFonts w:cstheme="minorHAnsi"/>
          <w:color w:val="auto"/>
        </w:rPr>
      </w:pPr>
      <w:r w:rsidRPr="00276469">
        <w:rPr>
          <w:rFonts w:cstheme="minorHAnsi"/>
          <w:color w:val="auto"/>
        </w:rPr>
        <w:t xml:space="preserve">In the lead-up to the 2025 federal election, the AEC continued to engage the Disability Advisory Committee. Three working groups were established to co-design education materials for people with cognitive and intellectual disability, uplift our </w:t>
      </w:r>
      <w:proofErr w:type="spellStart"/>
      <w:r w:rsidRPr="00276469">
        <w:rPr>
          <w:rFonts w:cstheme="minorHAnsi"/>
          <w:color w:val="auto"/>
        </w:rPr>
        <w:t>Auslan</w:t>
      </w:r>
      <w:proofErr w:type="spellEnd"/>
      <w:r w:rsidRPr="00276469">
        <w:rPr>
          <w:rFonts w:cstheme="minorHAnsi"/>
          <w:color w:val="auto"/>
        </w:rPr>
        <w:t xml:space="preserve"> resources, and consider polling place accessibility.</w:t>
      </w:r>
    </w:p>
    <w:p w14:paraId="2F8CFD6D" w14:textId="77777777" w:rsidR="00073CEE" w:rsidRPr="00276469" w:rsidRDefault="00073CEE" w:rsidP="00276469">
      <w:pPr>
        <w:rPr>
          <w:rFonts w:cstheme="minorHAnsi"/>
          <w:i/>
          <w:iCs/>
          <w:color w:val="auto"/>
        </w:rPr>
      </w:pPr>
      <w:r w:rsidRPr="00276469">
        <w:rPr>
          <w:rFonts w:cstheme="minorHAnsi"/>
          <w:i/>
          <w:iCs/>
          <w:color w:val="auto"/>
        </w:rPr>
        <w:lastRenderedPageBreak/>
        <w:t xml:space="preserve">Services </w:t>
      </w:r>
    </w:p>
    <w:p w14:paraId="4EE30F4B" w14:textId="77777777" w:rsidR="00073CEE" w:rsidRPr="00276469" w:rsidRDefault="00073CEE" w:rsidP="00276469">
      <w:pPr>
        <w:rPr>
          <w:rFonts w:cstheme="minorHAnsi"/>
          <w:color w:val="auto"/>
        </w:rPr>
      </w:pPr>
      <w:r w:rsidRPr="00276469">
        <w:rPr>
          <w:rFonts w:cstheme="minorHAnsi"/>
          <w:color w:val="auto"/>
        </w:rPr>
        <w:t xml:space="preserve">For the election, the AEC delivered greater equity of access and more safe and appropriate services through: </w:t>
      </w:r>
    </w:p>
    <w:p w14:paraId="77CEA222" w14:textId="77777777" w:rsidR="00073CEE" w:rsidRPr="00276469" w:rsidRDefault="00073CEE" w:rsidP="00276469">
      <w:pPr>
        <w:numPr>
          <w:ilvl w:val="0"/>
          <w:numId w:val="16"/>
        </w:numPr>
        <w:rPr>
          <w:rFonts w:cstheme="minorHAnsi"/>
          <w:color w:val="auto"/>
          <w:lang w:val="en-AU"/>
        </w:rPr>
      </w:pPr>
      <w:r w:rsidRPr="00276469">
        <w:rPr>
          <w:rFonts w:cstheme="minorHAnsi"/>
          <w:color w:val="auto"/>
          <w:lang w:val="en-AU"/>
        </w:rPr>
        <w:t>a review of polling place accessibility, which saw an increase in the proportion of premises rated as either fully wheelchair accessible or accessible with assistance, rising from 84.7 per cent to 91.2 per cent</w:t>
      </w:r>
    </w:p>
    <w:p w14:paraId="4D2EF626" w14:textId="77777777" w:rsidR="00073CEE" w:rsidRPr="00276469" w:rsidRDefault="00073CEE" w:rsidP="00276469">
      <w:pPr>
        <w:numPr>
          <w:ilvl w:val="0"/>
          <w:numId w:val="16"/>
        </w:numPr>
        <w:rPr>
          <w:rFonts w:cstheme="minorHAnsi"/>
          <w:color w:val="auto"/>
          <w:lang w:val="en-AU"/>
        </w:rPr>
      </w:pPr>
      <w:r w:rsidRPr="00276469">
        <w:rPr>
          <w:rFonts w:cstheme="minorHAnsi"/>
          <w:color w:val="auto"/>
          <w:lang w:val="en-AU"/>
        </w:rPr>
        <w:t xml:space="preserve">an increased mobile voting service offering for older Australians, people with disability, First Nations peoples, mental health residents, prisoners, people experiencing homelessness and hospital in-patients </w:t>
      </w:r>
    </w:p>
    <w:p w14:paraId="1DA5FD21" w14:textId="77777777" w:rsidR="00073CEE" w:rsidRPr="00276469" w:rsidRDefault="00073CEE" w:rsidP="00276469">
      <w:pPr>
        <w:numPr>
          <w:ilvl w:val="0"/>
          <w:numId w:val="16"/>
        </w:numPr>
        <w:rPr>
          <w:rFonts w:cstheme="minorHAnsi"/>
          <w:color w:val="auto"/>
          <w:lang w:val="en-AU"/>
        </w:rPr>
      </w:pPr>
      <w:r w:rsidRPr="00276469">
        <w:rPr>
          <w:rFonts w:cstheme="minorHAnsi"/>
          <w:color w:val="auto"/>
          <w:lang w:val="en-AU"/>
        </w:rPr>
        <w:t>an online learning course for our mobile teams, developed in consultation with expert working groups and focused on inclusive and respectful service to voters including supporting voters with disability</w:t>
      </w:r>
    </w:p>
    <w:p w14:paraId="03EC8EFE" w14:textId="77777777" w:rsidR="00073CEE" w:rsidRPr="00276469" w:rsidRDefault="00073CEE" w:rsidP="00276469">
      <w:pPr>
        <w:numPr>
          <w:ilvl w:val="0"/>
          <w:numId w:val="16"/>
        </w:numPr>
        <w:rPr>
          <w:rFonts w:cstheme="minorHAnsi"/>
          <w:color w:val="auto"/>
          <w:lang w:val="en-AU"/>
        </w:rPr>
      </w:pPr>
      <w:r w:rsidRPr="00276469">
        <w:rPr>
          <w:rFonts w:cstheme="minorHAnsi"/>
          <w:color w:val="auto"/>
          <w:lang w:val="en-AU"/>
        </w:rPr>
        <w:t xml:space="preserve">enhanced remote voter services for people in remote and very remote Australia </w:t>
      </w:r>
    </w:p>
    <w:p w14:paraId="3BC5869E" w14:textId="3C341B5E" w:rsidR="007E510F" w:rsidRPr="00276469" w:rsidRDefault="00073CEE" w:rsidP="00276469">
      <w:pPr>
        <w:numPr>
          <w:ilvl w:val="0"/>
          <w:numId w:val="16"/>
        </w:numPr>
        <w:rPr>
          <w:rFonts w:cstheme="minorHAnsi"/>
          <w:color w:val="auto"/>
          <w:lang w:val="en-AU"/>
        </w:rPr>
      </w:pPr>
      <w:r w:rsidRPr="00276469">
        <w:rPr>
          <w:rFonts w:cstheme="minorHAnsi"/>
          <w:color w:val="auto"/>
          <w:lang w:val="en-AU"/>
        </w:rPr>
        <w:t>a partnership with Services Australia to provide telephone voting for electors who are blind or have low vision, and electors working in Antarctica, with over 2,300 people casting their vote via this secure telephone voting service.</w:t>
      </w:r>
    </w:p>
    <w:p w14:paraId="3174288B" w14:textId="5FB19C49" w:rsidR="00073CEE" w:rsidRPr="00276469" w:rsidRDefault="00073CEE" w:rsidP="00276469">
      <w:pPr>
        <w:rPr>
          <w:rFonts w:cstheme="minorHAnsi"/>
          <w:i/>
          <w:iCs/>
          <w:color w:val="auto"/>
        </w:rPr>
      </w:pPr>
      <w:r w:rsidRPr="00276469">
        <w:rPr>
          <w:rFonts w:cstheme="minorHAnsi"/>
          <w:i/>
          <w:iCs/>
          <w:color w:val="auto"/>
        </w:rPr>
        <w:t xml:space="preserve">Information </w:t>
      </w:r>
    </w:p>
    <w:p w14:paraId="50442D58" w14:textId="77777777" w:rsidR="00073CEE" w:rsidRPr="00276469" w:rsidRDefault="00073CEE" w:rsidP="00276469">
      <w:pPr>
        <w:rPr>
          <w:rFonts w:cstheme="minorHAnsi"/>
          <w:color w:val="auto"/>
        </w:rPr>
      </w:pPr>
      <w:r w:rsidRPr="00276469">
        <w:rPr>
          <w:rFonts w:cstheme="minorHAnsi"/>
          <w:color w:val="auto"/>
        </w:rPr>
        <w:t>The AEC provided accessible information and services to support the participation of voters with disability.</w:t>
      </w:r>
    </w:p>
    <w:p w14:paraId="628C626E" w14:textId="77777777" w:rsidR="00073CEE" w:rsidRPr="00276469" w:rsidRDefault="00073CEE" w:rsidP="00276469">
      <w:pPr>
        <w:rPr>
          <w:rFonts w:cstheme="minorHAnsi"/>
          <w:color w:val="auto"/>
        </w:rPr>
      </w:pPr>
      <w:r w:rsidRPr="00276469">
        <w:rPr>
          <w:rFonts w:cstheme="minorHAnsi"/>
          <w:color w:val="auto"/>
        </w:rPr>
        <w:t>New resources were produced in accessible formats:</w:t>
      </w:r>
    </w:p>
    <w:p w14:paraId="3EA91185" w14:textId="77777777" w:rsidR="00073CEE" w:rsidRPr="00276469" w:rsidRDefault="00073CEE" w:rsidP="00276469">
      <w:pPr>
        <w:numPr>
          <w:ilvl w:val="0"/>
          <w:numId w:val="17"/>
        </w:numPr>
        <w:rPr>
          <w:rFonts w:cstheme="minorHAnsi"/>
          <w:color w:val="auto"/>
          <w:lang w:val="en-AU"/>
        </w:rPr>
      </w:pPr>
      <w:r w:rsidRPr="00276469">
        <w:rPr>
          <w:rFonts w:cstheme="minorHAnsi"/>
          <w:color w:val="auto"/>
          <w:lang w:val="en-AU"/>
        </w:rPr>
        <w:t xml:space="preserve">four videos in </w:t>
      </w:r>
      <w:proofErr w:type="spellStart"/>
      <w:r w:rsidRPr="00276469">
        <w:rPr>
          <w:rFonts w:cstheme="minorHAnsi"/>
          <w:color w:val="auto"/>
          <w:lang w:val="en-AU"/>
        </w:rPr>
        <w:t>Auslan</w:t>
      </w:r>
      <w:proofErr w:type="spellEnd"/>
      <w:r w:rsidRPr="00276469">
        <w:rPr>
          <w:rFonts w:cstheme="minorHAnsi"/>
          <w:color w:val="auto"/>
          <w:lang w:val="en-AU"/>
        </w:rPr>
        <w:t xml:space="preserve"> (</w:t>
      </w:r>
      <w:r w:rsidRPr="00276469">
        <w:rPr>
          <w:rFonts w:cstheme="minorHAnsi"/>
          <w:i/>
          <w:iCs/>
          <w:color w:val="auto"/>
          <w:lang w:val="en-AU"/>
        </w:rPr>
        <w:t xml:space="preserve">Why </w:t>
      </w:r>
      <w:proofErr w:type="gramStart"/>
      <w:r w:rsidRPr="00276469">
        <w:rPr>
          <w:rFonts w:cstheme="minorHAnsi"/>
          <w:i/>
          <w:iCs/>
          <w:color w:val="auto"/>
          <w:lang w:val="en-AU"/>
        </w:rPr>
        <w:t>vote?</w:t>
      </w:r>
      <w:r w:rsidRPr="00276469">
        <w:rPr>
          <w:rFonts w:cstheme="minorHAnsi"/>
          <w:color w:val="auto"/>
          <w:lang w:val="en-AU"/>
        </w:rPr>
        <w:t>,</w:t>
      </w:r>
      <w:proofErr w:type="gramEnd"/>
      <w:r w:rsidRPr="00276469">
        <w:rPr>
          <w:rFonts w:cstheme="minorHAnsi"/>
          <w:color w:val="auto"/>
          <w:lang w:val="en-AU"/>
        </w:rPr>
        <w:t xml:space="preserve"> </w:t>
      </w:r>
      <w:r w:rsidRPr="00276469">
        <w:rPr>
          <w:rFonts w:cstheme="minorHAnsi"/>
          <w:i/>
          <w:iCs/>
          <w:color w:val="auto"/>
          <w:lang w:val="en-AU"/>
        </w:rPr>
        <w:t>Enrolling to vote</w:t>
      </w:r>
      <w:r w:rsidRPr="00276469">
        <w:rPr>
          <w:rFonts w:cstheme="minorHAnsi"/>
          <w:color w:val="auto"/>
          <w:lang w:val="en-AU"/>
        </w:rPr>
        <w:t xml:space="preserve">, </w:t>
      </w:r>
      <w:proofErr w:type="gramStart"/>
      <w:r w:rsidRPr="00276469">
        <w:rPr>
          <w:rFonts w:cstheme="minorHAnsi"/>
          <w:i/>
          <w:iCs/>
          <w:color w:val="auto"/>
          <w:lang w:val="en-AU"/>
        </w:rPr>
        <w:t>Voting</w:t>
      </w:r>
      <w:proofErr w:type="gramEnd"/>
      <w:r w:rsidRPr="00276469">
        <w:rPr>
          <w:rFonts w:cstheme="minorHAnsi"/>
          <w:i/>
          <w:iCs/>
          <w:color w:val="auto"/>
          <w:lang w:val="en-AU"/>
        </w:rPr>
        <w:t xml:space="preserve"> services</w:t>
      </w:r>
      <w:r w:rsidRPr="00276469">
        <w:rPr>
          <w:rFonts w:cstheme="minorHAnsi"/>
          <w:color w:val="auto"/>
          <w:lang w:val="en-AU"/>
        </w:rPr>
        <w:t>, and</w:t>
      </w:r>
      <w:r w:rsidRPr="00276469">
        <w:rPr>
          <w:rFonts w:cstheme="minorHAnsi"/>
          <w:i/>
          <w:iCs/>
          <w:color w:val="auto"/>
          <w:lang w:val="en-AU"/>
        </w:rPr>
        <w:t xml:space="preserve"> </w:t>
      </w:r>
      <w:proofErr w:type="gramStart"/>
      <w:r w:rsidRPr="00276469">
        <w:rPr>
          <w:rFonts w:cstheme="minorHAnsi"/>
          <w:i/>
          <w:iCs/>
          <w:color w:val="auto"/>
          <w:lang w:val="en-AU"/>
        </w:rPr>
        <w:t>How</w:t>
      </w:r>
      <w:proofErr w:type="gramEnd"/>
      <w:r w:rsidRPr="00276469">
        <w:rPr>
          <w:rFonts w:cstheme="minorHAnsi"/>
          <w:i/>
          <w:iCs/>
          <w:color w:val="auto"/>
          <w:lang w:val="en-AU"/>
        </w:rPr>
        <w:t xml:space="preserve"> to complete ballot papers</w:t>
      </w:r>
      <w:r w:rsidRPr="00276469">
        <w:rPr>
          <w:rFonts w:cstheme="minorHAnsi"/>
          <w:color w:val="auto"/>
          <w:lang w:val="en-AU"/>
        </w:rPr>
        <w:t>)</w:t>
      </w:r>
    </w:p>
    <w:p w14:paraId="7711E2F2" w14:textId="77777777" w:rsidR="00073CEE" w:rsidRPr="00276469" w:rsidRDefault="00073CEE" w:rsidP="00276469">
      <w:pPr>
        <w:numPr>
          <w:ilvl w:val="0"/>
          <w:numId w:val="17"/>
        </w:numPr>
        <w:rPr>
          <w:rFonts w:cstheme="minorHAnsi"/>
          <w:color w:val="auto"/>
          <w:lang w:val="en-AU"/>
        </w:rPr>
      </w:pPr>
      <w:r w:rsidRPr="00276469">
        <w:rPr>
          <w:rFonts w:cstheme="minorHAnsi"/>
          <w:color w:val="auto"/>
          <w:lang w:val="en-AU"/>
        </w:rPr>
        <w:t>two social stories on voting at a polling place or by mail, in written and video formats</w:t>
      </w:r>
    </w:p>
    <w:p w14:paraId="043C50A2" w14:textId="77777777" w:rsidR="00073CEE" w:rsidRPr="00276469" w:rsidRDefault="00073CEE" w:rsidP="00276469">
      <w:pPr>
        <w:numPr>
          <w:ilvl w:val="0"/>
          <w:numId w:val="17"/>
        </w:numPr>
        <w:rPr>
          <w:rFonts w:cstheme="minorHAnsi"/>
          <w:color w:val="auto"/>
          <w:lang w:val="en-AU"/>
        </w:rPr>
      </w:pPr>
      <w:r w:rsidRPr="00276469">
        <w:rPr>
          <w:rFonts w:cstheme="minorHAnsi"/>
          <w:i/>
          <w:iCs/>
          <w:color w:val="auto"/>
          <w:lang w:val="en-AU"/>
        </w:rPr>
        <w:t>My plan for voting</w:t>
      </w:r>
      <w:r w:rsidRPr="00276469">
        <w:rPr>
          <w:rFonts w:cstheme="minorHAnsi"/>
          <w:color w:val="auto"/>
          <w:lang w:val="en-AU"/>
        </w:rPr>
        <w:t xml:space="preserve"> forms, to support people with a cognitive or intellectual disability</w:t>
      </w:r>
    </w:p>
    <w:p w14:paraId="18EE0DED" w14:textId="77777777" w:rsidR="00073CEE" w:rsidRPr="00276469" w:rsidRDefault="00073CEE" w:rsidP="00276469">
      <w:pPr>
        <w:numPr>
          <w:ilvl w:val="0"/>
          <w:numId w:val="17"/>
        </w:numPr>
        <w:rPr>
          <w:rFonts w:cstheme="minorHAnsi"/>
          <w:color w:val="auto"/>
          <w:lang w:val="en-AU"/>
        </w:rPr>
      </w:pPr>
      <w:r w:rsidRPr="00276469">
        <w:rPr>
          <w:rFonts w:cstheme="minorHAnsi"/>
          <w:color w:val="auto"/>
          <w:lang w:val="en-AU"/>
        </w:rPr>
        <w:t>an accessible education portal on the AEC website that provided content to enhance electoral literacy</w:t>
      </w:r>
    </w:p>
    <w:p w14:paraId="7F9903FA" w14:textId="77777777" w:rsidR="00073CEE" w:rsidRPr="00276469" w:rsidRDefault="00073CEE" w:rsidP="00276469">
      <w:pPr>
        <w:numPr>
          <w:ilvl w:val="0"/>
          <w:numId w:val="17"/>
        </w:numPr>
        <w:rPr>
          <w:rFonts w:cstheme="minorHAnsi"/>
          <w:color w:val="auto"/>
          <w:lang w:val="en-AU"/>
        </w:rPr>
      </w:pPr>
      <w:r w:rsidRPr="00276469">
        <w:rPr>
          <w:rFonts w:cstheme="minorHAnsi"/>
          <w:color w:val="auto"/>
          <w:lang w:val="en-AU"/>
        </w:rPr>
        <w:t xml:space="preserve">a guide to using the </w:t>
      </w:r>
      <w:r w:rsidRPr="00276469">
        <w:rPr>
          <w:rFonts w:cstheme="minorHAnsi"/>
          <w:i/>
          <w:iCs/>
          <w:color w:val="auto"/>
          <w:lang w:val="en-AU"/>
        </w:rPr>
        <w:t>‘Where can I vote?’</w:t>
      </w:r>
      <w:r w:rsidRPr="00276469">
        <w:rPr>
          <w:rFonts w:cstheme="minorHAnsi"/>
          <w:color w:val="auto"/>
          <w:lang w:val="en-AU"/>
        </w:rPr>
        <w:t xml:space="preserve"> tool on our website, to enable voters to more easily search information about the accessibility of polling places.</w:t>
      </w:r>
    </w:p>
    <w:p w14:paraId="2C3A8795" w14:textId="77777777" w:rsidR="00073CEE" w:rsidRPr="00276469" w:rsidRDefault="00073CEE" w:rsidP="00276469">
      <w:pPr>
        <w:rPr>
          <w:rFonts w:cstheme="minorHAnsi"/>
          <w:color w:val="auto"/>
          <w:lang w:val="en-AU"/>
        </w:rPr>
      </w:pPr>
      <w:r w:rsidRPr="00276469">
        <w:rPr>
          <w:rFonts w:cstheme="minorHAnsi"/>
          <w:color w:val="auto"/>
        </w:rPr>
        <w:t>Easy read guides, videos with captions, and a ‘listen button’ on every page of our website were provided to facilitate access to information. T</w:t>
      </w:r>
      <w:r w:rsidRPr="00276469">
        <w:rPr>
          <w:rFonts w:cstheme="minorHAnsi"/>
          <w:color w:val="auto"/>
          <w:lang w:val="en-AU"/>
        </w:rPr>
        <w:t>he</w:t>
      </w:r>
      <w:r w:rsidRPr="00276469">
        <w:rPr>
          <w:rFonts w:cstheme="minorHAnsi"/>
          <w:i/>
          <w:iCs/>
          <w:color w:val="auto"/>
          <w:lang w:val="en-AU"/>
        </w:rPr>
        <w:t xml:space="preserve"> Your official guide to the 2025 federal election</w:t>
      </w:r>
      <w:r w:rsidRPr="00276469">
        <w:rPr>
          <w:rFonts w:cstheme="minorHAnsi"/>
          <w:color w:val="auto"/>
          <w:lang w:val="en-AU"/>
        </w:rPr>
        <w:t xml:space="preserve"> was also produced in large print/e-text, audio, and braille, made available on the AEC website or printed and distributed on request.</w:t>
      </w:r>
    </w:p>
    <w:p w14:paraId="5C70190C" w14:textId="77777777" w:rsidR="00073CEE" w:rsidRPr="00276469" w:rsidRDefault="00073CEE" w:rsidP="00276469">
      <w:pPr>
        <w:rPr>
          <w:rFonts w:cstheme="minorHAnsi"/>
          <w:i/>
          <w:iCs/>
          <w:color w:val="auto"/>
        </w:rPr>
      </w:pPr>
      <w:r w:rsidRPr="00276469">
        <w:rPr>
          <w:rFonts w:cstheme="minorHAnsi"/>
          <w:i/>
          <w:iCs/>
          <w:color w:val="auto"/>
        </w:rPr>
        <w:t>Workforce</w:t>
      </w:r>
    </w:p>
    <w:p w14:paraId="537DCADC" w14:textId="77777777" w:rsidR="00073CEE" w:rsidRPr="00276469" w:rsidRDefault="00073CEE" w:rsidP="00276469">
      <w:pPr>
        <w:rPr>
          <w:rFonts w:cstheme="minorHAnsi"/>
          <w:color w:val="auto"/>
        </w:rPr>
      </w:pPr>
      <w:r w:rsidRPr="00276469">
        <w:rPr>
          <w:rFonts w:cstheme="minorHAnsi"/>
          <w:color w:val="auto"/>
        </w:rPr>
        <w:t xml:space="preserve">Temporary election workers (TEW) employed under the </w:t>
      </w:r>
      <w:r w:rsidRPr="00276469">
        <w:rPr>
          <w:rFonts w:cstheme="minorHAnsi"/>
          <w:i/>
          <w:iCs/>
          <w:color w:val="auto"/>
        </w:rPr>
        <w:t>Commonwealth Electoral Act 1918</w:t>
      </w:r>
      <w:r w:rsidRPr="00276469">
        <w:rPr>
          <w:rFonts w:cstheme="minorHAnsi"/>
          <w:color w:val="auto"/>
        </w:rPr>
        <w:t xml:space="preserve"> represented the largest component of the election workforce, with 84,010 temporary workers engaged across 98,931 positions.</w:t>
      </w:r>
    </w:p>
    <w:p w14:paraId="1BDC2A2C" w14:textId="77777777" w:rsidR="00073CEE" w:rsidRPr="00276469" w:rsidRDefault="00073CEE" w:rsidP="00276469">
      <w:pPr>
        <w:rPr>
          <w:rFonts w:cstheme="minorHAnsi"/>
          <w:color w:val="auto"/>
        </w:rPr>
      </w:pPr>
      <w:r w:rsidRPr="00276469">
        <w:rPr>
          <w:rFonts w:cstheme="minorHAnsi"/>
          <w:color w:val="auto"/>
        </w:rPr>
        <w:lastRenderedPageBreak/>
        <w:t xml:space="preserve">To ensure the TEW better reflected the diversity within the Australian community and was able to provide a service that better met the varied needs of the community, the AEC introduced national diversity targets for TEW positions at the election and set a target of above three per cent for people with disability. </w:t>
      </w:r>
    </w:p>
    <w:p w14:paraId="684AA210" w14:textId="77777777" w:rsidR="00073CEE" w:rsidRPr="00276469" w:rsidRDefault="00073CEE" w:rsidP="00276469">
      <w:pPr>
        <w:rPr>
          <w:rFonts w:cstheme="minorHAnsi"/>
          <w:color w:val="auto"/>
        </w:rPr>
      </w:pPr>
      <w:r w:rsidRPr="00276469">
        <w:rPr>
          <w:rFonts w:cstheme="minorHAnsi"/>
          <w:color w:val="auto"/>
        </w:rPr>
        <w:t>Of the TEW positions filled, 2,518 (2.55 per cent) were filled by workers with disability. The AEC has more work to do to achieve all our targets, and this will continue to be a focus for future electoral events.</w:t>
      </w:r>
    </w:p>
    <w:p w14:paraId="5A2419FE" w14:textId="6A62F52D" w:rsidR="00073CEE" w:rsidRPr="00276469" w:rsidRDefault="00073CEE" w:rsidP="00276469">
      <w:pPr>
        <w:suppressAutoHyphens w:val="0"/>
        <w:spacing w:before="240"/>
        <w:rPr>
          <w:rFonts w:cstheme="minorHAnsi"/>
          <w:b/>
          <w:bCs/>
          <w:color w:val="auto"/>
          <w:sz w:val="32"/>
          <w:szCs w:val="32"/>
          <w:lang w:val="en-AU"/>
        </w:rPr>
      </w:pPr>
      <w:r w:rsidRPr="00276469">
        <w:rPr>
          <w:rFonts w:cstheme="minorHAnsi"/>
          <w:b/>
          <w:bCs/>
          <w:color w:val="auto"/>
          <w:sz w:val="32"/>
          <w:szCs w:val="32"/>
          <w:lang w:val="en-AU"/>
        </w:rPr>
        <w:t xml:space="preserve">PARLIAMENTARY SUPPORT AND ACCESSIBILITY </w:t>
      </w:r>
    </w:p>
    <w:p w14:paraId="28FCA1E9" w14:textId="77777777" w:rsidR="00073CEE" w:rsidRPr="00276469" w:rsidRDefault="00073CEE" w:rsidP="00276469">
      <w:pPr>
        <w:rPr>
          <w:rFonts w:cstheme="minorHAnsi"/>
          <w:color w:val="auto"/>
        </w:rPr>
      </w:pPr>
      <w:r w:rsidRPr="00276469">
        <w:rPr>
          <w:rFonts w:cstheme="minorHAnsi"/>
          <w:color w:val="auto"/>
        </w:rPr>
        <w:t xml:space="preserve">The Parliamentary Business Resources Act 2017 (PBR Act) established a principles-based framework for the provision of public resources to parliamentarians. Parliamentarians have personal obligations in relation to their use of public resources, with the PBR Act providing </w:t>
      </w:r>
      <w:proofErr w:type="gramStart"/>
      <w:r w:rsidRPr="00276469">
        <w:rPr>
          <w:rFonts w:cstheme="minorHAnsi"/>
          <w:color w:val="auto"/>
        </w:rPr>
        <w:t>that parliamentarians</w:t>
      </w:r>
      <w:proofErr w:type="gramEnd"/>
      <w:r w:rsidRPr="00276469">
        <w:rPr>
          <w:rFonts w:cstheme="minorHAnsi"/>
          <w:color w:val="auto"/>
        </w:rPr>
        <w:t>:</w:t>
      </w:r>
    </w:p>
    <w:p w14:paraId="7EDC3F28" w14:textId="68AF4368" w:rsidR="00073CEE" w:rsidRPr="00276469" w:rsidRDefault="00073CEE" w:rsidP="00276469">
      <w:pPr>
        <w:numPr>
          <w:ilvl w:val="0"/>
          <w:numId w:val="17"/>
        </w:numPr>
        <w:rPr>
          <w:rFonts w:cstheme="minorHAnsi"/>
          <w:color w:val="auto"/>
          <w:lang w:val="en-AU"/>
        </w:rPr>
      </w:pPr>
      <w:r w:rsidRPr="00276469">
        <w:rPr>
          <w:rFonts w:cstheme="minorHAnsi"/>
          <w:color w:val="auto"/>
          <w:lang w:val="en-AU"/>
        </w:rPr>
        <w:t>must only claim and use public resources for the dominant purpose of conducting their parliamentary business</w:t>
      </w:r>
    </w:p>
    <w:p w14:paraId="626FE7BA" w14:textId="26B9DD7A" w:rsidR="00073CEE" w:rsidRPr="00276469" w:rsidRDefault="00073CEE" w:rsidP="00276469">
      <w:pPr>
        <w:numPr>
          <w:ilvl w:val="0"/>
          <w:numId w:val="17"/>
        </w:numPr>
        <w:rPr>
          <w:rFonts w:cstheme="minorHAnsi"/>
          <w:color w:val="auto"/>
          <w:lang w:val="en-AU"/>
        </w:rPr>
      </w:pPr>
      <w:r w:rsidRPr="00276469">
        <w:rPr>
          <w:rFonts w:cstheme="minorHAnsi"/>
          <w:color w:val="auto"/>
          <w:lang w:val="en-AU"/>
        </w:rPr>
        <w:t>must ensure value for money when claiming public resources and incurring expenses</w:t>
      </w:r>
    </w:p>
    <w:p w14:paraId="7A19B0B2" w14:textId="43724BFD" w:rsidR="00073CEE" w:rsidRPr="00276469" w:rsidRDefault="00073CEE" w:rsidP="00276469">
      <w:pPr>
        <w:numPr>
          <w:ilvl w:val="0"/>
          <w:numId w:val="17"/>
        </w:numPr>
        <w:rPr>
          <w:rFonts w:cstheme="minorHAnsi"/>
          <w:color w:val="auto"/>
          <w:lang w:val="en-AU"/>
        </w:rPr>
      </w:pPr>
      <w:r w:rsidRPr="00276469">
        <w:rPr>
          <w:rFonts w:cstheme="minorHAnsi"/>
          <w:color w:val="auto"/>
          <w:lang w:val="en-AU"/>
        </w:rPr>
        <w:t>must not claim public resources or incur expenses that would contravene a condition that applies to the public resource or expense</w:t>
      </w:r>
    </w:p>
    <w:p w14:paraId="469C8C9B" w14:textId="6DAC8CF4" w:rsidR="00073CEE" w:rsidRPr="00276469" w:rsidRDefault="00073CEE" w:rsidP="00276469">
      <w:pPr>
        <w:numPr>
          <w:ilvl w:val="0"/>
          <w:numId w:val="17"/>
        </w:numPr>
        <w:rPr>
          <w:rFonts w:cstheme="minorHAnsi"/>
          <w:color w:val="auto"/>
          <w:lang w:val="en-AU"/>
        </w:rPr>
      </w:pPr>
      <w:r w:rsidRPr="00276469">
        <w:rPr>
          <w:rFonts w:cstheme="minorHAnsi"/>
          <w:color w:val="auto"/>
          <w:lang w:val="en-AU"/>
        </w:rPr>
        <w:t>are personally responsible and accountable for the use of public resources</w:t>
      </w:r>
    </w:p>
    <w:p w14:paraId="7ECAFE88" w14:textId="0FA86EDF" w:rsidR="00073CEE" w:rsidRPr="00276469" w:rsidRDefault="00073CEE" w:rsidP="00276469">
      <w:pPr>
        <w:numPr>
          <w:ilvl w:val="0"/>
          <w:numId w:val="17"/>
        </w:numPr>
        <w:rPr>
          <w:rFonts w:cstheme="minorHAnsi"/>
          <w:color w:val="auto"/>
          <w:lang w:val="en-AU"/>
        </w:rPr>
      </w:pPr>
      <w:r w:rsidRPr="00276469">
        <w:rPr>
          <w:rFonts w:cstheme="minorHAnsi"/>
          <w:color w:val="auto"/>
          <w:lang w:val="en-AU"/>
        </w:rPr>
        <w:t>must act ethically and in good faith in the use of public resources</w:t>
      </w:r>
    </w:p>
    <w:p w14:paraId="4C939AA5" w14:textId="45216513" w:rsidR="00073CEE" w:rsidRPr="00276469" w:rsidRDefault="002C2AD5" w:rsidP="00276469">
      <w:pPr>
        <w:numPr>
          <w:ilvl w:val="0"/>
          <w:numId w:val="17"/>
        </w:numPr>
        <w:rPr>
          <w:rFonts w:cstheme="minorHAnsi"/>
          <w:color w:val="auto"/>
          <w:lang w:val="en-AU"/>
        </w:rPr>
      </w:pPr>
      <w:r w:rsidRPr="00276469">
        <w:rPr>
          <w:rFonts w:cstheme="minorHAnsi"/>
          <w:color w:val="auto"/>
          <w:lang w:val="en-AU"/>
        </w:rPr>
        <w:t>t</w:t>
      </w:r>
      <w:r w:rsidR="00073CEE" w:rsidRPr="00276469">
        <w:rPr>
          <w:rFonts w:cstheme="minorHAnsi"/>
          <w:color w:val="auto"/>
          <w:lang w:val="en-AU"/>
        </w:rPr>
        <w:t>ravel allowance supplemented for a parliamentarian requiring accessible accommodation</w:t>
      </w:r>
      <w:r w:rsidRPr="00276469">
        <w:rPr>
          <w:rFonts w:cstheme="minorHAnsi"/>
          <w:color w:val="auto"/>
          <w:lang w:val="en-AU"/>
        </w:rPr>
        <w:t>.</w:t>
      </w:r>
      <w:r w:rsidR="00073CEE" w:rsidRPr="00276469">
        <w:rPr>
          <w:rFonts w:cstheme="minorHAnsi"/>
          <w:color w:val="auto"/>
          <w:lang w:val="en-AU"/>
        </w:rPr>
        <w:t xml:space="preserve"> </w:t>
      </w:r>
    </w:p>
    <w:p w14:paraId="55A093DE" w14:textId="77777777" w:rsidR="00073CEE" w:rsidRPr="00276469" w:rsidRDefault="00073CEE" w:rsidP="00276469">
      <w:pPr>
        <w:rPr>
          <w:rFonts w:cstheme="minorHAnsi"/>
          <w:color w:val="auto"/>
        </w:rPr>
      </w:pPr>
      <w:r w:rsidRPr="00276469">
        <w:rPr>
          <w:rFonts w:cstheme="minorHAnsi"/>
          <w:color w:val="auto"/>
        </w:rPr>
        <w:t xml:space="preserve">Public resources provided to parliamentarians under the PBR Act include the provision of travel allowance while travelling for their parliamentary business. Travel allowance is provided for each night the parliamentarian stays in accommodation in Australia that is not the parliamentarian’s home base. The Remuneration Tribunal is responsible under the PBR Act for determining the rates of travel allowance. </w:t>
      </w:r>
    </w:p>
    <w:p w14:paraId="0C558305" w14:textId="77777777" w:rsidR="00073CEE" w:rsidRPr="00276469" w:rsidRDefault="00073CEE" w:rsidP="00276469">
      <w:pPr>
        <w:rPr>
          <w:rFonts w:cstheme="minorHAnsi"/>
          <w:color w:val="auto"/>
        </w:rPr>
      </w:pPr>
      <w:r w:rsidRPr="00276469">
        <w:rPr>
          <w:rFonts w:cstheme="minorHAnsi"/>
          <w:color w:val="auto"/>
        </w:rPr>
        <w:t>In response to recommendation 25 of the Independent Review of the Parliamentary Business Resources Act 2017 and the Independent Parliamentary Expenses Authority Act 2017 (the Review) in respect to the provision of additional support for parliamentarians with exceptional physical requirements, in 2024, the Remuneration Tribunal determined that a parliamentarian’s travel allowance should be adjusted to take into account additional expenses which are incurred as a result of requiring accessible commercial accommodation. Further measures are being undertaken on an as needed basis by entities across the Australian federal parliament ecosystem to ensure that the unique and exceptional physical, family or other requirements, including ensuring accessible and disability compliant office accommodation, access to specialised equipment and resources as requirements are identified, such as wheelchairs. Recently the Parliamentary Workplace Support Service was established to ensure that federal parliamentarians, their staff and other parliamentary participants have access to appropriate arrangements and avenues to address preventative and early intervention measures for work health and safety as well as broader human resources needs.</w:t>
      </w:r>
    </w:p>
    <w:p w14:paraId="4790025A" w14:textId="77777777" w:rsidR="00073CEE" w:rsidRPr="00276469" w:rsidRDefault="00073CEE" w:rsidP="00276469">
      <w:pPr>
        <w:rPr>
          <w:rFonts w:cstheme="minorHAnsi"/>
          <w:i/>
          <w:iCs/>
          <w:color w:val="auto"/>
          <w:szCs w:val="24"/>
        </w:rPr>
      </w:pPr>
      <w:r w:rsidRPr="00276469">
        <w:rPr>
          <w:rFonts w:cstheme="minorHAnsi"/>
          <w:i/>
          <w:iCs/>
          <w:color w:val="auto"/>
          <w:lang w:val="en-AU"/>
        </w:rPr>
        <w:t>Parliamentary offices comply with Disability Standards</w:t>
      </w:r>
      <w:r w:rsidRPr="00276469">
        <w:rPr>
          <w:rFonts w:cstheme="minorHAnsi"/>
          <w:i/>
          <w:iCs/>
          <w:color w:val="auto"/>
          <w:szCs w:val="24"/>
        </w:rPr>
        <w:t xml:space="preserve"> </w:t>
      </w:r>
    </w:p>
    <w:p w14:paraId="7AB6FEA0" w14:textId="77777777" w:rsidR="00073CEE" w:rsidRPr="00276469" w:rsidRDefault="00073CEE" w:rsidP="00276469">
      <w:pPr>
        <w:rPr>
          <w:rFonts w:cstheme="minorHAnsi"/>
          <w:color w:val="auto"/>
        </w:rPr>
      </w:pPr>
      <w:r w:rsidRPr="00276469">
        <w:rPr>
          <w:rFonts w:cstheme="minorHAnsi"/>
          <w:color w:val="auto"/>
        </w:rPr>
        <w:lastRenderedPageBreak/>
        <w:t>All offices, including electorate offices, provided to parliamentarians for the conduct of their parliamentary business under the PBR Act are required to comply with the Disability (Access to Premises — Buildings) Standards 2010.</w:t>
      </w:r>
    </w:p>
    <w:p w14:paraId="59532859" w14:textId="77777777" w:rsidR="00073CEE" w:rsidRPr="00276469" w:rsidRDefault="00073CEE" w:rsidP="00276469">
      <w:pPr>
        <w:rPr>
          <w:rFonts w:cstheme="minorHAnsi"/>
          <w:i/>
          <w:iCs/>
          <w:color w:val="auto"/>
          <w:lang w:val="en-AU"/>
        </w:rPr>
      </w:pPr>
      <w:r w:rsidRPr="00276469">
        <w:rPr>
          <w:rFonts w:cstheme="minorHAnsi"/>
          <w:i/>
          <w:iCs/>
          <w:color w:val="auto"/>
          <w:lang w:val="en-AU"/>
        </w:rPr>
        <w:t>Parliamentary Injury Compensation Scheme</w:t>
      </w:r>
    </w:p>
    <w:p w14:paraId="663FD1A5" w14:textId="77777777" w:rsidR="00073CEE" w:rsidRPr="00276469" w:rsidRDefault="00073CEE" w:rsidP="00276469">
      <w:pPr>
        <w:rPr>
          <w:rFonts w:cstheme="minorHAnsi"/>
          <w:color w:val="auto"/>
        </w:rPr>
      </w:pPr>
      <w:r w:rsidRPr="00276469">
        <w:rPr>
          <w:rFonts w:cstheme="minorHAnsi"/>
          <w:color w:val="auto"/>
        </w:rPr>
        <w:t xml:space="preserve">Under the Parliamentary Injury Compensation Scheme, federal parliamentarians may also be provided with services, facilities or equipment that are reasonably necessary to eliminate or minimise risks to the health or safety arising </w:t>
      </w:r>
      <w:proofErr w:type="gramStart"/>
      <w:r w:rsidRPr="00276469">
        <w:rPr>
          <w:rFonts w:cstheme="minorHAnsi"/>
          <w:color w:val="auto"/>
        </w:rPr>
        <w:t>in the course of</w:t>
      </w:r>
      <w:proofErr w:type="gramEnd"/>
      <w:r w:rsidRPr="00276469">
        <w:rPr>
          <w:rFonts w:cstheme="minorHAnsi"/>
          <w:color w:val="auto"/>
        </w:rPr>
        <w:t xml:space="preserve"> their parliamentary business. Among other resources, this may include reasonable adjustments to the workplace consistent with the Disability Discrimination Act 1992.</w:t>
      </w:r>
    </w:p>
    <w:p w14:paraId="4012A189" w14:textId="78DCF4F8" w:rsidR="00073CEE" w:rsidRPr="00276469" w:rsidRDefault="00073CEE" w:rsidP="00276469">
      <w:pPr>
        <w:rPr>
          <w:rFonts w:cstheme="minorHAnsi"/>
          <w:color w:val="auto"/>
        </w:rPr>
      </w:pPr>
      <w:r w:rsidRPr="00276469">
        <w:rPr>
          <w:rFonts w:cstheme="minorHAnsi"/>
          <w:color w:val="auto"/>
        </w:rPr>
        <w:t>The PBR Act does not provide resources to candidates for election who are not current federal parliamentarians. The PBR Act does not impose any legal restrictions on a person with a disability holding public office. The Members of Parliament (Staff) Act 1984, the Parliamentary Workplace Support Service Act 2023, the Independent Parliamentary Expenses Authority Act 2017 and the agencies responsible for supporting parliamentarians in the conduct of their parliamentary business work in harmony to provide appropriate supports for a modern, diverse and accessible parliament.</w:t>
      </w:r>
    </w:p>
    <w:p w14:paraId="350C4EF0" w14:textId="614EEA40" w:rsidR="00464472" w:rsidRPr="00276469" w:rsidRDefault="00D167A6" w:rsidP="00276469">
      <w:pPr>
        <w:rPr>
          <w:rFonts w:cstheme="minorHAnsi"/>
          <w:b/>
          <w:bCs/>
          <w:color w:val="auto"/>
        </w:rPr>
      </w:pPr>
      <w:r w:rsidRPr="00276469">
        <w:rPr>
          <w:rFonts w:cstheme="minorHAnsi"/>
          <w:b/>
          <w:bCs/>
          <w:color w:val="auto"/>
        </w:rPr>
        <w:t xml:space="preserve">Australian Parliament House - </w:t>
      </w:r>
      <w:r w:rsidR="00464472" w:rsidRPr="00276469">
        <w:rPr>
          <w:rFonts w:cstheme="minorHAnsi"/>
          <w:b/>
          <w:bCs/>
          <w:color w:val="auto"/>
        </w:rPr>
        <w:t xml:space="preserve">Structural </w:t>
      </w:r>
      <w:r w:rsidRPr="00276469">
        <w:rPr>
          <w:rFonts w:cstheme="minorHAnsi"/>
          <w:b/>
          <w:bCs/>
          <w:color w:val="auto"/>
        </w:rPr>
        <w:t>Acc</w:t>
      </w:r>
      <w:r w:rsidR="00464472" w:rsidRPr="00276469">
        <w:rPr>
          <w:rFonts w:cstheme="minorHAnsi"/>
          <w:b/>
          <w:bCs/>
          <w:color w:val="auto"/>
        </w:rPr>
        <w:t>essibility</w:t>
      </w:r>
    </w:p>
    <w:p w14:paraId="343D205C" w14:textId="77777777" w:rsidR="00464472" w:rsidRPr="00276469" w:rsidRDefault="00464472" w:rsidP="00276469">
      <w:pPr>
        <w:rPr>
          <w:rFonts w:cstheme="minorHAnsi"/>
          <w:color w:val="auto"/>
        </w:rPr>
      </w:pPr>
      <w:r w:rsidRPr="00276469">
        <w:rPr>
          <w:rFonts w:cstheme="minorHAnsi"/>
          <w:color w:val="auto"/>
        </w:rPr>
        <w:t>In 2023, the Australian Network on Disability (</w:t>
      </w:r>
      <w:proofErr w:type="spellStart"/>
      <w:r w:rsidRPr="00276469">
        <w:rPr>
          <w:rFonts w:cstheme="minorHAnsi"/>
          <w:color w:val="auto"/>
        </w:rPr>
        <w:t>AusDN</w:t>
      </w:r>
      <w:proofErr w:type="spellEnd"/>
      <w:r w:rsidRPr="00276469">
        <w:rPr>
          <w:rFonts w:cstheme="minorHAnsi"/>
          <w:color w:val="auto"/>
        </w:rPr>
        <w:t>) were commissioned to review the accessibility of Australian Parliament House to understand barriers to access and to hear recommendations on how to enhance accessibility. The review identified over 330 recommendations to improve accessibility for both visitors and workers.</w:t>
      </w:r>
    </w:p>
    <w:p w14:paraId="280F34BA" w14:textId="77777777" w:rsidR="00464472" w:rsidRPr="00276469" w:rsidRDefault="00464472" w:rsidP="00276469">
      <w:pPr>
        <w:rPr>
          <w:rFonts w:cstheme="minorHAnsi"/>
          <w:color w:val="auto"/>
        </w:rPr>
      </w:pPr>
      <w:r w:rsidRPr="00276469">
        <w:rPr>
          <w:rFonts w:cstheme="minorHAnsi"/>
          <w:color w:val="auto"/>
        </w:rPr>
        <w:t xml:space="preserve">Actions taken to address recommendations made in the Dignified Access Review (DAR) are publicly reported and available here: </w:t>
      </w:r>
      <w:hyperlink r:id="rId17" w:history="1">
        <w:r w:rsidRPr="00276469">
          <w:rPr>
            <w:rStyle w:val="Hyperlink"/>
            <w:rFonts w:cstheme="minorHAnsi"/>
          </w:rPr>
          <w:t>Dignified Access Review – Parliament of Australia</w:t>
        </w:r>
      </w:hyperlink>
      <w:r w:rsidRPr="00276469">
        <w:rPr>
          <w:rFonts w:cstheme="minorHAnsi"/>
          <w:color w:val="auto"/>
        </w:rPr>
        <w:t>. This information ensures that all stakeholders are regularly informed of the progress being made to address the DAR recommendations.</w:t>
      </w:r>
    </w:p>
    <w:p w14:paraId="6A668C19" w14:textId="77777777" w:rsidR="00464472" w:rsidRPr="00276469" w:rsidRDefault="00464472" w:rsidP="00276469">
      <w:pPr>
        <w:rPr>
          <w:rFonts w:cstheme="minorHAnsi"/>
          <w:color w:val="auto"/>
        </w:rPr>
      </w:pPr>
      <w:r w:rsidRPr="00276469">
        <w:rPr>
          <w:rFonts w:cstheme="minorHAnsi"/>
          <w:color w:val="auto"/>
        </w:rPr>
        <w:t xml:space="preserve">The Australian Parliament accommodates the needs of members of parliament, members of Parliamentary and Parliamentary Department staff with disability/disabilities through procedural and practical mechanisms. </w:t>
      </w:r>
    </w:p>
    <w:p w14:paraId="7B1994B0" w14:textId="77777777" w:rsidR="00464472" w:rsidRPr="00276469" w:rsidRDefault="00464472" w:rsidP="00276469">
      <w:pPr>
        <w:rPr>
          <w:rFonts w:cstheme="minorHAnsi"/>
          <w:color w:val="auto"/>
        </w:rPr>
      </w:pPr>
      <w:r w:rsidRPr="00276469">
        <w:rPr>
          <w:rFonts w:cstheme="minorHAnsi"/>
          <w:color w:val="auto"/>
        </w:rPr>
        <w:t>Adaptations have been made to Australian Parliament House to accommodate people with disabilities such as:</w:t>
      </w:r>
    </w:p>
    <w:p w14:paraId="1F6A1C93" w14:textId="77777777" w:rsidR="00464472" w:rsidRPr="00276469" w:rsidRDefault="00464472" w:rsidP="00276469">
      <w:pPr>
        <w:rPr>
          <w:rFonts w:cstheme="minorHAnsi"/>
          <w:color w:val="auto"/>
        </w:rPr>
      </w:pPr>
      <w:r w:rsidRPr="00276469">
        <w:rPr>
          <w:rFonts w:cstheme="minorHAnsi"/>
          <w:color w:val="auto"/>
        </w:rPr>
        <w:t xml:space="preserve"> - Automated doors</w:t>
      </w:r>
    </w:p>
    <w:p w14:paraId="44D6F7F6" w14:textId="77777777" w:rsidR="00464472" w:rsidRPr="00276469" w:rsidRDefault="00464472" w:rsidP="00276469">
      <w:pPr>
        <w:rPr>
          <w:rFonts w:cstheme="minorHAnsi"/>
          <w:color w:val="auto"/>
        </w:rPr>
      </w:pPr>
      <w:r w:rsidRPr="00276469">
        <w:rPr>
          <w:rFonts w:cstheme="minorHAnsi"/>
          <w:color w:val="auto"/>
        </w:rPr>
        <w:t xml:space="preserve"> - Accessible bathrooms</w:t>
      </w:r>
    </w:p>
    <w:p w14:paraId="05F379ED" w14:textId="77777777" w:rsidR="00464472" w:rsidRPr="00276469" w:rsidRDefault="00464472" w:rsidP="00276469">
      <w:pPr>
        <w:rPr>
          <w:rFonts w:cstheme="minorHAnsi"/>
          <w:color w:val="auto"/>
        </w:rPr>
      </w:pPr>
      <w:r w:rsidRPr="00276469">
        <w:rPr>
          <w:rFonts w:cstheme="minorHAnsi"/>
          <w:color w:val="auto"/>
        </w:rPr>
        <w:t xml:space="preserve"> - Customised seating in the Senate Chamber to accommodate a wheelchair</w:t>
      </w:r>
    </w:p>
    <w:p w14:paraId="68993F9A" w14:textId="77777777" w:rsidR="00464472" w:rsidRPr="00276469" w:rsidRDefault="00464472" w:rsidP="00276469">
      <w:pPr>
        <w:rPr>
          <w:rFonts w:cstheme="minorHAnsi"/>
          <w:color w:val="auto"/>
        </w:rPr>
      </w:pPr>
      <w:r w:rsidRPr="00276469">
        <w:rPr>
          <w:rFonts w:cstheme="minorHAnsi"/>
          <w:color w:val="auto"/>
        </w:rPr>
        <w:t xml:space="preserve"> - Customised office accommodation to meet the individual needs of the person with a disability</w:t>
      </w:r>
    </w:p>
    <w:p w14:paraId="5A29F439" w14:textId="77777777" w:rsidR="00464472" w:rsidRPr="00276469" w:rsidRDefault="00464472" w:rsidP="00276469">
      <w:pPr>
        <w:rPr>
          <w:rFonts w:cstheme="minorHAnsi"/>
          <w:color w:val="auto"/>
        </w:rPr>
      </w:pPr>
      <w:r w:rsidRPr="00276469">
        <w:rPr>
          <w:rFonts w:cstheme="minorHAnsi"/>
          <w:color w:val="auto"/>
        </w:rPr>
        <w:t xml:space="preserve"> - Provision of mobility aids, where required</w:t>
      </w:r>
    </w:p>
    <w:p w14:paraId="168B2386" w14:textId="77777777" w:rsidR="00464472" w:rsidRPr="00276469" w:rsidRDefault="00464472" w:rsidP="00276469">
      <w:pPr>
        <w:rPr>
          <w:rFonts w:cstheme="minorHAnsi"/>
          <w:color w:val="auto"/>
        </w:rPr>
      </w:pPr>
      <w:r w:rsidRPr="00276469">
        <w:rPr>
          <w:rFonts w:cstheme="minorHAnsi"/>
          <w:color w:val="auto"/>
        </w:rPr>
        <w:t xml:space="preserve">Further information about these and other adaptations is provided in the Dignified Access Review tracker published on a quarterly basis.  </w:t>
      </w:r>
    </w:p>
    <w:p w14:paraId="72DE85F9" w14:textId="77777777" w:rsidR="00464472" w:rsidRPr="00276469" w:rsidRDefault="00464472" w:rsidP="00276469">
      <w:pPr>
        <w:rPr>
          <w:rFonts w:cstheme="minorHAnsi"/>
          <w:color w:val="auto"/>
        </w:rPr>
      </w:pPr>
      <w:r w:rsidRPr="00276469">
        <w:rPr>
          <w:rFonts w:cstheme="minorHAnsi"/>
          <w:color w:val="auto"/>
        </w:rPr>
        <w:t>Changes to parliamentary procedure have also been made to accommodate the needs of persons with a disability, including:</w:t>
      </w:r>
    </w:p>
    <w:p w14:paraId="5DC6876F" w14:textId="77777777" w:rsidR="00464472" w:rsidRPr="00276469" w:rsidRDefault="00464472" w:rsidP="00276469">
      <w:pPr>
        <w:rPr>
          <w:rFonts w:cstheme="minorHAnsi"/>
          <w:color w:val="auto"/>
        </w:rPr>
      </w:pPr>
      <w:r w:rsidRPr="00276469">
        <w:rPr>
          <w:rFonts w:cstheme="minorHAnsi"/>
          <w:color w:val="auto"/>
        </w:rPr>
        <w:lastRenderedPageBreak/>
        <w:t xml:space="preserve"> - seeking the call to speak without the need to physically stand</w:t>
      </w:r>
    </w:p>
    <w:p w14:paraId="24468F68" w14:textId="77777777" w:rsidR="00464472" w:rsidRPr="00276469" w:rsidRDefault="00464472" w:rsidP="00276469">
      <w:pPr>
        <w:rPr>
          <w:rFonts w:cstheme="minorHAnsi"/>
          <w:color w:val="auto"/>
        </w:rPr>
      </w:pPr>
      <w:r w:rsidRPr="00276469">
        <w:rPr>
          <w:rFonts w:cstheme="minorHAnsi"/>
          <w:color w:val="auto"/>
        </w:rPr>
        <w:t xml:space="preserve"> - amending the language used in proceedings to be more inclusive (for example, removing reference to the requirement to stand for parts of proceedings).</w:t>
      </w:r>
    </w:p>
    <w:p w14:paraId="41F859B4" w14:textId="77777777" w:rsidR="00464472" w:rsidRPr="00276469" w:rsidRDefault="00464472" w:rsidP="00276469">
      <w:pPr>
        <w:rPr>
          <w:rFonts w:cstheme="minorHAnsi"/>
          <w:color w:val="auto"/>
        </w:rPr>
      </w:pPr>
      <w:r w:rsidRPr="00276469">
        <w:rPr>
          <w:rFonts w:cstheme="minorHAnsi"/>
          <w:color w:val="auto"/>
        </w:rPr>
        <w:t>Further adaptation to parliamentary procedure and process could be made in the future and would be made according to the individual needs of any elected official with a disability.</w:t>
      </w:r>
    </w:p>
    <w:p w14:paraId="5B856442" w14:textId="23CA3D08" w:rsidR="00073CEE" w:rsidRPr="00276469" w:rsidRDefault="00073CEE" w:rsidP="00276469">
      <w:pPr>
        <w:suppressAutoHyphens w:val="0"/>
        <w:spacing w:before="240"/>
        <w:rPr>
          <w:rFonts w:cstheme="minorHAnsi"/>
          <w:b/>
          <w:bCs/>
          <w:color w:val="auto"/>
          <w:sz w:val="32"/>
          <w:szCs w:val="32"/>
          <w:lang w:val="en-AU"/>
        </w:rPr>
      </w:pPr>
      <w:r w:rsidRPr="00276469">
        <w:rPr>
          <w:rFonts w:cstheme="minorHAnsi"/>
          <w:b/>
          <w:bCs/>
          <w:color w:val="auto"/>
          <w:sz w:val="32"/>
          <w:szCs w:val="32"/>
          <w:lang w:val="en-AU"/>
        </w:rPr>
        <w:t>PARLIAMENTARY TRAVEL EXPENSES</w:t>
      </w:r>
    </w:p>
    <w:p w14:paraId="14D53FA7" w14:textId="77777777" w:rsidR="00073CEE" w:rsidRPr="00276469" w:rsidRDefault="00073CEE" w:rsidP="00276469">
      <w:pPr>
        <w:rPr>
          <w:rFonts w:cstheme="minorHAnsi"/>
          <w:color w:val="auto"/>
        </w:rPr>
      </w:pPr>
      <w:r w:rsidRPr="00276469">
        <w:rPr>
          <w:rFonts w:cstheme="minorHAnsi"/>
          <w:color w:val="auto"/>
        </w:rPr>
        <w:t xml:space="preserve">The Independent Parliamentary Expenses Authority (IPEA) was established on 1 July 2017 as an independent statutory agency under the Independent Parliamentary Expenses Authority Act 2017 (IPEA Act). IPEA administers and advises on travel expenses and travel allowances for federal parliamentarians and their staff. The Agency also monitors, reports on parliamentarians’ use of work expenses.  </w:t>
      </w:r>
    </w:p>
    <w:p w14:paraId="53F79C52" w14:textId="77777777" w:rsidR="00073CEE" w:rsidRPr="00276469" w:rsidRDefault="00073CEE" w:rsidP="00276469">
      <w:pPr>
        <w:rPr>
          <w:rFonts w:cstheme="minorHAnsi"/>
          <w:color w:val="auto"/>
        </w:rPr>
      </w:pPr>
      <w:r w:rsidRPr="00276469">
        <w:rPr>
          <w:rFonts w:cstheme="minorHAnsi"/>
          <w:color w:val="auto"/>
        </w:rPr>
        <w:t>IPEA administers those travel resources in accordance with the relevant legislative frameworks. For parliamentarians, this is the principles-based framework established under the Parliamentary Business Resources Act 2017 (PBR Act). Staff travel is administered in accordance with the Member of Parliament (Staff) Act 1984 (MOPS Act), and associated enterprise agreement and policies. The Department of Finance is the policy owner for both frameworks.</w:t>
      </w:r>
    </w:p>
    <w:p w14:paraId="5D34C789" w14:textId="5830E9EE" w:rsidR="00073CEE" w:rsidRPr="00276469" w:rsidRDefault="00073CEE" w:rsidP="00276469">
      <w:pPr>
        <w:rPr>
          <w:rFonts w:cstheme="minorHAnsi"/>
          <w:color w:val="auto"/>
        </w:rPr>
      </w:pPr>
      <w:r w:rsidRPr="00276469">
        <w:rPr>
          <w:rFonts w:cstheme="minorHAnsi"/>
          <w:color w:val="auto"/>
        </w:rPr>
        <w:t xml:space="preserve">These frameworks provide parliamentarians and their staff with some mechanisms to support travel for those with a disability, enabling them to participate in parliament and hold public office. For </w:t>
      </w:r>
      <w:r w:rsidR="00015D0C" w:rsidRPr="00276469">
        <w:rPr>
          <w:rFonts w:cstheme="minorHAnsi"/>
          <w:color w:val="auto"/>
        </w:rPr>
        <w:t>example,</w:t>
      </w:r>
      <w:r w:rsidRPr="00276469">
        <w:rPr>
          <w:rFonts w:cstheme="minorHAnsi"/>
          <w:color w:val="auto"/>
        </w:rPr>
        <w:t xml:space="preserve"> access to additional payments where accessible accommodation is required when travelling for parliamentary or official business, and personal advice where alternate travel arrangements are required. IPEA’s support for participation by parliamentarians and their staff who have a disability is limited by legislative and policy requirements. Nevertheless, the Agency remains focused on providing the best support possible within the existing frameworks including where this may require seeking input or additional support through referral to other agencies.</w:t>
      </w:r>
    </w:p>
    <w:p w14:paraId="4CD7B320" w14:textId="77777777" w:rsidR="00073CEE" w:rsidRPr="00276469" w:rsidRDefault="00073CEE" w:rsidP="00276469">
      <w:pPr>
        <w:rPr>
          <w:rFonts w:cstheme="minorHAnsi"/>
          <w:color w:val="auto"/>
        </w:rPr>
      </w:pPr>
      <w:r w:rsidRPr="00276469">
        <w:rPr>
          <w:rFonts w:cstheme="minorHAnsi"/>
          <w:color w:val="auto"/>
        </w:rPr>
        <w:t>IPEA has an important role in educating and advising parliamentarians and their staff on how to appropriately access travel expenses. Through these functions IPEA has worked with parliamentarians and their staff to provide tailored advice that considers the individuals specific needs. IPEA also advocates to the Department of Finance and the Remuneration Tribunal for legislative and policy change based on our detailed knowledge of the travel related needs of parliamentarians and their staff.</w:t>
      </w:r>
    </w:p>
    <w:p w14:paraId="6D9D54CD" w14:textId="77777777" w:rsidR="00073CEE" w:rsidRPr="00276469" w:rsidRDefault="00073CEE" w:rsidP="00276469">
      <w:pPr>
        <w:rPr>
          <w:rFonts w:cstheme="minorHAnsi"/>
          <w:b/>
          <w:bCs/>
          <w:color w:val="auto"/>
          <w:sz w:val="32"/>
          <w:szCs w:val="28"/>
        </w:rPr>
      </w:pPr>
    </w:p>
    <w:p w14:paraId="6B47A443" w14:textId="77777777" w:rsidR="007E510F" w:rsidRPr="00276469" w:rsidRDefault="007E510F" w:rsidP="00276469">
      <w:pPr>
        <w:rPr>
          <w:rFonts w:cstheme="minorHAnsi"/>
          <w:b/>
          <w:bCs/>
          <w:color w:val="auto"/>
          <w:sz w:val="32"/>
          <w:szCs w:val="28"/>
        </w:rPr>
      </w:pPr>
    </w:p>
    <w:p w14:paraId="58F520D6" w14:textId="77777777" w:rsidR="00073CEE" w:rsidRPr="00276469" w:rsidRDefault="00073CEE" w:rsidP="00276469">
      <w:pPr>
        <w:rPr>
          <w:rFonts w:cstheme="minorHAnsi"/>
          <w:b/>
          <w:bCs/>
          <w:color w:val="auto"/>
          <w:sz w:val="32"/>
          <w:szCs w:val="28"/>
        </w:rPr>
      </w:pPr>
    </w:p>
    <w:sectPr w:rsidR="00073CEE" w:rsidRPr="00276469" w:rsidSect="002B0402">
      <w:headerReference w:type="even" r:id="rId18"/>
      <w:headerReference w:type="default" r:id="rId19"/>
      <w:footerReference w:type="even" r:id="rId20"/>
      <w:footerReference w:type="default" r:id="rId21"/>
      <w:headerReference w:type="first" r:id="rId22"/>
      <w:footerReference w:type="first" r:id="rId23"/>
      <w:pgSz w:w="11906" w:h="16838" w:code="9"/>
      <w:pgMar w:top="2137" w:right="1134" w:bottom="1418" w:left="1134" w:header="567" w:footer="593"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3390B" w14:textId="77777777" w:rsidR="009B639B" w:rsidRDefault="009B639B" w:rsidP="00D37B04">
      <w:r>
        <w:separator/>
      </w:r>
    </w:p>
  </w:endnote>
  <w:endnote w:type="continuationSeparator" w:id="0">
    <w:p w14:paraId="358460C3" w14:textId="77777777" w:rsidR="009B639B" w:rsidRDefault="009B639B" w:rsidP="00D37B04">
      <w:r>
        <w:continuationSeparator/>
      </w:r>
    </w:p>
  </w:endnote>
  <w:endnote w:type="continuationNotice" w:id="1">
    <w:p w14:paraId="182A0C0A" w14:textId="77777777" w:rsidR="009B639B" w:rsidRDefault="009B639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useoSans-500">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A30A" w14:textId="63CE2A30" w:rsidR="007E510F" w:rsidRDefault="007E510F">
    <w:pPr>
      <w:pStyle w:val="Footer"/>
    </w:pPr>
    <w:r>
      <w:rPr>
        <w:noProof/>
      </w:rPr>
      <mc:AlternateContent>
        <mc:Choice Requires="wps">
          <w:drawing>
            <wp:anchor distT="0" distB="0" distL="0" distR="0" simplePos="0" relativeHeight="251665412" behindDoc="0" locked="0" layoutInCell="1" allowOverlap="1" wp14:anchorId="773554D7" wp14:editId="7E36FF69">
              <wp:simplePos x="635" y="635"/>
              <wp:positionH relativeFrom="page">
                <wp:align>center</wp:align>
              </wp:positionH>
              <wp:positionV relativeFrom="page">
                <wp:align>bottom</wp:align>
              </wp:positionV>
              <wp:extent cx="551815" cy="452755"/>
              <wp:effectExtent l="0" t="0" r="635" b="0"/>
              <wp:wrapNone/>
              <wp:docPr id="9660079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13ABA57" w14:textId="650B58D2"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554D7"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5.65pt;z-index:2516654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213ABA57" w14:textId="650B58D2"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21708" w14:textId="2DF79EAA" w:rsidR="00965224" w:rsidRDefault="007E510F" w:rsidP="004A4093">
    <w:pPr>
      <w:pStyle w:val="Footer"/>
      <w:jc w:val="center"/>
      <w:rPr>
        <w:b/>
        <w:sz w:val="28"/>
        <w:lang w:val="en-AU"/>
      </w:rPr>
    </w:pPr>
    <w:r>
      <w:rPr>
        <w:b/>
        <w:noProof/>
        <w:sz w:val="28"/>
        <w:lang w:val="en-AU"/>
      </w:rPr>
      <mc:AlternateContent>
        <mc:Choice Requires="wps">
          <w:drawing>
            <wp:anchor distT="0" distB="0" distL="0" distR="0" simplePos="0" relativeHeight="251666436" behindDoc="0" locked="0" layoutInCell="1" allowOverlap="1" wp14:anchorId="0F8EB421" wp14:editId="1AEE5480">
              <wp:simplePos x="723900" y="10010775"/>
              <wp:positionH relativeFrom="page">
                <wp:align>center</wp:align>
              </wp:positionH>
              <wp:positionV relativeFrom="page">
                <wp:align>bottom</wp:align>
              </wp:positionV>
              <wp:extent cx="551815" cy="452755"/>
              <wp:effectExtent l="0" t="0" r="635" b="0"/>
              <wp:wrapNone/>
              <wp:docPr id="78493311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94E84C9" w14:textId="76BE8A81" w:rsidR="007E510F" w:rsidRPr="007E510F" w:rsidRDefault="007E510F" w:rsidP="007E510F">
                          <w:pPr>
                            <w:spacing w:after="0"/>
                            <w:rPr>
                              <w:rFonts w:ascii="Calibri" w:eastAsia="Calibri" w:hAnsi="Calibri" w:cs="Calibri"/>
                              <w:noProof/>
                              <w:color w:val="FF0000"/>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8EB421"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5.65pt;z-index:2516664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594E84C9" w14:textId="76BE8A81" w:rsidR="007E510F" w:rsidRPr="007E510F" w:rsidRDefault="007E510F" w:rsidP="007E510F">
                    <w:pPr>
                      <w:spacing w:after="0"/>
                      <w:rPr>
                        <w:rFonts w:ascii="Calibri" w:eastAsia="Calibri" w:hAnsi="Calibri" w:cs="Calibri"/>
                        <w:noProof/>
                        <w:color w:val="FF0000"/>
                        <w:szCs w:val="24"/>
                      </w:rPr>
                    </w:pPr>
                  </w:p>
                </w:txbxContent>
              </v:textbox>
              <w10:wrap anchorx="page" anchory="page"/>
            </v:shape>
          </w:pict>
        </mc:Fallback>
      </mc:AlternateContent>
    </w:r>
  </w:p>
  <w:p w14:paraId="43EA60C7" w14:textId="2251361A" w:rsidR="004A4093" w:rsidRPr="00386BC5" w:rsidRDefault="007A3F04" w:rsidP="004A4093">
    <w:pPr>
      <w:pStyle w:val="Footer"/>
      <w:jc w:val="center"/>
      <w:rPr>
        <w:b/>
        <w:sz w:val="28"/>
        <w:lang w:val="en-AU"/>
      </w:rPr>
    </w:pPr>
    <w:r>
      <w:rPr>
        <w:b/>
        <w:noProof/>
        <w:sz w:val="28"/>
        <w:lang w:val="en-AU" w:eastAsia="en-AU"/>
      </w:rPr>
      <w:drawing>
        <wp:anchor distT="0" distB="0" distL="114300" distR="114300" simplePos="0" relativeHeight="251658240" behindDoc="1" locked="0" layoutInCell="1" allowOverlap="1" wp14:anchorId="235E738A" wp14:editId="79834261">
          <wp:simplePos x="0" y="0"/>
          <wp:positionH relativeFrom="page">
            <wp:align>center</wp:align>
          </wp:positionH>
          <wp:positionV relativeFrom="page">
            <wp:align>bottom</wp:align>
          </wp:positionV>
          <wp:extent cx="7560000" cy="673200"/>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foot-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73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C2850" w14:textId="20D6F907" w:rsidR="007E510F" w:rsidRDefault="007E510F">
    <w:pPr>
      <w:pStyle w:val="Footer"/>
    </w:pPr>
    <w:r>
      <w:rPr>
        <w:noProof/>
      </w:rPr>
      <mc:AlternateContent>
        <mc:Choice Requires="wps">
          <w:drawing>
            <wp:anchor distT="0" distB="0" distL="0" distR="0" simplePos="0" relativeHeight="251664388" behindDoc="0" locked="0" layoutInCell="1" allowOverlap="1" wp14:anchorId="721C3BE9" wp14:editId="45AE910C">
              <wp:simplePos x="635" y="635"/>
              <wp:positionH relativeFrom="page">
                <wp:align>center</wp:align>
              </wp:positionH>
              <wp:positionV relativeFrom="page">
                <wp:align>bottom</wp:align>
              </wp:positionV>
              <wp:extent cx="551815" cy="452755"/>
              <wp:effectExtent l="0" t="0" r="635" b="0"/>
              <wp:wrapNone/>
              <wp:docPr id="112535953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B7BF18" w14:textId="7C2AD481"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1C3BE9"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5.65pt;z-index:2516643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38B7BF18" w14:textId="7C2AD481"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9C6FD" w14:textId="77777777" w:rsidR="009B639B" w:rsidRPr="008C5A0E" w:rsidRDefault="009B639B" w:rsidP="00D37B04">
      <w:pPr>
        <w:pStyle w:val="Footer"/>
      </w:pPr>
    </w:p>
  </w:footnote>
  <w:footnote w:type="continuationSeparator" w:id="0">
    <w:p w14:paraId="1D73209A" w14:textId="77777777" w:rsidR="009B639B" w:rsidRDefault="009B639B" w:rsidP="00D37B04">
      <w:r>
        <w:continuationSeparator/>
      </w:r>
    </w:p>
  </w:footnote>
  <w:footnote w:type="continuationNotice" w:id="1">
    <w:p w14:paraId="46035C63" w14:textId="77777777" w:rsidR="009B639B" w:rsidRDefault="009B639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82E2" w14:textId="5AA6C339" w:rsidR="007E510F" w:rsidRDefault="007E510F">
    <w:pPr>
      <w:pStyle w:val="Header"/>
    </w:pPr>
    <w:r>
      <w:rPr>
        <w:noProof/>
      </w:rPr>
      <mc:AlternateContent>
        <mc:Choice Requires="wps">
          <w:drawing>
            <wp:anchor distT="0" distB="0" distL="0" distR="0" simplePos="0" relativeHeight="251662340" behindDoc="0" locked="0" layoutInCell="1" allowOverlap="1" wp14:anchorId="4A9C3673" wp14:editId="594DB586">
              <wp:simplePos x="635" y="635"/>
              <wp:positionH relativeFrom="page">
                <wp:align>center</wp:align>
              </wp:positionH>
              <wp:positionV relativeFrom="page">
                <wp:align>top</wp:align>
              </wp:positionV>
              <wp:extent cx="551815" cy="452755"/>
              <wp:effectExtent l="0" t="0" r="635" b="4445"/>
              <wp:wrapNone/>
              <wp:docPr id="5712019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DDE778C" w14:textId="7A9D0AE6"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9C3673"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5.65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1DDE778C" w14:textId="7A9D0AE6"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231A" w14:textId="33830600" w:rsidR="004A4093" w:rsidRPr="004A4093" w:rsidRDefault="007E510F" w:rsidP="00AC2152">
    <w:pPr>
      <w:pStyle w:val="Footer"/>
      <w:jc w:val="left"/>
      <w:rPr>
        <w:b/>
        <w:sz w:val="28"/>
        <w:lang w:val="en-AU"/>
      </w:rPr>
    </w:pPr>
    <w:r>
      <w:rPr>
        <w:b/>
        <w:noProof/>
        <w:sz w:val="28"/>
        <w:lang w:val="en-AU"/>
      </w:rPr>
      <mc:AlternateContent>
        <mc:Choice Requires="wps">
          <w:drawing>
            <wp:anchor distT="0" distB="0" distL="0" distR="0" simplePos="0" relativeHeight="251663364" behindDoc="0" locked="0" layoutInCell="1" allowOverlap="1" wp14:anchorId="4394F164" wp14:editId="37A8E67E">
              <wp:simplePos x="723900" y="361950"/>
              <wp:positionH relativeFrom="page">
                <wp:align>center</wp:align>
              </wp:positionH>
              <wp:positionV relativeFrom="page">
                <wp:align>top</wp:align>
              </wp:positionV>
              <wp:extent cx="551815" cy="452755"/>
              <wp:effectExtent l="0" t="0" r="635" b="4445"/>
              <wp:wrapNone/>
              <wp:docPr id="208201408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47FC810" w14:textId="5C872713" w:rsidR="007E510F" w:rsidRPr="007E510F" w:rsidRDefault="007E510F" w:rsidP="007E510F">
                          <w:pPr>
                            <w:spacing w:after="0"/>
                            <w:rPr>
                              <w:rFonts w:ascii="Calibri" w:eastAsia="Calibri" w:hAnsi="Calibri" w:cs="Calibri"/>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4F164"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5.65pt;z-index:2516633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047FC810" w14:textId="5C872713" w:rsidR="007E510F" w:rsidRPr="007E510F" w:rsidRDefault="007E510F" w:rsidP="007E510F">
                    <w:pPr>
                      <w:spacing w:after="0"/>
                      <w:rPr>
                        <w:rFonts w:ascii="Calibri" w:eastAsia="Calibri" w:hAnsi="Calibri" w:cs="Calibri"/>
                        <w:noProof/>
                        <w:color w:val="FF0000"/>
                        <w:szCs w:val="24"/>
                      </w:rPr>
                    </w:pPr>
                  </w:p>
                </w:txbxContent>
              </v:textbox>
              <w10:wrap anchorx="page" anchory="page"/>
            </v:shape>
          </w:pict>
        </mc:Fallback>
      </mc:AlternateContent>
    </w:r>
    <w:r w:rsidR="00AC2152">
      <w:rPr>
        <w:b/>
        <w:noProof/>
        <w:sz w:val="28"/>
        <w:lang w:val="en-AU" w:eastAsia="en-AU"/>
      </w:rPr>
      <w:t xml:space="preserve"> </w:t>
    </w:r>
    <w:r w:rsidR="007A3F04">
      <w:rPr>
        <w:b/>
        <w:noProof/>
        <w:sz w:val="28"/>
        <w:lang w:val="en-AU" w:eastAsia="en-AU"/>
      </w:rPr>
      <w:drawing>
        <wp:anchor distT="0" distB="0" distL="114300" distR="114300" simplePos="0" relativeHeight="251658241" behindDoc="1" locked="0" layoutInCell="1" allowOverlap="1" wp14:anchorId="44A6B059" wp14:editId="49C81CE0">
          <wp:simplePos x="0" y="0"/>
          <wp:positionH relativeFrom="page">
            <wp:align>center</wp:align>
          </wp:positionH>
          <wp:positionV relativeFrom="page">
            <wp:align>top</wp:align>
          </wp:positionV>
          <wp:extent cx="7560000" cy="1036800"/>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head-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36800"/>
                  </a:xfrm>
                  <a:prstGeom prst="rect">
                    <a:avLst/>
                  </a:prstGeom>
                </pic:spPr>
              </pic:pic>
            </a:graphicData>
          </a:graphic>
          <wp14:sizeRelH relativeFrom="page">
            <wp14:pctWidth>0</wp14:pctWidth>
          </wp14:sizeRelH>
          <wp14:sizeRelV relativeFrom="page">
            <wp14:pctHeight>0</wp14:pctHeight>
          </wp14:sizeRelV>
        </wp:anchor>
      </w:drawing>
    </w:r>
  </w:p>
  <w:p w14:paraId="37FF6F8B" w14:textId="77777777" w:rsidR="007B1267" w:rsidRPr="008A51A6" w:rsidRDefault="007B1267" w:rsidP="002D5B25">
    <w:pPr>
      <w:pStyle w:val="Header"/>
      <w:rPr>
        <w:b w:val="0"/>
        <w:color w:val="FFFFFF" w:themeColor="background1"/>
        <w:sz w:val="22"/>
      </w:rPr>
    </w:pPr>
    <w:r w:rsidRPr="008A51A6">
      <w:rPr>
        <w:b w:val="0"/>
        <w:noProof/>
        <w:color w:val="FFFFFF" w:themeColor="background1"/>
        <w:sz w:val="22"/>
        <w:lang w:val="en-AU" w:eastAsia="en-AU"/>
      </w:rPr>
      <w:drawing>
        <wp:anchor distT="0" distB="0" distL="114300" distR="114300" simplePos="0" relativeHeight="251658242" behindDoc="1" locked="1" layoutInCell="1" allowOverlap="1" wp14:anchorId="1D088F59" wp14:editId="6C70183B">
          <wp:simplePos x="0" y="0"/>
          <wp:positionH relativeFrom="page">
            <wp:posOffset>652145</wp:posOffset>
          </wp:positionH>
          <wp:positionV relativeFrom="page">
            <wp:posOffset>713740</wp:posOffset>
          </wp:positionV>
          <wp:extent cx="3166110" cy="55372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110" cy="553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8D02" w14:textId="3AF2DB44" w:rsidR="004F262F" w:rsidRPr="003631D2" w:rsidRDefault="007E510F" w:rsidP="004F262F">
    <w:pPr>
      <w:spacing w:after="120"/>
      <w:rPr>
        <w:rFonts w:ascii="Arial" w:hAnsi="Arial" w:cs="Arial"/>
        <w:b/>
      </w:rPr>
    </w:pPr>
    <w:r>
      <w:rPr>
        <w:noProof/>
        <w:lang w:val="en-AU" w:eastAsia="en-AU"/>
      </w:rPr>
      <mc:AlternateContent>
        <mc:Choice Requires="wps">
          <w:drawing>
            <wp:anchor distT="0" distB="0" distL="0" distR="0" simplePos="0" relativeHeight="251661316" behindDoc="0" locked="0" layoutInCell="1" allowOverlap="1" wp14:anchorId="11D29E6A" wp14:editId="0F54CF40">
              <wp:simplePos x="635" y="635"/>
              <wp:positionH relativeFrom="page">
                <wp:align>center</wp:align>
              </wp:positionH>
              <wp:positionV relativeFrom="page">
                <wp:align>top</wp:align>
              </wp:positionV>
              <wp:extent cx="551815" cy="452755"/>
              <wp:effectExtent l="0" t="0" r="635" b="4445"/>
              <wp:wrapNone/>
              <wp:docPr id="62313216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F30307F" w14:textId="16C1452A"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D29E6A" id="_x0000_t202" coordsize="21600,21600" o:spt="202" path="m,l,21600r21600,l21600,xe">
              <v:stroke joinstyle="miter"/>
              <v:path gradientshapeok="t" o:connecttype="rect"/>
            </v:shapetype>
            <v:shape id="Text Box 1" o:spid="_x0000_s1030" type="#_x0000_t202" alt="OFFICIAL" style="position:absolute;margin-left:0;margin-top:0;width:43.45pt;height:35.65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1F30307F" w14:textId="16C1452A" w:rsidR="007E510F" w:rsidRPr="007E510F" w:rsidRDefault="007E510F" w:rsidP="007E510F">
                    <w:pPr>
                      <w:spacing w:after="0"/>
                      <w:rPr>
                        <w:rFonts w:ascii="Calibri" w:eastAsia="Calibri" w:hAnsi="Calibri" w:cs="Calibri"/>
                        <w:noProof/>
                        <w:color w:val="FF0000"/>
                        <w:szCs w:val="24"/>
                      </w:rPr>
                    </w:pPr>
                    <w:r w:rsidRPr="007E510F">
                      <w:rPr>
                        <w:rFonts w:ascii="Calibri" w:eastAsia="Calibri" w:hAnsi="Calibri" w:cs="Calibri"/>
                        <w:noProof/>
                        <w:color w:val="FF0000"/>
                        <w:szCs w:val="24"/>
                      </w:rPr>
                      <w:t>OFFICIAL</w:t>
                    </w:r>
                  </w:p>
                </w:txbxContent>
              </v:textbox>
              <w10:wrap anchorx="page" anchory="page"/>
            </v:shape>
          </w:pict>
        </mc:Fallback>
      </mc:AlternateContent>
    </w:r>
    <w:r w:rsidR="004F262F" w:rsidRPr="004F1323">
      <w:rPr>
        <w:noProof/>
        <w:lang w:val="en-AU" w:eastAsia="en-AU"/>
      </w:rPr>
      <w:drawing>
        <wp:anchor distT="0" distB="0" distL="114300" distR="114300" simplePos="0" relativeHeight="251660292" behindDoc="1" locked="0" layoutInCell="1" allowOverlap="1" wp14:anchorId="3B968DDB" wp14:editId="19CCE5E6">
          <wp:simplePos x="0" y="0"/>
          <wp:positionH relativeFrom="page">
            <wp:posOffset>-3810</wp:posOffset>
          </wp:positionH>
          <wp:positionV relativeFrom="page">
            <wp:posOffset>0</wp:posOffset>
          </wp:positionV>
          <wp:extent cx="7559675" cy="10691495"/>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AT-Letterhead-BG_Granite.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0E82577A" w14:textId="77777777" w:rsidR="004F262F" w:rsidRPr="003631D2" w:rsidRDefault="004F262F" w:rsidP="004F262F">
    <w:pPr>
      <w:rPr>
        <w:rFonts w:ascii="Arial" w:hAnsi="Arial" w:cs="Arial"/>
      </w:rPr>
    </w:pPr>
  </w:p>
  <w:p w14:paraId="39629D51" w14:textId="77777777" w:rsidR="007B1267" w:rsidRDefault="004F262F" w:rsidP="002D5B25">
    <w:pPr>
      <w:pStyle w:val="Header"/>
    </w:pPr>
    <w:r w:rsidRPr="004F1323">
      <w:rPr>
        <w:noProof/>
        <w:lang w:val="en-AU" w:eastAsia="en-AU"/>
      </w:rPr>
      <w:drawing>
        <wp:anchor distT="0" distB="0" distL="114300" distR="114300" simplePos="0" relativeHeight="251658244" behindDoc="1" locked="1" layoutInCell="1" allowOverlap="1" wp14:anchorId="649C6C23" wp14:editId="5FED74C5">
          <wp:simplePos x="0" y="0"/>
          <wp:positionH relativeFrom="page">
            <wp:posOffset>966470</wp:posOffset>
          </wp:positionH>
          <wp:positionV relativeFrom="page">
            <wp:posOffset>604520</wp:posOffset>
          </wp:positionV>
          <wp:extent cx="3166745" cy="55435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745" cy="554355"/>
                  </a:xfrm>
                  <a:prstGeom prst="rect">
                    <a:avLst/>
                  </a:prstGeom>
                </pic:spPr>
              </pic:pic>
            </a:graphicData>
          </a:graphic>
          <wp14:sizeRelH relativeFrom="margin">
            <wp14:pctWidth>0</wp14:pctWidth>
          </wp14:sizeRelH>
          <wp14:sizeRelV relativeFrom="margin">
            <wp14:pctHeight>0</wp14:pctHeight>
          </wp14:sizeRelV>
        </wp:anchor>
      </w:drawing>
    </w:r>
  </w:p>
  <w:p w14:paraId="1739F688" w14:textId="77777777" w:rsidR="007B1267" w:rsidRPr="00943730" w:rsidRDefault="007B1267" w:rsidP="0094373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F6B80"/>
    <w:multiLevelType w:val="multilevel"/>
    <w:tmpl w:val="73283DF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 w15:restartNumberingAfterBreak="0">
    <w:nsid w:val="159D6EF0"/>
    <w:multiLevelType w:val="multilevel"/>
    <w:tmpl w:val="97E8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321EE"/>
    <w:multiLevelType w:val="hybridMultilevel"/>
    <w:tmpl w:val="B9126F96"/>
    <w:lvl w:ilvl="0" w:tplc="89F041FE">
      <w:start w:val="1"/>
      <w:numFmt w:val="bullet"/>
      <w:pStyle w:val="Box1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abstractNum w:abstractNumId="3" w15:restartNumberingAfterBreak="0">
    <w:nsid w:val="1B430A3E"/>
    <w:multiLevelType w:val="hybridMultilevel"/>
    <w:tmpl w:val="4162DA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5" w15:restartNumberingAfterBreak="0">
    <w:nsid w:val="1FBB0DFE"/>
    <w:multiLevelType w:val="hybridMultilevel"/>
    <w:tmpl w:val="2E90A5F6"/>
    <w:lvl w:ilvl="0" w:tplc="0C090001">
      <w:start w:val="1"/>
      <w:numFmt w:val="bullet"/>
      <w:lvlText w:val=""/>
      <w:lvlJc w:val="left"/>
      <w:pPr>
        <w:ind w:left="720" w:hanging="360"/>
      </w:pPr>
      <w:rPr>
        <w:rFonts w:ascii="Symbol" w:hAnsi="Symbol" w:hint="default"/>
      </w:rPr>
    </w:lvl>
    <w:lvl w:ilvl="1" w:tplc="54E41858">
      <w:numFmt w:val="bullet"/>
      <w:lvlText w:val="—"/>
      <w:lvlJc w:val="left"/>
      <w:pPr>
        <w:ind w:left="1440" w:hanging="360"/>
      </w:pPr>
      <w:rPr>
        <w:rFonts w:ascii="Calibri" w:eastAsiaTheme="minorHAnsi" w:hAnsi="Calibri" w:cs="Calibri"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3600589B"/>
    <w:multiLevelType w:val="multilevel"/>
    <w:tmpl w:val="97E8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EF009D"/>
    <w:multiLevelType w:val="hybridMultilevel"/>
    <w:tmpl w:val="57EC6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3B2FBE"/>
    <w:multiLevelType w:val="hybridMultilevel"/>
    <w:tmpl w:val="AA0AB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9C21AD"/>
    <w:multiLevelType w:val="hybridMultilevel"/>
    <w:tmpl w:val="488A425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52AE191A"/>
    <w:multiLevelType w:val="hybridMultilevel"/>
    <w:tmpl w:val="58343E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56D206C4"/>
    <w:multiLevelType w:val="multilevel"/>
    <w:tmpl w:val="97E8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4" w15:restartNumberingAfterBreak="0">
    <w:nsid w:val="59CB7DFF"/>
    <w:multiLevelType w:val="multilevel"/>
    <w:tmpl w:val="97E8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6" w15:restartNumberingAfterBreak="0">
    <w:nsid w:val="63783578"/>
    <w:multiLevelType w:val="multilevel"/>
    <w:tmpl w:val="97E84B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D52CAB"/>
    <w:multiLevelType w:val="hybridMultilevel"/>
    <w:tmpl w:val="049055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65FB2D10"/>
    <w:multiLevelType w:val="hybridMultilevel"/>
    <w:tmpl w:val="DC86B4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73107305"/>
    <w:multiLevelType w:val="multilevel"/>
    <w:tmpl w:val="43428892"/>
    <w:styleLink w:val="BulletsList"/>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792E3E94"/>
    <w:multiLevelType w:val="hybridMultilevel"/>
    <w:tmpl w:val="F5FC89DC"/>
    <w:lvl w:ilvl="0" w:tplc="C8E44640">
      <w:start w:val="1"/>
      <w:numFmt w:val="bullet"/>
      <w:pStyle w:val="Box2Bullet"/>
      <w:lvlText w:val=""/>
      <w:lvlJc w:val="left"/>
      <w:pPr>
        <w:ind w:left="1004" w:hanging="360"/>
      </w:pPr>
      <w:rPr>
        <w:rFonts w:ascii="Symbol" w:hAnsi="Symbol" w:hint="default"/>
      </w:rPr>
    </w:lvl>
    <w:lvl w:ilvl="1" w:tplc="6FE2B186" w:tentative="1">
      <w:start w:val="1"/>
      <w:numFmt w:val="bullet"/>
      <w:lvlText w:val="o"/>
      <w:lvlJc w:val="left"/>
      <w:pPr>
        <w:ind w:left="1724" w:hanging="360"/>
      </w:pPr>
      <w:rPr>
        <w:rFonts w:ascii="Courier New" w:hAnsi="Courier New" w:cs="Courier New" w:hint="default"/>
      </w:rPr>
    </w:lvl>
    <w:lvl w:ilvl="2" w:tplc="FF38B1DA" w:tentative="1">
      <w:start w:val="1"/>
      <w:numFmt w:val="bullet"/>
      <w:lvlText w:val=""/>
      <w:lvlJc w:val="left"/>
      <w:pPr>
        <w:ind w:left="2444" w:hanging="360"/>
      </w:pPr>
      <w:rPr>
        <w:rFonts w:ascii="Wingdings" w:hAnsi="Wingdings" w:hint="default"/>
      </w:rPr>
    </w:lvl>
    <w:lvl w:ilvl="3" w:tplc="A672E2C2" w:tentative="1">
      <w:start w:val="1"/>
      <w:numFmt w:val="bullet"/>
      <w:lvlText w:val=""/>
      <w:lvlJc w:val="left"/>
      <w:pPr>
        <w:ind w:left="3164" w:hanging="360"/>
      </w:pPr>
      <w:rPr>
        <w:rFonts w:ascii="Symbol" w:hAnsi="Symbol" w:hint="default"/>
      </w:rPr>
    </w:lvl>
    <w:lvl w:ilvl="4" w:tplc="CCB009DC" w:tentative="1">
      <w:start w:val="1"/>
      <w:numFmt w:val="bullet"/>
      <w:lvlText w:val="o"/>
      <w:lvlJc w:val="left"/>
      <w:pPr>
        <w:ind w:left="3884" w:hanging="360"/>
      </w:pPr>
      <w:rPr>
        <w:rFonts w:ascii="Courier New" w:hAnsi="Courier New" w:cs="Courier New" w:hint="default"/>
      </w:rPr>
    </w:lvl>
    <w:lvl w:ilvl="5" w:tplc="932EB982" w:tentative="1">
      <w:start w:val="1"/>
      <w:numFmt w:val="bullet"/>
      <w:lvlText w:val=""/>
      <w:lvlJc w:val="left"/>
      <w:pPr>
        <w:ind w:left="4604" w:hanging="360"/>
      </w:pPr>
      <w:rPr>
        <w:rFonts w:ascii="Wingdings" w:hAnsi="Wingdings" w:hint="default"/>
      </w:rPr>
    </w:lvl>
    <w:lvl w:ilvl="6" w:tplc="5C5478E2" w:tentative="1">
      <w:start w:val="1"/>
      <w:numFmt w:val="bullet"/>
      <w:lvlText w:val=""/>
      <w:lvlJc w:val="left"/>
      <w:pPr>
        <w:ind w:left="5324" w:hanging="360"/>
      </w:pPr>
      <w:rPr>
        <w:rFonts w:ascii="Symbol" w:hAnsi="Symbol" w:hint="default"/>
      </w:rPr>
    </w:lvl>
    <w:lvl w:ilvl="7" w:tplc="EE165F24" w:tentative="1">
      <w:start w:val="1"/>
      <w:numFmt w:val="bullet"/>
      <w:lvlText w:val="o"/>
      <w:lvlJc w:val="left"/>
      <w:pPr>
        <w:ind w:left="6044" w:hanging="360"/>
      </w:pPr>
      <w:rPr>
        <w:rFonts w:ascii="Courier New" w:hAnsi="Courier New" w:cs="Courier New" w:hint="default"/>
      </w:rPr>
    </w:lvl>
    <w:lvl w:ilvl="8" w:tplc="5F7A628A" w:tentative="1">
      <w:start w:val="1"/>
      <w:numFmt w:val="bullet"/>
      <w:lvlText w:val=""/>
      <w:lvlJc w:val="left"/>
      <w:pPr>
        <w:ind w:left="6764" w:hanging="360"/>
      </w:pPr>
      <w:rPr>
        <w:rFonts w:ascii="Wingdings" w:hAnsi="Wingdings" w:hint="default"/>
      </w:rPr>
    </w:lvl>
  </w:abstractNum>
  <w:num w:numId="1" w16cid:durableId="1739866185">
    <w:abstractNumId w:val="19"/>
  </w:num>
  <w:num w:numId="2" w16cid:durableId="1579434691">
    <w:abstractNumId w:val="0"/>
  </w:num>
  <w:num w:numId="3" w16cid:durableId="1773168040">
    <w:abstractNumId w:val="6"/>
  </w:num>
  <w:num w:numId="4" w16cid:durableId="1001811900">
    <w:abstractNumId w:val="13"/>
  </w:num>
  <w:num w:numId="5" w16cid:durableId="500510950">
    <w:abstractNumId w:val="15"/>
  </w:num>
  <w:num w:numId="6" w16cid:durableId="789202881">
    <w:abstractNumId w:val="6"/>
  </w:num>
  <w:num w:numId="7" w16cid:durableId="198318487">
    <w:abstractNumId w:val="0"/>
  </w:num>
  <w:num w:numId="8" w16cid:durableId="1247106859">
    <w:abstractNumId w:val="2"/>
  </w:num>
  <w:num w:numId="9" w16cid:durableId="834541076">
    <w:abstractNumId w:val="20"/>
  </w:num>
  <w:num w:numId="10" w16cid:durableId="1156993968">
    <w:abstractNumId w:val="4"/>
  </w:num>
  <w:num w:numId="11" w16cid:durableId="1726753424">
    <w:abstractNumId w:val="8"/>
  </w:num>
  <w:num w:numId="12" w16cid:durableId="1894349187">
    <w:abstractNumId w:val="9"/>
  </w:num>
  <w:num w:numId="13" w16cid:durableId="1819609101">
    <w:abstractNumId w:val="10"/>
  </w:num>
  <w:num w:numId="14" w16cid:durableId="465049257">
    <w:abstractNumId w:val="17"/>
  </w:num>
  <w:num w:numId="15" w16cid:durableId="1850946954">
    <w:abstractNumId w:val="5"/>
  </w:num>
  <w:num w:numId="16" w16cid:durableId="1768188958">
    <w:abstractNumId w:val="3"/>
  </w:num>
  <w:num w:numId="17" w16cid:durableId="949510030">
    <w:abstractNumId w:val="11"/>
  </w:num>
  <w:num w:numId="18" w16cid:durableId="990910394">
    <w:abstractNumId w:val="18"/>
  </w:num>
  <w:num w:numId="19" w16cid:durableId="337316731">
    <w:abstractNumId w:val="16"/>
  </w:num>
  <w:num w:numId="20" w16cid:durableId="333412141">
    <w:abstractNumId w:val="14"/>
  </w:num>
  <w:num w:numId="21" w16cid:durableId="1249576253">
    <w:abstractNumId w:val="12"/>
  </w:num>
  <w:num w:numId="22" w16cid:durableId="880746170">
    <w:abstractNumId w:val="7"/>
  </w:num>
  <w:num w:numId="23" w16cid:durableId="1526943599">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4BD"/>
    <w:rsid w:val="00001DA8"/>
    <w:rsid w:val="000020C1"/>
    <w:rsid w:val="0000652C"/>
    <w:rsid w:val="00015D0C"/>
    <w:rsid w:val="0002080A"/>
    <w:rsid w:val="00021BFC"/>
    <w:rsid w:val="0002782F"/>
    <w:rsid w:val="000332FC"/>
    <w:rsid w:val="00034D04"/>
    <w:rsid w:val="00035BBF"/>
    <w:rsid w:val="00050806"/>
    <w:rsid w:val="000546D9"/>
    <w:rsid w:val="00054E4D"/>
    <w:rsid w:val="00060073"/>
    <w:rsid w:val="000616C6"/>
    <w:rsid w:val="000662CC"/>
    <w:rsid w:val="00066D37"/>
    <w:rsid w:val="0007030E"/>
    <w:rsid w:val="00070450"/>
    <w:rsid w:val="00073CEE"/>
    <w:rsid w:val="00083065"/>
    <w:rsid w:val="000854FD"/>
    <w:rsid w:val="00087B61"/>
    <w:rsid w:val="00093EB4"/>
    <w:rsid w:val="000B3010"/>
    <w:rsid w:val="000B37F5"/>
    <w:rsid w:val="000B3ED7"/>
    <w:rsid w:val="000B46D7"/>
    <w:rsid w:val="000B7584"/>
    <w:rsid w:val="000D381C"/>
    <w:rsid w:val="000D66D6"/>
    <w:rsid w:val="000E4362"/>
    <w:rsid w:val="000F3E74"/>
    <w:rsid w:val="00113288"/>
    <w:rsid w:val="001214BE"/>
    <w:rsid w:val="00123988"/>
    <w:rsid w:val="00126D2B"/>
    <w:rsid w:val="0013101C"/>
    <w:rsid w:val="00132871"/>
    <w:rsid w:val="00137C83"/>
    <w:rsid w:val="001404E3"/>
    <w:rsid w:val="0014333F"/>
    <w:rsid w:val="001461D6"/>
    <w:rsid w:val="00151A2A"/>
    <w:rsid w:val="00151D71"/>
    <w:rsid w:val="001533FD"/>
    <w:rsid w:val="001541EA"/>
    <w:rsid w:val="00155A45"/>
    <w:rsid w:val="001A397B"/>
    <w:rsid w:val="001B7A9E"/>
    <w:rsid w:val="001D090B"/>
    <w:rsid w:val="001D663E"/>
    <w:rsid w:val="001E1DC0"/>
    <w:rsid w:val="001E6822"/>
    <w:rsid w:val="00201FB9"/>
    <w:rsid w:val="00243934"/>
    <w:rsid w:val="00253C5A"/>
    <w:rsid w:val="00256DE8"/>
    <w:rsid w:val="00262B3E"/>
    <w:rsid w:val="002711D8"/>
    <w:rsid w:val="0027509B"/>
    <w:rsid w:val="00276469"/>
    <w:rsid w:val="0028602A"/>
    <w:rsid w:val="002A5A12"/>
    <w:rsid w:val="002B0402"/>
    <w:rsid w:val="002B5238"/>
    <w:rsid w:val="002B5E10"/>
    <w:rsid w:val="002C1B61"/>
    <w:rsid w:val="002C2AD5"/>
    <w:rsid w:val="002C793D"/>
    <w:rsid w:val="002D0760"/>
    <w:rsid w:val="002D5B25"/>
    <w:rsid w:val="002E0899"/>
    <w:rsid w:val="002E3C11"/>
    <w:rsid w:val="002E7D69"/>
    <w:rsid w:val="002F4F2B"/>
    <w:rsid w:val="003002C0"/>
    <w:rsid w:val="00301144"/>
    <w:rsid w:val="003031C6"/>
    <w:rsid w:val="0030482F"/>
    <w:rsid w:val="00304984"/>
    <w:rsid w:val="003108BF"/>
    <w:rsid w:val="00312BF8"/>
    <w:rsid w:val="003148B7"/>
    <w:rsid w:val="003158C3"/>
    <w:rsid w:val="00321165"/>
    <w:rsid w:val="00322242"/>
    <w:rsid w:val="003274CD"/>
    <w:rsid w:val="00333501"/>
    <w:rsid w:val="00334F0A"/>
    <w:rsid w:val="00343236"/>
    <w:rsid w:val="003457C4"/>
    <w:rsid w:val="00345A88"/>
    <w:rsid w:val="00345DE4"/>
    <w:rsid w:val="0035119D"/>
    <w:rsid w:val="00353113"/>
    <w:rsid w:val="003571A7"/>
    <w:rsid w:val="00357B3A"/>
    <w:rsid w:val="00363159"/>
    <w:rsid w:val="00376277"/>
    <w:rsid w:val="00386BC5"/>
    <w:rsid w:val="00391B99"/>
    <w:rsid w:val="0039344A"/>
    <w:rsid w:val="003B4F12"/>
    <w:rsid w:val="003B649A"/>
    <w:rsid w:val="003C296E"/>
    <w:rsid w:val="003E0039"/>
    <w:rsid w:val="003E11E2"/>
    <w:rsid w:val="003E1A56"/>
    <w:rsid w:val="003E59E8"/>
    <w:rsid w:val="003F2041"/>
    <w:rsid w:val="00402ACC"/>
    <w:rsid w:val="00405DBB"/>
    <w:rsid w:val="00411EF3"/>
    <w:rsid w:val="004120EC"/>
    <w:rsid w:val="00412FC4"/>
    <w:rsid w:val="00415E8E"/>
    <w:rsid w:val="00423F31"/>
    <w:rsid w:val="00426C17"/>
    <w:rsid w:val="00431899"/>
    <w:rsid w:val="00431E42"/>
    <w:rsid w:val="00455B23"/>
    <w:rsid w:val="004570DB"/>
    <w:rsid w:val="0045721C"/>
    <w:rsid w:val="00461141"/>
    <w:rsid w:val="00462F2D"/>
    <w:rsid w:val="00464472"/>
    <w:rsid w:val="00475681"/>
    <w:rsid w:val="00482987"/>
    <w:rsid w:val="00482AE8"/>
    <w:rsid w:val="00486804"/>
    <w:rsid w:val="004A4093"/>
    <w:rsid w:val="004B3775"/>
    <w:rsid w:val="004D0989"/>
    <w:rsid w:val="004D0BA0"/>
    <w:rsid w:val="004E058F"/>
    <w:rsid w:val="004E3B87"/>
    <w:rsid w:val="004E9A2D"/>
    <w:rsid w:val="004F1323"/>
    <w:rsid w:val="004F262F"/>
    <w:rsid w:val="00506C1C"/>
    <w:rsid w:val="00510921"/>
    <w:rsid w:val="00510AD3"/>
    <w:rsid w:val="00512141"/>
    <w:rsid w:val="005121BC"/>
    <w:rsid w:val="005130EF"/>
    <w:rsid w:val="00513348"/>
    <w:rsid w:val="005134DF"/>
    <w:rsid w:val="00513AD8"/>
    <w:rsid w:val="005204D2"/>
    <w:rsid w:val="00522396"/>
    <w:rsid w:val="00533B5D"/>
    <w:rsid w:val="0054627C"/>
    <w:rsid w:val="0058186E"/>
    <w:rsid w:val="00583019"/>
    <w:rsid w:val="0059289C"/>
    <w:rsid w:val="00593E27"/>
    <w:rsid w:val="005A20F6"/>
    <w:rsid w:val="005A37BD"/>
    <w:rsid w:val="005B22DC"/>
    <w:rsid w:val="005C6961"/>
    <w:rsid w:val="005D3655"/>
    <w:rsid w:val="005E4830"/>
    <w:rsid w:val="00611D29"/>
    <w:rsid w:val="00615FDC"/>
    <w:rsid w:val="00622B86"/>
    <w:rsid w:val="00623BA1"/>
    <w:rsid w:val="006346BC"/>
    <w:rsid w:val="00645776"/>
    <w:rsid w:val="006542E2"/>
    <w:rsid w:val="0065EB0D"/>
    <w:rsid w:val="0066652A"/>
    <w:rsid w:val="006719C3"/>
    <w:rsid w:val="00680522"/>
    <w:rsid w:val="00682167"/>
    <w:rsid w:val="00697D21"/>
    <w:rsid w:val="006B19C4"/>
    <w:rsid w:val="006B53B3"/>
    <w:rsid w:val="006B5E1C"/>
    <w:rsid w:val="006B66A5"/>
    <w:rsid w:val="006C42AF"/>
    <w:rsid w:val="006F1189"/>
    <w:rsid w:val="006F3656"/>
    <w:rsid w:val="006F6A65"/>
    <w:rsid w:val="007003B6"/>
    <w:rsid w:val="00711D8E"/>
    <w:rsid w:val="00712672"/>
    <w:rsid w:val="00712804"/>
    <w:rsid w:val="00714FBD"/>
    <w:rsid w:val="00715B5B"/>
    <w:rsid w:val="00720AB4"/>
    <w:rsid w:val="007213EB"/>
    <w:rsid w:val="007232BA"/>
    <w:rsid w:val="007259CE"/>
    <w:rsid w:val="007303B5"/>
    <w:rsid w:val="00734E3F"/>
    <w:rsid w:val="00736985"/>
    <w:rsid w:val="00745DF5"/>
    <w:rsid w:val="007502AA"/>
    <w:rsid w:val="0076250F"/>
    <w:rsid w:val="007779D8"/>
    <w:rsid w:val="00780FA5"/>
    <w:rsid w:val="00795D76"/>
    <w:rsid w:val="007A3F04"/>
    <w:rsid w:val="007A5252"/>
    <w:rsid w:val="007B1267"/>
    <w:rsid w:val="007B44D3"/>
    <w:rsid w:val="007B6200"/>
    <w:rsid w:val="007C1263"/>
    <w:rsid w:val="007C5399"/>
    <w:rsid w:val="007C7F7B"/>
    <w:rsid w:val="007D4BE4"/>
    <w:rsid w:val="007E510F"/>
    <w:rsid w:val="007F3395"/>
    <w:rsid w:val="007F48A6"/>
    <w:rsid w:val="007F5458"/>
    <w:rsid w:val="00800D6A"/>
    <w:rsid w:val="00801B9F"/>
    <w:rsid w:val="0080204D"/>
    <w:rsid w:val="00812D01"/>
    <w:rsid w:val="008223E4"/>
    <w:rsid w:val="00825AC7"/>
    <w:rsid w:val="00842565"/>
    <w:rsid w:val="00846973"/>
    <w:rsid w:val="008475F0"/>
    <w:rsid w:val="0085567A"/>
    <w:rsid w:val="008557A7"/>
    <w:rsid w:val="00865B9D"/>
    <w:rsid w:val="00870269"/>
    <w:rsid w:val="00870928"/>
    <w:rsid w:val="00881544"/>
    <w:rsid w:val="00887172"/>
    <w:rsid w:val="008902DF"/>
    <w:rsid w:val="0089405C"/>
    <w:rsid w:val="00894DA6"/>
    <w:rsid w:val="00897FA2"/>
    <w:rsid w:val="008A3985"/>
    <w:rsid w:val="008A4544"/>
    <w:rsid w:val="008A4F87"/>
    <w:rsid w:val="008A51A6"/>
    <w:rsid w:val="008A5AFE"/>
    <w:rsid w:val="008B13B0"/>
    <w:rsid w:val="008C3E04"/>
    <w:rsid w:val="008C5A0E"/>
    <w:rsid w:val="008C6CCD"/>
    <w:rsid w:val="008E22FE"/>
    <w:rsid w:val="008F0F71"/>
    <w:rsid w:val="008F334C"/>
    <w:rsid w:val="008F4444"/>
    <w:rsid w:val="009026F1"/>
    <w:rsid w:val="009312F5"/>
    <w:rsid w:val="009418F3"/>
    <w:rsid w:val="00943730"/>
    <w:rsid w:val="00965224"/>
    <w:rsid w:val="00965C6D"/>
    <w:rsid w:val="00975767"/>
    <w:rsid w:val="00975CA5"/>
    <w:rsid w:val="009805E9"/>
    <w:rsid w:val="00986590"/>
    <w:rsid w:val="0099099D"/>
    <w:rsid w:val="00992C76"/>
    <w:rsid w:val="009969D6"/>
    <w:rsid w:val="00996F0C"/>
    <w:rsid w:val="009A1B00"/>
    <w:rsid w:val="009B10E5"/>
    <w:rsid w:val="009B4662"/>
    <w:rsid w:val="009B4D3B"/>
    <w:rsid w:val="009B639B"/>
    <w:rsid w:val="009C4714"/>
    <w:rsid w:val="009D7407"/>
    <w:rsid w:val="009E0866"/>
    <w:rsid w:val="009E10FB"/>
    <w:rsid w:val="009E273C"/>
    <w:rsid w:val="009E6712"/>
    <w:rsid w:val="009E7D68"/>
    <w:rsid w:val="009F0159"/>
    <w:rsid w:val="009F1350"/>
    <w:rsid w:val="009F6423"/>
    <w:rsid w:val="009F7EB6"/>
    <w:rsid w:val="00A00C04"/>
    <w:rsid w:val="00A06B49"/>
    <w:rsid w:val="00A12843"/>
    <w:rsid w:val="00A13F7B"/>
    <w:rsid w:val="00A24A62"/>
    <w:rsid w:val="00A26C7D"/>
    <w:rsid w:val="00A31C9F"/>
    <w:rsid w:val="00A4144F"/>
    <w:rsid w:val="00A42274"/>
    <w:rsid w:val="00A51B12"/>
    <w:rsid w:val="00A51CD0"/>
    <w:rsid w:val="00A5201D"/>
    <w:rsid w:val="00A61B4D"/>
    <w:rsid w:val="00A701A3"/>
    <w:rsid w:val="00A70F45"/>
    <w:rsid w:val="00A7345A"/>
    <w:rsid w:val="00A73F4D"/>
    <w:rsid w:val="00A7772A"/>
    <w:rsid w:val="00A80F95"/>
    <w:rsid w:val="00A97BF1"/>
    <w:rsid w:val="00AA298A"/>
    <w:rsid w:val="00AA5DF2"/>
    <w:rsid w:val="00AA6818"/>
    <w:rsid w:val="00AC164A"/>
    <w:rsid w:val="00AC2152"/>
    <w:rsid w:val="00AC3E16"/>
    <w:rsid w:val="00AD0F8F"/>
    <w:rsid w:val="00AD3B07"/>
    <w:rsid w:val="00AD4759"/>
    <w:rsid w:val="00AD6F62"/>
    <w:rsid w:val="00AE01D5"/>
    <w:rsid w:val="00AE448A"/>
    <w:rsid w:val="00AF2050"/>
    <w:rsid w:val="00AF6D04"/>
    <w:rsid w:val="00B02AD8"/>
    <w:rsid w:val="00B03CA8"/>
    <w:rsid w:val="00B10166"/>
    <w:rsid w:val="00B17A4D"/>
    <w:rsid w:val="00B26AEB"/>
    <w:rsid w:val="00B31237"/>
    <w:rsid w:val="00B33C0A"/>
    <w:rsid w:val="00B525B2"/>
    <w:rsid w:val="00B55E19"/>
    <w:rsid w:val="00B56554"/>
    <w:rsid w:val="00B669C6"/>
    <w:rsid w:val="00B674D2"/>
    <w:rsid w:val="00B83857"/>
    <w:rsid w:val="00B84C3B"/>
    <w:rsid w:val="00B857E1"/>
    <w:rsid w:val="00B90F6E"/>
    <w:rsid w:val="00B94758"/>
    <w:rsid w:val="00BA4B6D"/>
    <w:rsid w:val="00BA7A0F"/>
    <w:rsid w:val="00BB15C3"/>
    <w:rsid w:val="00BB26C5"/>
    <w:rsid w:val="00BB27AB"/>
    <w:rsid w:val="00BB5C11"/>
    <w:rsid w:val="00BB6357"/>
    <w:rsid w:val="00BC0DB3"/>
    <w:rsid w:val="00BE74A1"/>
    <w:rsid w:val="00BF4DE6"/>
    <w:rsid w:val="00C011A5"/>
    <w:rsid w:val="00C01408"/>
    <w:rsid w:val="00C06B13"/>
    <w:rsid w:val="00C06B3A"/>
    <w:rsid w:val="00C27D25"/>
    <w:rsid w:val="00C31676"/>
    <w:rsid w:val="00C34761"/>
    <w:rsid w:val="00C42541"/>
    <w:rsid w:val="00C42CDE"/>
    <w:rsid w:val="00C44BDD"/>
    <w:rsid w:val="00C5182A"/>
    <w:rsid w:val="00C5371B"/>
    <w:rsid w:val="00C60101"/>
    <w:rsid w:val="00C61A5C"/>
    <w:rsid w:val="00C61A99"/>
    <w:rsid w:val="00C63EE9"/>
    <w:rsid w:val="00C700C0"/>
    <w:rsid w:val="00C70697"/>
    <w:rsid w:val="00C86634"/>
    <w:rsid w:val="00C92FAA"/>
    <w:rsid w:val="00CA16F3"/>
    <w:rsid w:val="00CA37B1"/>
    <w:rsid w:val="00CA5AA1"/>
    <w:rsid w:val="00CB1959"/>
    <w:rsid w:val="00CB7201"/>
    <w:rsid w:val="00CC28FA"/>
    <w:rsid w:val="00CC741B"/>
    <w:rsid w:val="00CD0E4B"/>
    <w:rsid w:val="00CD3AB3"/>
    <w:rsid w:val="00CE062B"/>
    <w:rsid w:val="00CE408B"/>
    <w:rsid w:val="00CE4C89"/>
    <w:rsid w:val="00CF07BA"/>
    <w:rsid w:val="00D0296C"/>
    <w:rsid w:val="00D03EB0"/>
    <w:rsid w:val="00D164BD"/>
    <w:rsid w:val="00D167A6"/>
    <w:rsid w:val="00D17DA3"/>
    <w:rsid w:val="00D22B27"/>
    <w:rsid w:val="00D26CEB"/>
    <w:rsid w:val="00D31D77"/>
    <w:rsid w:val="00D32D6F"/>
    <w:rsid w:val="00D37B04"/>
    <w:rsid w:val="00D540C6"/>
    <w:rsid w:val="00D60482"/>
    <w:rsid w:val="00D61024"/>
    <w:rsid w:val="00D64BD1"/>
    <w:rsid w:val="00D7241B"/>
    <w:rsid w:val="00D75D32"/>
    <w:rsid w:val="00D82C27"/>
    <w:rsid w:val="00D92254"/>
    <w:rsid w:val="00DB0A3F"/>
    <w:rsid w:val="00DC50F4"/>
    <w:rsid w:val="00DC68AB"/>
    <w:rsid w:val="00DE084C"/>
    <w:rsid w:val="00DE147C"/>
    <w:rsid w:val="00DF7DDA"/>
    <w:rsid w:val="00E027C6"/>
    <w:rsid w:val="00E1017F"/>
    <w:rsid w:val="00E14F51"/>
    <w:rsid w:val="00E30797"/>
    <w:rsid w:val="00E357B7"/>
    <w:rsid w:val="00E50684"/>
    <w:rsid w:val="00E53800"/>
    <w:rsid w:val="00E57726"/>
    <w:rsid w:val="00E6081F"/>
    <w:rsid w:val="00E615A9"/>
    <w:rsid w:val="00E8296D"/>
    <w:rsid w:val="00E8457B"/>
    <w:rsid w:val="00E912E5"/>
    <w:rsid w:val="00E94EA0"/>
    <w:rsid w:val="00E964F4"/>
    <w:rsid w:val="00EA04B2"/>
    <w:rsid w:val="00EA20F3"/>
    <w:rsid w:val="00EA5037"/>
    <w:rsid w:val="00EB0A13"/>
    <w:rsid w:val="00EC3F7D"/>
    <w:rsid w:val="00ED2831"/>
    <w:rsid w:val="00ED43D1"/>
    <w:rsid w:val="00ED6744"/>
    <w:rsid w:val="00EE4EE1"/>
    <w:rsid w:val="00EF348E"/>
    <w:rsid w:val="00EF4574"/>
    <w:rsid w:val="00F12FBD"/>
    <w:rsid w:val="00F24327"/>
    <w:rsid w:val="00F25A93"/>
    <w:rsid w:val="00F2684E"/>
    <w:rsid w:val="00F2739F"/>
    <w:rsid w:val="00F40D3A"/>
    <w:rsid w:val="00F42C46"/>
    <w:rsid w:val="00F5404C"/>
    <w:rsid w:val="00F729EF"/>
    <w:rsid w:val="00F77AD5"/>
    <w:rsid w:val="00F77CAE"/>
    <w:rsid w:val="00F77E37"/>
    <w:rsid w:val="00F81798"/>
    <w:rsid w:val="00F82271"/>
    <w:rsid w:val="00F83428"/>
    <w:rsid w:val="00F94D1A"/>
    <w:rsid w:val="00F96BB9"/>
    <w:rsid w:val="00F96CD3"/>
    <w:rsid w:val="00FA3B24"/>
    <w:rsid w:val="00FA7AEA"/>
    <w:rsid w:val="00FB15A5"/>
    <w:rsid w:val="00FC1368"/>
    <w:rsid w:val="00FC7D3D"/>
    <w:rsid w:val="00FD101A"/>
    <w:rsid w:val="00FE6D51"/>
    <w:rsid w:val="00FE6F2A"/>
    <w:rsid w:val="00FF3704"/>
    <w:rsid w:val="0134F3C1"/>
    <w:rsid w:val="0158F553"/>
    <w:rsid w:val="01F84B66"/>
    <w:rsid w:val="024353BD"/>
    <w:rsid w:val="026A3FD7"/>
    <w:rsid w:val="029D1245"/>
    <w:rsid w:val="030033DF"/>
    <w:rsid w:val="03137C35"/>
    <w:rsid w:val="036512B3"/>
    <w:rsid w:val="039020B3"/>
    <w:rsid w:val="04A0C7C7"/>
    <w:rsid w:val="054ED601"/>
    <w:rsid w:val="0685A0D4"/>
    <w:rsid w:val="06F13227"/>
    <w:rsid w:val="0782A7E9"/>
    <w:rsid w:val="0785170E"/>
    <w:rsid w:val="0790C3D6"/>
    <w:rsid w:val="0812A72F"/>
    <w:rsid w:val="082C1718"/>
    <w:rsid w:val="08CB090B"/>
    <w:rsid w:val="090283C9"/>
    <w:rsid w:val="09A78724"/>
    <w:rsid w:val="0A14DA62"/>
    <w:rsid w:val="0ABFC29B"/>
    <w:rsid w:val="0BC6AD12"/>
    <w:rsid w:val="0C1A3E93"/>
    <w:rsid w:val="0C99997F"/>
    <w:rsid w:val="0CF80057"/>
    <w:rsid w:val="0DBD86AA"/>
    <w:rsid w:val="0E9AC595"/>
    <w:rsid w:val="0EFB5CBA"/>
    <w:rsid w:val="0F2A702D"/>
    <w:rsid w:val="0F8BABDA"/>
    <w:rsid w:val="10B6A3F7"/>
    <w:rsid w:val="10F4715A"/>
    <w:rsid w:val="118F18DB"/>
    <w:rsid w:val="11AA79AD"/>
    <w:rsid w:val="12ABB7CD"/>
    <w:rsid w:val="12B1EAF3"/>
    <w:rsid w:val="12F4514B"/>
    <w:rsid w:val="1344F0C1"/>
    <w:rsid w:val="139A9851"/>
    <w:rsid w:val="13D8300D"/>
    <w:rsid w:val="1469AFEF"/>
    <w:rsid w:val="1746BEDE"/>
    <w:rsid w:val="1A5851E1"/>
    <w:rsid w:val="1B0C47E9"/>
    <w:rsid w:val="1B5893EB"/>
    <w:rsid w:val="1CA254BE"/>
    <w:rsid w:val="1D0E5B49"/>
    <w:rsid w:val="1D158E6F"/>
    <w:rsid w:val="1FB18B9A"/>
    <w:rsid w:val="20AE9DD9"/>
    <w:rsid w:val="20DB9B5B"/>
    <w:rsid w:val="20FB298E"/>
    <w:rsid w:val="21443DD6"/>
    <w:rsid w:val="215242BC"/>
    <w:rsid w:val="2154E4DF"/>
    <w:rsid w:val="2223FC7D"/>
    <w:rsid w:val="228748DB"/>
    <w:rsid w:val="22CA4383"/>
    <w:rsid w:val="22D72210"/>
    <w:rsid w:val="2381001B"/>
    <w:rsid w:val="247CF89E"/>
    <w:rsid w:val="25BC55DE"/>
    <w:rsid w:val="2661C3C5"/>
    <w:rsid w:val="266EE491"/>
    <w:rsid w:val="26B243E0"/>
    <w:rsid w:val="27332E3B"/>
    <w:rsid w:val="283163DC"/>
    <w:rsid w:val="2870FC10"/>
    <w:rsid w:val="28979C80"/>
    <w:rsid w:val="28A0EC08"/>
    <w:rsid w:val="299ADA44"/>
    <w:rsid w:val="2A43482E"/>
    <w:rsid w:val="2A4ED556"/>
    <w:rsid w:val="2A7AC2EC"/>
    <w:rsid w:val="2AECB75D"/>
    <w:rsid w:val="2B9D5C8A"/>
    <w:rsid w:val="2C1D1F12"/>
    <w:rsid w:val="2C816481"/>
    <w:rsid w:val="2CC4FDB8"/>
    <w:rsid w:val="2CDB6F79"/>
    <w:rsid w:val="2CF38BC3"/>
    <w:rsid w:val="2D5D0F03"/>
    <w:rsid w:val="2D927DB6"/>
    <w:rsid w:val="2E11D8A2"/>
    <w:rsid w:val="2E4302A0"/>
    <w:rsid w:val="2E4341F8"/>
    <w:rsid w:val="2EC3EB93"/>
    <w:rsid w:val="2EF9A8A1"/>
    <w:rsid w:val="2F0F316D"/>
    <w:rsid w:val="2F5F3786"/>
    <w:rsid w:val="2F6C549A"/>
    <w:rsid w:val="30827483"/>
    <w:rsid w:val="30BE16DA"/>
    <w:rsid w:val="31355453"/>
    <w:rsid w:val="31783A57"/>
    <w:rsid w:val="317A2130"/>
    <w:rsid w:val="317A4B42"/>
    <w:rsid w:val="319742B6"/>
    <w:rsid w:val="31F3C797"/>
    <w:rsid w:val="33343F3C"/>
    <w:rsid w:val="33B46163"/>
    <w:rsid w:val="33D384C8"/>
    <w:rsid w:val="33F5B79C"/>
    <w:rsid w:val="3515FF9D"/>
    <w:rsid w:val="35538FD6"/>
    <w:rsid w:val="359187FD"/>
    <w:rsid w:val="366D81CC"/>
    <w:rsid w:val="368B2B70"/>
    <w:rsid w:val="36A673BE"/>
    <w:rsid w:val="36BE6D2B"/>
    <w:rsid w:val="36FCA534"/>
    <w:rsid w:val="382DBA67"/>
    <w:rsid w:val="38350F7A"/>
    <w:rsid w:val="3856B09C"/>
    <w:rsid w:val="38620CFC"/>
    <w:rsid w:val="38FB7352"/>
    <w:rsid w:val="399CF1ED"/>
    <w:rsid w:val="39E578A6"/>
    <w:rsid w:val="3A0EE65E"/>
    <w:rsid w:val="3B342AC7"/>
    <w:rsid w:val="3B58BC13"/>
    <w:rsid w:val="3D44B94E"/>
    <w:rsid w:val="3D490BB8"/>
    <w:rsid w:val="3D633B98"/>
    <w:rsid w:val="3E18A0C1"/>
    <w:rsid w:val="3E213A83"/>
    <w:rsid w:val="3EAAA9F2"/>
    <w:rsid w:val="3F03BAF0"/>
    <w:rsid w:val="3F22E29C"/>
    <w:rsid w:val="3FB47122"/>
    <w:rsid w:val="41AED53A"/>
    <w:rsid w:val="425E57BA"/>
    <w:rsid w:val="432A472F"/>
    <w:rsid w:val="43B77DA6"/>
    <w:rsid w:val="442DB162"/>
    <w:rsid w:val="447FC50F"/>
    <w:rsid w:val="44E675FC"/>
    <w:rsid w:val="452A8605"/>
    <w:rsid w:val="45761284"/>
    <w:rsid w:val="457D6797"/>
    <w:rsid w:val="45AA6519"/>
    <w:rsid w:val="460299C2"/>
    <w:rsid w:val="467F7C4D"/>
    <w:rsid w:val="4758BAA6"/>
    <w:rsid w:val="475C9E5E"/>
    <w:rsid w:val="490E6BE5"/>
    <w:rsid w:val="4972E425"/>
    <w:rsid w:val="497DCB20"/>
    <w:rsid w:val="499C9D2F"/>
    <w:rsid w:val="49BE1F4D"/>
    <w:rsid w:val="49F225FF"/>
    <w:rsid w:val="4A335B0A"/>
    <w:rsid w:val="4AB78D2C"/>
    <w:rsid w:val="4AC91F57"/>
    <w:rsid w:val="4B348ECB"/>
    <w:rsid w:val="4BF3020F"/>
    <w:rsid w:val="4C27E3EF"/>
    <w:rsid w:val="4C50253C"/>
    <w:rsid w:val="4CBB435D"/>
    <w:rsid w:val="4DCA4E2F"/>
    <w:rsid w:val="4E295914"/>
    <w:rsid w:val="4E3ECD64"/>
    <w:rsid w:val="4E692212"/>
    <w:rsid w:val="4F6F3519"/>
    <w:rsid w:val="502928A3"/>
    <w:rsid w:val="50EBE8D0"/>
    <w:rsid w:val="526758DC"/>
    <w:rsid w:val="528E44F6"/>
    <w:rsid w:val="52BE6AA1"/>
    <w:rsid w:val="532AFDBB"/>
    <w:rsid w:val="540E20D6"/>
    <w:rsid w:val="5484F5BC"/>
    <w:rsid w:val="5557C13D"/>
    <w:rsid w:val="55BE14A7"/>
    <w:rsid w:val="56A39D82"/>
    <w:rsid w:val="56B3E72F"/>
    <w:rsid w:val="5733421B"/>
    <w:rsid w:val="579F2524"/>
    <w:rsid w:val="57BEA675"/>
    <w:rsid w:val="582AEDC8"/>
    <w:rsid w:val="58BF81BA"/>
    <w:rsid w:val="58D9D744"/>
    <w:rsid w:val="5921EA43"/>
    <w:rsid w:val="5924E279"/>
    <w:rsid w:val="59D2D8D0"/>
    <w:rsid w:val="5AF8DC6A"/>
    <w:rsid w:val="5B872581"/>
    <w:rsid w:val="5C65EA50"/>
    <w:rsid w:val="5C9942DE"/>
    <w:rsid w:val="5D02958D"/>
    <w:rsid w:val="5DE9F132"/>
    <w:rsid w:val="5E6544B7"/>
    <w:rsid w:val="5E70A93D"/>
    <w:rsid w:val="5EA1D280"/>
    <w:rsid w:val="5EBAF207"/>
    <w:rsid w:val="5F1C1FED"/>
    <w:rsid w:val="5F7CA20F"/>
    <w:rsid w:val="604739F3"/>
    <w:rsid w:val="616B4E40"/>
    <w:rsid w:val="61FCBFF9"/>
    <w:rsid w:val="6214B966"/>
    <w:rsid w:val="62596FF9"/>
    <w:rsid w:val="62A1C354"/>
    <w:rsid w:val="62E6BA43"/>
    <w:rsid w:val="630FFF1D"/>
    <w:rsid w:val="632D27AE"/>
    <w:rsid w:val="639F1C1F"/>
    <w:rsid w:val="63D22B09"/>
    <w:rsid w:val="643091E1"/>
    <w:rsid w:val="6466EB1A"/>
    <w:rsid w:val="64A2EF02"/>
    <w:rsid w:val="64DC6C0D"/>
    <w:rsid w:val="64F83EF4"/>
    <w:rsid w:val="65B06DC1"/>
    <w:rsid w:val="6655711C"/>
    <w:rsid w:val="66EE51A7"/>
    <w:rsid w:val="66F5A6BA"/>
    <w:rsid w:val="67023A60"/>
    <w:rsid w:val="67955B56"/>
    <w:rsid w:val="679F15E9"/>
    <w:rsid w:val="67F74623"/>
    <w:rsid w:val="68C8288B"/>
    <w:rsid w:val="68CF7D9E"/>
    <w:rsid w:val="69869BCF"/>
    <w:rsid w:val="698DBE11"/>
    <w:rsid w:val="6A013EAB"/>
    <w:rsid w:val="6AA921B1"/>
    <w:rsid w:val="6BE867B7"/>
    <w:rsid w:val="6D4ED5AD"/>
    <w:rsid w:val="6E48EC5B"/>
    <w:rsid w:val="6E6FA446"/>
    <w:rsid w:val="6FA23B43"/>
    <w:rsid w:val="700C0111"/>
    <w:rsid w:val="70A5A576"/>
    <w:rsid w:val="7190E36B"/>
    <w:rsid w:val="719138C4"/>
    <w:rsid w:val="725C0CA0"/>
    <w:rsid w:val="725CD2E0"/>
    <w:rsid w:val="7296DA62"/>
    <w:rsid w:val="729A77CA"/>
    <w:rsid w:val="72F25FB0"/>
    <w:rsid w:val="72F45A0A"/>
    <w:rsid w:val="72F8C5DE"/>
    <w:rsid w:val="73F7DD01"/>
    <w:rsid w:val="7409AC42"/>
    <w:rsid w:val="7436482B"/>
    <w:rsid w:val="743DFED7"/>
    <w:rsid w:val="75248F09"/>
    <w:rsid w:val="75B71F27"/>
    <w:rsid w:val="75B96EE3"/>
    <w:rsid w:val="75D2188C"/>
    <w:rsid w:val="75F533C3"/>
    <w:rsid w:val="76859CC5"/>
    <w:rsid w:val="76ACE153"/>
    <w:rsid w:val="776DE8ED"/>
    <w:rsid w:val="7865F91C"/>
    <w:rsid w:val="78AB813E"/>
    <w:rsid w:val="78B6F076"/>
    <w:rsid w:val="7909B94E"/>
    <w:rsid w:val="79F84E34"/>
    <w:rsid w:val="7AA9F3DA"/>
    <w:rsid w:val="7B5BCA83"/>
    <w:rsid w:val="7BBA2BAB"/>
    <w:rsid w:val="7BCC9A8A"/>
    <w:rsid w:val="7C1426AF"/>
    <w:rsid w:val="7E62DB43"/>
    <w:rsid w:val="7E674717"/>
    <w:rsid w:val="7EBE5666"/>
    <w:rsid w:val="7F1AFD86"/>
    <w:rsid w:val="7FB24BB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D0A359"/>
  <w15:docId w15:val="{8591E050-1AFB-478A-85D6-79FF91D3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locked="0"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0D381C"/>
    <w:pPr>
      <w:suppressAutoHyphens/>
      <w:spacing w:before="120" w:after="60" w:line="260" w:lineRule="atLeast"/>
    </w:pPr>
    <w:rPr>
      <w:color w:val="495965" w:themeColor="text2"/>
      <w:sz w:val="24"/>
      <w:lang w:val="en-GB"/>
    </w:rPr>
  </w:style>
  <w:style w:type="paragraph" w:styleId="Heading1">
    <w:name w:val="heading 1"/>
    <w:basedOn w:val="Normal"/>
    <w:next w:val="Normal"/>
    <w:link w:val="Heading1Char"/>
    <w:uiPriority w:val="9"/>
    <w:qFormat/>
    <w:rsid w:val="00F83428"/>
    <w:pPr>
      <w:keepNext/>
      <w:keepLines/>
      <w:pageBreakBefore/>
      <w:spacing w:before="0" w:after="180" w:line="380" w:lineRule="exact"/>
      <w:contextualSpacing/>
      <w:outlineLvl w:val="0"/>
    </w:pPr>
    <w:rPr>
      <w:rFonts w:asciiTheme="majorHAnsi" w:eastAsiaTheme="majorEastAsia" w:hAnsiTheme="majorHAnsi" w:cstheme="majorBidi"/>
      <w:b/>
      <w:bCs/>
      <w:caps/>
      <w:sz w:val="38"/>
      <w:szCs w:val="28"/>
    </w:rPr>
  </w:style>
  <w:style w:type="paragraph" w:styleId="Heading2">
    <w:name w:val="heading 2"/>
    <w:basedOn w:val="Heading1"/>
    <w:next w:val="Normal"/>
    <w:link w:val="Heading2Char"/>
    <w:uiPriority w:val="9"/>
    <w:unhideWhenUsed/>
    <w:qFormat/>
    <w:rsid w:val="00A4144F"/>
    <w:pPr>
      <w:pageBreakBefore w:val="0"/>
      <w:spacing w:before="300" w:after="120"/>
      <w:outlineLvl w:val="1"/>
    </w:pPr>
    <w:rPr>
      <w:b w:val="0"/>
      <w:bCs w:val="0"/>
      <w:szCs w:val="26"/>
    </w:rPr>
  </w:style>
  <w:style w:type="paragraph" w:styleId="Heading3">
    <w:name w:val="heading 3"/>
    <w:basedOn w:val="Heading2"/>
    <w:next w:val="Normal"/>
    <w:link w:val="Heading3Char"/>
    <w:uiPriority w:val="9"/>
    <w:unhideWhenUsed/>
    <w:qFormat/>
    <w:rsid w:val="00ED2831"/>
    <w:pPr>
      <w:spacing w:before="480" w:line="360" w:lineRule="atLeast"/>
      <w:outlineLvl w:val="2"/>
    </w:pPr>
    <w:rPr>
      <w:bCs/>
      <w:caps w:val="0"/>
      <w:sz w:val="30"/>
    </w:rPr>
  </w:style>
  <w:style w:type="paragraph" w:styleId="Heading4">
    <w:name w:val="heading 4"/>
    <w:basedOn w:val="Heading3"/>
    <w:next w:val="Normal"/>
    <w:link w:val="Heading4Char"/>
    <w:uiPriority w:val="9"/>
    <w:unhideWhenUsed/>
    <w:qFormat/>
    <w:rsid w:val="00A4144F"/>
    <w:pPr>
      <w:spacing w:before="240" w:line="280" w:lineRule="atLeast"/>
      <w:outlineLvl w:val="3"/>
    </w:pPr>
    <w:rPr>
      <w:iCs/>
      <w:sz w:val="24"/>
    </w:rPr>
  </w:style>
  <w:style w:type="paragraph" w:styleId="Heading5">
    <w:name w:val="heading 5"/>
    <w:basedOn w:val="Heading4"/>
    <w:next w:val="Normal"/>
    <w:link w:val="Heading5Char"/>
    <w:uiPriority w:val="9"/>
    <w:unhideWhenUsed/>
    <w:qFormat/>
    <w:rsid w:val="00A4144F"/>
    <w:pPr>
      <w:spacing w:line="200" w:lineRule="atLeast"/>
      <w:outlineLvl w:val="4"/>
    </w:pPr>
    <w:rPr>
      <w:b/>
      <w:sz w:val="16"/>
    </w:rPr>
  </w:style>
  <w:style w:type="paragraph" w:styleId="Heading6">
    <w:name w:val="heading 6"/>
    <w:basedOn w:val="Heading5"/>
    <w:next w:val="Normal"/>
    <w:link w:val="Heading6Char"/>
    <w:uiPriority w:val="9"/>
    <w:semiHidden/>
    <w:unhideWhenUsed/>
    <w:rsid w:val="00486804"/>
    <w:pPr>
      <w:spacing w:before="40"/>
      <w:outlineLvl w:val="5"/>
    </w:pPr>
    <w:rPr>
      <w:color w:val="286B5F" w:themeColor="accent1" w:themeShade="7F"/>
    </w:rPr>
  </w:style>
  <w:style w:type="paragraph" w:styleId="Heading7">
    <w:name w:val="heading 7"/>
    <w:basedOn w:val="Heading6"/>
    <w:next w:val="Normal"/>
    <w:link w:val="Heading7Char"/>
    <w:uiPriority w:val="9"/>
    <w:semiHidden/>
    <w:unhideWhenUsed/>
    <w:qFormat/>
    <w:locked/>
    <w:rsid w:val="00486804"/>
    <w:pPr>
      <w:outlineLvl w:val="6"/>
    </w:pPr>
    <w:rPr>
      <w:i/>
      <w:iCs w:val="0"/>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428"/>
    <w:rPr>
      <w:rFonts w:asciiTheme="majorHAnsi" w:eastAsiaTheme="majorEastAsia" w:hAnsiTheme="majorHAnsi" w:cstheme="majorBidi"/>
      <w:b/>
      <w:bCs/>
      <w:caps/>
      <w:color w:val="495965" w:themeColor="text2"/>
      <w:sz w:val="38"/>
      <w:szCs w:val="28"/>
    </w:rPr>
  </w:style>
  <w:style w:type="character" w:customStyle="1" w:styleId="Heading2Char">
    <w:name w:val="Heading 2 Char"/>
    <w:basedOn w:val="DefaultParagraphFont"/>
    <w:link w:val="Heading2"/>
    <w:uiPriority w:val="9"/>
    <w:rsid w:val="00A4144F"/>
    <w:rPr>
      <w:rFonts w:asciiTheme="majorHAnsi" w:eastAsiaTheme="majorEastAsia" w:hAnsiTheme="majorHAnsi" w:cstheme="majorBidi"/>
      <w:caps/>
      <w:color w:val="495965" w:themeColor="text2"/>
      <w:sz w:val="38"/>
      <w:szCs w:val="26"/>
    </w:rPr>
  </w:style>
  <w:style w:type="character" w:customStyle="1" w:styleId="Heading3Char">
    <w:name w:val="Heading 3 Char"/>
    <w:basedOn w:val="DefaultParagraphFont"/>
    <w:link w:val="Heading3"/>
    <w:uiPriority w:val="9"/>
    <w:rsid w:val="00ED2831"/>
    <w:rPr>
      <w:rFonts w:asciiTheme="majorHAnsi" w:eastAsiaTheme="majorEastAsia" w:hAnsiTheme="majorHAnsi" w:cstheme="majorBidi"/>
      <w:bCs/>
      <w:color w:val="495965" w:themeColor="text2"/>
      <w:sz w:val="30"/>
      <w:szCs w:val="26"/>
      <w:lang w:val="en-GB"/>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rsid w:val="00D64BD1"/>
    <w:pPr>
      <w:pageBreakBefore w:val="0"/>
      <w:spacing w:after="0"/>
    </w:pPr>
    <w:rPr>
      <w:spacing w:val="-10"/>
      <w:kern w:val="28"/>
      <w:szCs w:val="52"/>
    </w:r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paragraph" w:styleId="Subtitle">
    <w:name w:val="Subtitle"/>
    <w:basedOn w:val="Title"/>
    <w:next w:val="Normal"/>
    <w:link w:val="SubtitleChar"/>
    <w:uiPriority w:val="11"/>
    <w:rsid w:val="00D64BD1"/>
    <w:pPr>
      <w:numPr>
        <w:ilvl w:val="1"/>
      </w:numPr>
      <w:spacing w:before="60" w:after="300"/>
    </w:pPr>
    <w:rPr>
      <w:rFonts w:asciiTheme="minorHAnsi" w:hAnsiTheme="minorHAnsi"/>
      <w:b w:val="0"/>
      <w:iCs/>
      <w:szCs w:val="24"/>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ListParagraph"/>
    <w:qFormat/>
    <w:rsid w:val="000D381C"/>
    <w:pPr>
      <w:numPr>
        <w:numId w:val="10"/>
      </w:numPr>
    </w:pPr>
    <w:rPr>
      <w:rFonts w:asciiTheme="minorHAnsi" w:hAnsiTheme="minorHAnsi"/>
      <w:color w:val="495965" w:themeColor="text2"/>
    </w:rPr>
  </w:style>
  <w:style w:type="paragraph" w:customStyle="1" w:styleId="Bullet2">
    <w:name w:val="Bullet 2"/>
    <w:basedOn w:val="Bullet1"/>
    <w:qFormat/>
    <w:rsid w:val="000D381C"/>
    <w:pPr>
      <w:numPr>
        <w:ilvl w:val="1"/>
      </w:numPr>
    </w:pPr>
  </w:style>
  <w:style w:type="paragraph" w:customStyle="1" w:styleId="Bullet3">
    <w:name w:val="Bullet 3"/>
    <w:basedOn w:val="Bullet2"/>
    <w:qFormat/>
    <w:rsid w:val="000D381C"/>
    <w:pPr>
      <w:numPr>
        <w:ilvl w:val="2"/>
      </w:numPr>
    </w:pPr>
  </w:style>
  <w:style w:type="paragraph" w:customStyle="1" w:styleId="NumberedList1">
    <w:name w:val="Numbered List 1"/>
    <w:basedOn w:val="Normal"/>
    <w:qFormat/>
    <w:rsid w:val="00F2684E"/>
    <w:pPr>
      <w:numPr>
        <w:numId w:val="7"/>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6"/>
      </w:numPr>
    </w:pPr>
  </w:style>
  <w:style w:type="paragraph" w:customStyle="1" w:styleId="Heading2Numbered">
    <w:name w:val="Heading 2 Numbered"/>
    <w:basedOn w:val="Heading2"/>
    <w:next w:val="Normal"/>
    <w:qFormat/>
    <w:rsid w:val="00ED2831"/>
    <w:pPr>
      <w:numPr>
        <w:ilvl w:val="1"/>
        <w:numId w:val="6"/>
      </w:numPr>
      <w:spacing w:before="480" w:after="60"/>
    </w:pPr>
    <w:rPr>
      <w:bCs/>
    </w:rPr>
  </w:style>
  <w:style w:type="paragraph" w:customStyle="1" w:styleId="Heading3Numbered">
    <w:name w:val="Heading 3 Numbered"/>
    <w:basedOn w:val="Heading3"/>
    <w:next w:val="Normal"/>
    <w:qFormat/>
    <w:rsid w:val="00ED2831"/>
    <w:pPr>
      <w:numPr>
        <w:ilvl w:val="2"/>
        <w:numId w:val="6"/>
      </w:numPr>
      <w:spacing w:before="300" w:after="60"/>
    </w:pPr>
    <w:rPr>
      <w:szCs w:val="22"/>
    </w:rPr>
  </w:style>
  <w:style w:type="numbering" w:customStyle="1" w:styleId="BulletsList">
    <w:name w:val="Bullets List"/>
    <w:uiPriority w:val="99"/>
    <w:rsid w:val="001D663E"/>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customStyle="1" w:styleId="PlainTable21">
    <w:name w:val="Plain Table 21"/>
    <w:basedOn w:val="TableNormal"/>
    <w:uiPriority w:val="42"/>
    <w:locked/>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rsid w:val="00ED2831"/>
    <w:pPr>
      <w:pageBreakBefore w:val="0"/>
      <w:suppressAutoHyphens w:val="0"/>
      <w:spacing w:after="600"/>
      <w:contextualSpacing w:val="0"/>
      <w:outlineLvl w:val="9"/>
    </w:pPr>
    <w:rPr>
      <w:bCs w:val="0"/>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iPriority w:val="99"/>
    <w:unhideWhenUsed/>
    <w:rsid w:val="00FE6F2A"/>
    <w:pPr>
      <w:tabs>
        <w:tab w:val="center" w:pos="4513"/>
        <w:tab w:val="right" w:pos="9026"/>
      </w:tabs>
      <w:spacing w:before="0" w:after="0"/>
      <w:ind w:left="227"/>
    </w:pPr>
    <w:rPr>
      <w:b/>
      <w:caps/>
      <w:sz w:val="20"/>
    </w:rPr>
  </w:style>
  <w:style w:type="paragraph" w:styleId="TOC4">
    <w:name w:val="toc 4"/>
    <w:basedOn w:val="Normal"/>
    <w:next w:val="Normal"/>
    <w:autoRedefine/>
    <w:uiPriority w:val="39"/>
    <w:unhideWhenUsed/>
    <w:lock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pPr>
      <w:numPr>
        <w:numId w:val="4"/>
      </w:numPr>
    </w:pPr>
  </w:style>
  <w:style w:type="paragraph" w:styleId="TOC8">
    <w:name w:val="toc 8"/>
    <w:basedOn w:val="Normal"/>
    <w:next w:val="Normal"/>
    <w:autoRedefine/>
    <w:uiPriority w:val="39"/>
    <w:unhideWhenUsed/>
    <w:lock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rsid w:val="00D82C27"/>
    <w:pPr>
      <w:spacing w:before="400" w:after="400" w:line="280" w:lineRule="exact"/>
    </w:pPr>
    <w:rPr>
      <w:b/>
      <w:caps/>
      <w:color w:val="65C5B4" w:themeColor="accent1"/>
      <w:sz w:val="28"/>
    </w:rPr>
  </w:style>
  <w:style w:type="table" w:styleId="TableGrid">
    <w:name w:val="Table Grid"/>
    <w:basedOn w:val="TableNormal"/>
    <w:locked/>
    <w:rsid w:val="00ED2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FE6F2A"/>
    <w:rPr>
      <w:b/>
      <w:caps/>
      <w:color w:val="495965" w:themeColor="text2"/>
      <w:sz w:val="20"/>
      <w:lang w:val="en-GB"/>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rsid w:val="009D7407"/>
    <w:rPr>
      <w:i/>
      <w:iCs/>
    </w:rPr>
  </w:style>
  <w:style w:type="character" w:customStyle="1" w:styleId="Heading5Char">
    <w:name w:val="Heading 5 Char"/>
    <w:basedOn w:val="DefaultParagraphFont"/>
    <w:link w:val="Heading5"/>
    <w:uiPriority w:val="9"/>
    <w:rsid w:val="00A4144F"/>
    <w:rPr>
      <w:rFonts w:asciiTheme="majorHAnsi" w:eastAsiaTheme="majorEastAsia" w:hAnsiTheme="majorHAnsi" w:cstheme="majorBidi"/>
      <w:b/>
      <w:bCs/>
      <w:iCs/>
      <w:color w:val="495965" w:themeColor="text2"/>
      <w:sz w:val="16"/>
      <w:szCs w:val="26"/>
    </w:rPr>
  </w:style>
  <w:style w:type="paragraph" w:styleId="Caption">
    <w:name w:val="caption"/>
    <w:basedOn w:val="Normal"/>
    <w:next w:val="Normal"/>
    <w:uiPriority w:val="35"/>
    <w:unhideWhenUsed/>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CD0E4B"/>
    <w:pPr>
      <w:spacing w:before="0" w:after="0" w:line="240" w:lineRule="exact"/>
      <w:ind w:right="284"/>
      <w:jc w:val="right"/>
    </w:pPr>
    <w:rPr>
      <w:color w:val="FFFFFF" w:themeColor="background1"/>
    </w:rPr>
  </w:style>
  <w:style w:type="character" w:customStyle="1" w:styleId="FooterChar">
    <w:name w:val="Footer Char"/>
    <w:basedOn w:val="DefaultParagraphFont"/>
    <w:link w:val="Footer"/>
    <w:uiPriority w:val="99"/>
    <w:rsid w:val="00CD0E4B"/>
    <w:rPr>
      <w:color w:val="FFFFFF" w:themeColor="background1"/>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locked/>
    <w:rsid w:val="00C5182A"/>
    <w:rPr>
      <w:b/>
      <w:sz w:val="20"/>
    </w:rPr>
  </w:style>
  <w:style w:type="paragraph" w:styleId="FootnoteText">
    <w:name w:val="footnote text"/>
    <w:basedOn w:val="Normal"/>
    <w:link w:val="FootnoteTextChar"/>
    <w:uiPriority w:val="99"/>
    <w:semiHidden/>
    <w:unhideWhenUsed/>
    <w:rsid w:val="008C5A0E"/>
    <w:pPr>
      <w:spacing w:before="60" w:after="0" w:line="140" w:lineRule="atLeast"/>
      <w:ind w:left="170" w:hanging="170"/>
    </w:pPr>
    <w:rPr>
      <w:sz w:val="12"/>
      <w:szCs w:val="20"/>
    </w:rPr>
  </w:style>
  <w:style w:type="character" w:customStyle="1" w:styleId="FootnoteTextChar">
    <w:name w:val="Footnote Text Char"/>
    <w:basedOn w:val="DefaultParagraphFont"/>
    <w:link w:val="FootnoteText"/>
    <w:uiPriority w:val="99"/>
    <w:semiHidden/>
    <w:rsid w:val="008C5A0E"/>
    <w:rPr>
      <w:color w:val="495965" w:themeColor="text2"/>
      <w:sz w:val="12"/>
      <w:szCs w:val="20"/>
    </w:rPr>
  </w:style>
  <w:style w:type="character" w:styleId="FootnoteReference">
    <w:name w:val="footnote reference"/>
    <w:basedOn w:val="DefaultParagraphFont"/>
    <w:uiPriority w:val="99"/>
    <w:semiHidden/>
    <w:unhideWhenUsed/>
    <w:rsid w:val="003002C0"/>
    <w:rPr>
      <w:vertAlign w:val="superscript"/>
    </w:rPr>
  </w:style>
  <w:style w:type="paragraph" w:customStyle="1" w:styleId="GreyRoundBoxText">
    <w:name w:val="Grey Round Box Text"/>
    <w:basedOn w:val="Normal"/>
    <w:rsid w:val="000D66D6"/>
    <w:pPr>
      <w:spacing w:before="0"/>
    </w:pPr>
    <w:rPr>
      <w:b/>
      <w:caps/>
      <w:color w:val="FFFFFF" w:themeColor="background1"/>
      <w:sz w:val="18"/>
    </w:rPr>
  </w:style>
  <w:style w:type="character" w:customStyle="1" w:styleId="Green">
    <w:name w:val="Green"/>
    <w:basedOn w:val="DefaultParagraphFont"/>
    <w:uiPriority w:val="1"/>
    <w:rsid w:val="00D82C27"/>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rsid w:val="00F82271"/>
    <w:pPr>
      <w:ind w:left="-851"/>
    </w:pPr>
  </w:style>
  <w:style w:type="paragraph" w:customStyle="1" w:styleId="PhotoRight">
    <w:name w:val="Photo Right"/>
    <w:basedOn w:val="PhotoMargins"/>
    <w:rsid w:val="00F82271"/>
    <w:pPr>
      <w:ind w:right="-851"/>
      <w:jc w:val="right"/>
    </w:pPr>
  </w:style>
  <w:style w:type="paragraph" w:customStyle="1" w:styleId="PhotoCaption">
    <w:name w:val="Photo Caption"/>
    <w:basedOn w:val="Normal"/>
    <w:rsid w:val="00897FA2"/>
    <w:pPr>
      <w:spacing w:after="200" w:line="200" w:lineRule="atLeast"/>
      <w:jc w:val="right"/>
    </w:pPr>
    <w:rPr>
      <w:sz w:val="16"/>
    </w:rPr>
  </w:style>
  <w:style w:type="table" w:customStyle="1" w:styleId="DFATTable1">
    <w:name w:val="DFAT Table 1"/>
    <w:basedOn w:val="TableNormal"/>
    <w:uiPriority w:val="99"/>
    <w:rsid w:val="00C06B13"/>
    <w:pPr>
      <w:spacing w:before="60" w:after="60" w:line="260" w:lineRule="atLeast"/>
    </w:pPr>
    <w:rPr>
      <w:rFonts w:ascii="Calibri" w:hAnsi="Calibri"/>
    </w:r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jc w:val="left"/>
    </w:pPr>
    <w:rPr>
      <w:color w:val="495965" w:themeColor="text2"/>
      <w:sz w:val="14"/>
    </w:rPr>
  </w:style>
  <w:style w:type="paragraph" w:customStyle="1" w:styleId="Heading1smallspaceafter">
    <w:name w:val="Heading 1 small space after"/>
    <w:basedOn w:val="Heading1"/>
    <w:qFormat/>
    <w:rsid w:val="00F96CD3"/>
    <w:pPr>
      <w:pageBreakBefore w:val="0"/>
      <w:spacing w:after="360"/>
      <w:contextualSpacing w:val="0"/>
    </w:pPr>
  </w:style>
  <w:style w:type="paragraph" w:customStyle="1" w:styleId="TableBullet1">
    <w:name w:val="Table Bullet 1"/>
    <w:basedOn w:val="Bullet1"/>
    <w:rsid w:val="00ED2831"/>
    <w:pPr>
      <w:numPr>
        <w:numId w:val="0"/>
      </w:numPr>
      <w:spacing w:before="60" w:line="220" w:lineRule="atLeast"/>
      <w:ind w:left="360" w:hanging="360"/>
    </w:pPr>
    <w:rPr>
      <w:rFonts w:ascii="Calibri" w:hAnsi="Calibri"/>
      <w:sz w:val="18"/>
    </w:rPr>
  </w:style>
  <w:style w:type="paragraph" w:customStyle="1" w:styleId="TableBullet2">
    <w:name w:val="Table Bullet 2"/>
    <w:basedOn w:val="Bullet2"/>
    <w:rsid w:val="00ED2831"/>
    <w:pPr>
      <w:spacing w:before="60" w:line="220" w:lineRule="atLeast"/>
    </w:pPr>
    <w:rPr>
      <w:rFonts w:ascii="Calibri" w:hAnsi="Calibri"/>
      <w:sz w:val="18"/>
    </w:rPr>
  </w:style>
  <w:style w:type="paragraph" w:customStyle="1" w:styleId="TableBullet3">
    <w:name w:val="Table Bullet 3"/>
    <w:basedOn w:val="Bullet3"/>
    <w:rsid w:val="00ED2831"/>
    <w:pPr>
      <w:spacing w:before="60" w:line="220" w:lineRule="atLeast"/>
    </w:pPr>
    <w:rPr>
      <w:rFonts w:ascii="Calibri" w:hAnsi="Calibri"/>
      <w:sz w:val="18"/>
    </w:rPr>
  </w:style>
  <w:style w:type="paragraph" w:customStyle="1" w:styleId="TableHeaderRow">
    <w:name w:val="Table Header Row"/>
    <w:basedOn w:val="Normal"/>
    <w:rsid w:val="00C06B13"/>
    <w:pPr>
      <w:framePr w:hSpace="180" w:wrap="around" w:vAnchor="page" w:hAnchor="margin" w:y="5061"/>
      <w:spacing w:before="60"/>
    </w:pPr>
    <w:rPr>
      <w:rFonts w:ascii="Calibri" w:hAnsi="Calibri"/>
      <w:b/>
      <w:szCs w:val="21"/>
    </w:rPr>
  </w:style>
  <w:style w:type="paragraph" w:customStyle="1" w:styleId="TableNumberedList1">
    <w:name w:val="Table Numbered List 1"/>
    <w:basedOn w:val="NumberedList1"/>
    <w:rsid w:val="00ED2831"/>
    <w:pPr>
      <w:spacing w:before="60" w:line="220" w:lineRule="atLeast"/>
    </w:pPr>
    <w:rPr>
      <w:rFonts w:ascii="Calibri" w:hAnsi="Calibri"/>
      <w:sz w:val="18"/>
    </w:rPr>
  </w:style>
  <w:style w:type="paragraph" w:customStyle="1" w:styleId="TableNumberedList2">
    <w:name w:val="Table Numbered List 2"/>
    <w:basedOn w:val="NumberedList2"/>
    <w:rsid w:val="00ED2831"/>
    <w:pPr>
      <w:spacing w:before="60" w:line="220" w:lineRule="atLeast"/>
    </w:pPr>
    <w:rPr>
      <w:rFonts w:ascii="Calibri" w:hAnsi="Calibri"/>
      <w:sz w:val="18"/>
    </w:rPr>
  </w:style>
  <w:style w:type="paragraph" w:customStyle="1" w:styleId="TableNumberedList3">
    <w:name w:val="Table Numbered List 3"/>
    <w:basedOn w:val="NumberedList3"/>
    <w:rsid w:val="00ED2831"/>
    <w:pPr>
      <w:spacing w:before="60" w:line="220" w:lineRule="atLeast"/>
      <w:ind w:left="851"/>
    </w:pPr>
    <w:rPr>
      <w:rFonts w:ascii="Calibri" w:hAnsi="Calibri"/>
      <w:sz w:val="18"/>
    </w:rPr>
  </w:style>
  <w:style w:type="paragraph" w:customStyle="1" w:styleId="TableSourceNotes">
    <w:name w:val="Table Source Notes"/>
    <w:basedOn w:val="Normal"/>
    <w:rsid w:val="00ED2831"/>
    <w:pPr>
      <w:tabs>
        <w:tab w:val="left" w:pos="284"/>
      </w:tabs>
      <w:spacing w:line="160" w:lineRule="atLeast"/>
      <w:ind w:left="284" w:hanging="284"/>
      <w:contextualSpacing/>
    </w:pPr>
    <w:rPr>
      <w:sz w:val="12"/>
    </w:rPr>
  </w:style>
  <w:style w:type="paragraph" w:customStyle="1" w:styleId="TableTotalRow">
    <w:name w:val="Table Total Row"/>
    <w:basedOn w:val="Normal"/>
    <w:rsid w:val="00CF07BA"/>
    <w:pPr>
      <w:spacing w:before="60"/>
    </w:pPr>
    <w:rPr>
      <w:rFonts w:ascii="Calibri" w:hAnsi="Calibri"/>
      <w:b/>
      <w:color w:val="FFFFFF" w:themeColor="background1"/>
    </w:rPr>
  </w:style>
  <w:style w:type="paragraph" w:customStyle="1" w:styleId="BoxHeading">
    <w:name w:val="Box Heading"/>
    <w:basedOn w:val="Heading3"/>
    <w:locked/>
    <w:rsid w:val="00ED2831"/>
    <w:pPr>
      <w:spacing w:before="60"/>
    </w:pPr>
  </w:style>
  <w:style w:type="paragraph" w:customStyle="1" w:styleId="QuoteAuthor">
    <w:name w:val="Quote Author"/>
    <w:basedOn w:val="Quote"/>
    <w:rsid w:val="00D64BD1"/>
    <w:pPr>
      <w:spacing w:after="60" w:line="200" w:lineRule="atLeast"/>
    </w:pPr>
    <w:rPr>
      <w:sz w:val="16"/>
    </w:rPr>
  </w:style>
  <w:style w:type="paragraph" w:customStyle="1" w:styleId="TableText">
    <w:name w:val="Table Text"/>
    <w:basedOn w:val="Normal"/>
    <w:qFormat/>
    <w:rsid w:val="0080204D"/>
    <w:pPr>
      <w:framePr w:hSpace="180" w:wrap="around" w:vAnchor="page" w:hAnchor="margin" w:y="5061"/>
      <w:spacing w:before="60"/>
    </w:pPr>
    <w:rPr>
      <w:rFonts w:ascii="Calibri" w:hAnsi="Calibri"/>
      <w:szCs w:val="21"/>
    </w:rPr>
  </w:style>
  <w:style w:type="paragraph" w:customStyle="1" w:styleId="PhotoCredit">
    <w:name w:val="Photo Credit"/>
    <w:basedOn w:val="Normal"/>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rsid w:val="00B33C0A"/>
    <w:pPr>
      <w:spacing w:after="900"/>
    </w:pPr>
  </w:style>
  <w:style w:type="paragraph" w:customStyle="1" w:styleId="Box1Text">
    <w:name w:val="Box 1 Text"/>
    <w:basedOn w:val="Normal"/>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lang w:val="en-AU"/>
    </w:rPr>
  </w:style>
  <w:style w:type="paragraph" w:customStyle="1" w:styleId="Box1Heading">
    <w:name w:val="Box 1 Heading"/>
    <w:basedOn w:val="Box1Text"/>
    <w:rsid w:val="00E8296D"/>
    <w:pPr>
      <w:keepNext/>
      <w:spacing w:line="300" w:lineRule="atLeast"/>
    </w:pPr>
    <w:rPr>
      <w:b/>
      <w:sz w:val="26"/>
    </w:rPr>
  </w:style>
  <w:style w:type="paragraph" w:customStyle="1" w:styleId="Box2Text">
    <w:name w:val="Box 2 Text"/>
    <w:basedOn w:val="Box1Tex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rsid w:val="00E8296D"/>
    <w:pPr>
      <w:keepNext/>
      <w:spacing w:line="300" w:lineRule="atLeast"/>
    </w:pPr>
    <w:rPr>
      <w:b/>
      <w:sz w:val="26"/>
    </w:rPr>
  </w:style>
  <w:style w:type="paragraph" w:customStyle="1" w:styleId="Box1Bullet">
    <w:name w:val="Box 1 Bullet"/>
    <w:basedOn w:val="Box1Text"/>
    <w:rsid w:val="00C42541"/>
    <w:pPr>
      <w:numPr>
        <w:numId w:val="8"/>
      </w:numPr>
      <w:ind w:left="454" w:hanging="170"/>
    </w:pPr>
  </w:style>
  <w:style w:type="paragraph" w:customStyle="1" w:styleId="Box2Bullet">
    <w:name w:val="Box 2 Bullet"/>
    <w:basedOn w:val="Box2Text"/>
    <w:rsid w:val="00C42541"/>
    <w:pPr>
      <w:numPr>
        <w:numId w:val="9"/>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rFonts w:ascii="Calibri" w:hAnsi="Calibri"/>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semiHidden/>
    <w:unhideWhenUsed/>
    <w:rsid w:val="005204D2"/>
    <w:pPr>
      <w:spacing w:line="240" w:lineRule="auto"/>
    </w:pPr>
    <w:rPr>
      <w:sz w:val="20"/>
      <w:szCs w:val="20"/>
    </w:rPr>
  </w:style>
  <w:style w:type="character" w:customStyle="1" w:styleId="CommentTextChar">
    <w:name w:val="Comment Text Char"/>
    <w:basedOn w:val="DefaultParagraphFont"/>
    <w:link w:val="CommentText"/>
    <w:uiPriority w:val="99"/>
    <w:semiHidden/>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locked/>
    <w:rsid w:val="001214BE"/>
    <w:rPr>
      <w:color w:val="65C5B4" w:themeColor="accent1"/>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locked/>
    <w:rsid w:val="004F262F"/>
    <w:pPr>
      <w:suppressAutoHyphens w:val="0"/>
      <w:spacing w:before="0" w:after="0" w:line="240" w:lineRule="auto"/>
      <w:ind w:left="720"/>
      <w:contextualSpacing/>
    </w:pPr>
    <w:rPr>
      <w:rFonts w:ascii="Times New Roman" w:eastAsia="Times New Roman" w:hAnsi="Times New Roman" w:cs="Times New Roman"/>
      <w:color w:val="auto"/>
      <w:szCs w:val="24"/>
      <w:lang w:val="en-AU"/>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343236"/>
    <w:rPr>
      <w:rFonts w:ascii="Times New Roman" w:eastAsia="Times New Roman" w:hAnsi="Times New Roman" w:cs="Times New Roman"/>
      <w:sz w:val="24"/>
      <w:szCs w:val="24"/>
    </w:rPr>
  </w:style>
  <w:style w:type="table" w:styleId="PlainTable2">
    <w:name w:val="Plain Table 2"/>
    <w:basedOn w:val="TableNormal"/>
    <w:uiPriority w:val="42"/>
    <w:rsid w:val="0034323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ormaltextrun">
    <w:name w:val="normaltextrun"/>
    <w:basedOn w:val="DefaultParagraphFont"/>
    <w:rsid w:val="00343236"/>
  </w:style>
  <w:style w:type="character" w:styleId="UnresolvedMention">
    <w:name w:val="Unresolved Mention"/>
    <w:basedOn w:val="DefaultParagraphFont"/>
    <w:uiPriority w:val="99"/>
    <w:semiHidden/>
    <w:unhideWhenUsed/>
    <w:rsid w:val="002E7D69"/>
    <w:rPr>
      <w:color w:val="605E5C"/>
      <w:shd w:val="clear" w:color="auto" w:fill="E1DFDD"/>
    </w:rPr>
  </w:style>
  <w:style w:type="paragraph" w:customStyle="1" w:styleId="Default">
    <w:name w:val="Default"/>
    <w:rsid w:val="00073CE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F77E37"/>
    <w:pPr>
      <w:spacing w:after="0" w:line="240" w:lineRule="auto"/>
    </w:pPr>
    <w:rPr>
      <w:color w:val="495965" w:themeColor="text2"/>
      <w:sz w:val="24"/>
      <w:lang w:val="en-GB"/>
    </w:rPr>
  </w:style>
  <w:style w:type="character" w:styleId="FollowedHyperlink">
    <w:name w:val="FollowedHyperlink"/>
    <w:basedOn w:val="DefaultParagraphFont"/>
    <w:uiPriority w:val="99"/>
    <w:semiHidden/>
    <w:unhideWhenUsed/>
    <w:rsid w:val="00E027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0861">
      <w:bodyDiv w:val="1"/>
      <w:marLeft w:val="0"/>
      <w:marRight w:val="0"/>
      <w:marTop w:val="0"/>
      <w:marBottom w:val="0"/>
      <w:divBdr>
        <w:top w:val="none" w:sz="0" w:space="0" w:color="auto"/>
        <w:left w:val="none" w:sz="0" w:space="0" w:color="auto"/>
        <w:bottom w:val="none" w:sz="0" w:space="0" w:color="auto"/>
        <w:right w:val="none" w:sz="0" w:space="0" w:color="auto"/>
      </w:divBdr>
    </w:div>
    <w:div w:id="143350534">
      <w:bodyDiv w:val="1"/>
      <w:marLeft w:val="0"/>
      <w:marRight w:val="0"/>
      <w:marTop w:val="0"/>
      <w:marBottom w:val="0"/>
      <w:divBdr>
        <w:top w:val="none" w:sz="0" w:space="0" w:color="auto"/>
        <w:left w:val="none" w:sz="0" w:space="0" w:color="auto"/>
        <w:bottom w:val="none" w:sz="0" w:space="0" w:color="auto"/>
        <w:right w:val="none" w:sz="0" w:space="0" w:color="auto"/>
      </w:divBdr>
    </w:div>
    <w:div w:id="255557324">
      <w:bodyDiv w:val="1"/>
      <w:marLeft w:val="0"/>
      <w:marRight w:val="0"/>
      <w:marTop w:val="0"/>
      <w:marBottom w:val="0"/>
      <w:divBdr>
        <w:top w:val="none" w:sz="0" w:space="0" w:color="auto"/>
        <w:left w:val="none" w:sz="0" w:space="0" w:color="auto"/>
        <w:bottom w:val="none" w:sz="0" w:space="0" w:color="auto"/>
        <w:right w:val="none" w:sz="0" w:space="0" w:color="auto"/>
      </w:divBdr>
    </w:div>
    <w:div w:id="296187227">
      <w:bodyDiv w:val="1"/>
      <w:marLeft w:val="0"/>
      <w:marRight w:val="0"/>
      <w:marTop w:val="0"/>
      <w:marBottom w:val="0"/>
      <w:divBdr>
        <w:top w:val="none" w:sz="0" w:space="0" w:color="auto"/>
        <w:left w:val="none" w:sz="0" w:space="0" w:color="auto"/>
        <w:bottom w:val="none" w:sz="0" w:space="0" w:color="auto"/>
        <w:right w:val="none" w:sz="0" w:space="0" w:color="auto"/>
      </w:divBdr>
    </w:div>
    <w:div w:id="364595476">
      <w:bodyDiv w:val="1"/>
      <w:marLeft w:val="0"/>
      <w:marRight w:val="0"/>
      <w:marTop w:val="0"/>
      <w:marBottom w:val="0"/>
      <w:divBdr>
        <w:top w:val="none" w:sz="0" w:space="0" w:color="auto"/>
        <w:left w:val="none" w:sz="0" w:space="0" w:color="auto"/>
        <w:bottom w:val="none" w:sz="0" w:space="0" w:color="auto"/>
        <w:right w:val="none" w:sz="0" w:space="0" w:color="auto"/>
      </w:divBdr>
    </w:div>
    <w:div w:id="420494237">
      <w:bodyDiv w:val="1"/>
      <w:marLeft w:val="0"/>
      <w:marRight w:val="0"/>
      <w:marTop w:val="0"/>
      <w:marBottom w:val="0"/>
      <w:divBdr>
        <w:top w:val="none" w:sz="0" w:space="0" w:color="auto"/>
        <w:left w:val="none" w:sz="0" w:space="0" w:color="auto"/>
        <w:bottom w:val="none" w:sz="0" w:space="0" w:color="auto"/>
        <w:right w:val="none" w:sz="0" w:space="0" w:color="auto"/>
      </w:divBdr>
    </w:div>
    <w:div w:id="599723182">
      <w:bodyDiv w:val="1"/>
      <w:marLeft w:val="0"/>
      <w:marRight w:val="0"/>
      <w:marTop w:val="0"/>
      <w:marBottom w:val="0"/>
      <w:divBdr>
        <w:top w:val="none" w:sz="0" w:space="0" w:color="auto"/>
        <w:left w:val="none" w:sz="0" w:space="0" w:color="auto"/>
        <w:bottom w:val="none" w:sz="0" w:space="0" w:color="auto"/>
        <w:right w:val="none" w:sz="0" w:space="0" w:color="auto"/>
      </w:divBdr>
    </w:div>
    <w:div w:id="715812600">
      <w:bodyDiv w:val="1"/>
      <w:marLeft w:val="0"/>
      <w:marRight w:val="0"/>
      <w:marTop w:val="0"/>
      <w:marBottom w:val="0"/>
      <w:divBdr>
        <w:top w:val="none" w:sz="0" w:space="0" w:color="auto"/>
        <w:left w:val="none" w:sz="0" w:space="0" w:color="auto"/>
        <w:bottom w:val="none" w:sz="0" w:space="0" w:color="auto"/>
        <w:right w:val="none" w:sz="0" w:space="0" w:color="auto"/>
      </w:divBdr>
    </w:div>
    <w:div w:id="795484780">
      <w:bodyDiv w:val="1"/>
      <w:marLeft w:val="0"/>
      <w:marRight w:val="0"/>
      <w:marTop w:val="0"/>
      <w:marBottom w:val="0"/>
      <w:divBdr>
        <w:top w:val="none" w:sz="0" w:space="0" w:color="auto"/>
        <w:left w:val="none" w:sz="0" w:space="0" w:color="auto"/>
        <w:bottom w:val="none" w:sz="0" w:space="0" w:color="auto"/>
        <w:right w:val="none" w:sz="0" w:space="0" w:color="auto"/>
      </w:divBdr>
    </w:div>
    <w:div w:id="980303320">
      <w:bodyDiv w:val="1"/>
      <w:marLeft w:val="0"/>
      <w:marRight w:val="0"/>
      <w:marTop w:val="0"/>
      <w:marBottom w:val="0"/>
      <w:divBdr>
        <w:top w:val="none" w:sz="0" w:space="0" w:color="auto"/>
        <w:left w:val="none" w:sz="0" w:space="0" w:color="auto"/>
        <w:bottom w:val="none" w:sz="0" w:space="0" w:color="auto"/>
        <w:right w:val="none" w:sz="0" w:space="0" w:color="auto"/>
      </w:divBdr>
    </w:div>
    <w:div w:id="1154905899">
      <w:bodyDiv w:val="1"/>
      <w:marLeft w:val="0"/>
      <w:marRight w:val="0"/>
      <w:marTop w:val="0"/>
      <w:marBottom w:val="0"/>
      <w:divBdr>
        <w:top w:val="none" w:sz="0" w:space="0" w:color="auto"/>
        <w:left w:val="none" w:sz="0" w:space="0" w:color="auto"/>
        <w:bottom w:val="none" w:sz="0" w:space="0" w:color="auto"/>
        <w:right w:val="none" w:sz="0" w:space="0" w:color="auto"/>
      </w:divBdr>
    </w:div>
    <w:div w:id="1513373233">
      <w:bodyDiv w:val="1"/>
      <w:marLeft w:val="0"/>
      <w:marRight w:val="0"/>
      <w:marTop w:val="0"/>
      <w:marBottom w:val="0"/>
      <w:divBdr>
        <w:top w:val="none" w:sz="0" w:space="0" w:color="auto"/>
        <w:left w:val="none" w:sz="0" w:space="0" w:color="auto"/>
        <w:bottom w:val="none" w:sz="0" w:space="0" w:color="auto"/>
        <w:right w:val="none" w:sz="0" w:space="0" w:color="auto"/>
      </w:divBdr>
    </w:div>
    <w:div w:id="1523201773">
      <w:bodyDiv w:val="1"/>
      <w:marLeft w:val="0"/>
      <w:marRight w:val="0"/>
      <w:marTop w:val="0"/>
      <w:marBottom w:val="0"/>
      <w:divBdr>
        <w:top w:val="none" w:sz="0" w:space="0" w:color="auto"/>
        <w:left w:val="none" w:sz="0" w:space="0" w:color="auto"/>
        <w:bottom w:val="none" w:sz="0" w:space="0" w:color="auto"/>
        <w:right w:val="none" w:sz="0" w:space="0" w:color="auto"/>
      </w:divBdr>
    </w:div>
    <w:div w:id="1650936074">
      <w:bodyDiv w:val="1"/>
      <w:marLeft w:val="0"/>
      <w:marRight w:val="0"/>
      <w:marTop w:val="0"/>
      <w:marBottom w:val="0"/>
      <w:divBdr>
        <w:top w:val="none" w:sz="0" w:space="0" w:color="auto"/>
        <w:left w:val="none" w:sz="0" w:space="0" w:color="auto"/>
        <w:bottom w:val="none" w:sz="0" w:space="0" w:color="auto"/>
        <w:right w:val="none" w:sz="0" w:space="0" w:color="auto"/>
      </w:divBdr>
    </w:div>
    <w:div w:id="1749156942">
      <w:bodyDiv w:val="1"/>
      <w:marLeft w:val="0"/>
      <w:marRight w:val="0"/>
      <w:marTop w:val="0"/>
      <w:marBottom w:val="0"/>
      <w:divBdr>
        <w:top w:val="none" w:sz="0" w:space="0" w:color="auto"/>
        <w:left w:val="none" w:sz="0" w:space="0" w:color="auto"/>
        <w:bottom w:val="none" w:sz="0" w:space="0" w:color="auto"/>
        <w:right w:val="none" w:sz="0" w:space="0" w:color="auto"/>
      </w:divBdr>
    </w:div>
    <w:div w:id="1749837495">
      <w:bodyDiv w:val="1"/>
      <w:marLeft w:val="0"/>
      <w:marRight w:val="0"/>
      <w:marTop w:val="0"/>
      <w:marBottom w:val="0"/>
      <w:divBdr>
        <w:top w:val="none" w:sz="0" w:space="0" w:color="auto"/>
        <w:left w:val="none" w:sz="0" w:space="0" w:color="auto"/>
        <w:bottom w:val="none" w:sz="0" w:space="0" w:color="auto"/>
        <w:right w:val="none" w:sz="0" w:space="0" w:color="auto"/>
      </w:divBdr>
    </w:div>
    <w:div w:id="1938951148">
      <w:bodyDiv w:val="1"/>
      <w:marLeft w:val="0"/>
      <w:marRight w:val="0"/>
      <w:marTop w:val="0"/>
      <w:marBottom w:val="0"/>
      <w:divBdr>
        <w:top w:val="none" w:sz="0" w:space="0" w:color="auto"/>
        <w:left w:val="none" w:sz="0" w:space="0" w:color="auto"/>
        <w:bottom w:val="none" w:sz="0" w:space="0" w:color="auto"/>
        <w:right w:val="none" w:sz="0" w:space="0" w:color="auto"/>
      </w:divBdr>
    </w:div>
    <w:div w:id="2028170501">
      <w:bodyDiv w:val="1"/>
      <w:marLeft w:val="0"/>
      <w:marRight w:val="0"/>
      <w:marTop w:val="0"/>
      <w:marBottom w:val="0"/>
      <w:divBdr>
        <w:top w:val="none" w:sz="0" w:space="0" w:color="auto"/>
        <w:left w:val="none" w:sz="0" w:space="0" w:color="auto"/>
        <w:bottom w:val="none" w:sz="0" w:space="0" w:color="auto"/>
        <w:right w:val="none" w:sz="0" w:space="0" w:color="auto"/>
      </w:divBdr>
    </w:div>
    <w:div w:id="2032871249">
      <w:bodyDiv w:val="1"/>
      <w:marLeft w:val="0"/>
      <w:marRight w:val="0"/>
      <w:marTop w:val="0"/>
      <w:marBottom w:val="0"/>
      <w:divBdr>
        <w:top w:val="none" w:sz="0" w:space="0" w:color="auto"/>
        <w:left w:val="none" w:sz="0" w:space="0" w:color="auto"/>
        <w:bottom w:val="none" w:sz="0" w:space="0" w:color="auto"/>
        <w:right w:val="none" w:sz="0" w:space="0" w:color="auto"/>
      </w:divBdr>
    </w:div>
    <w:div w:id="204278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isabilitygateway.gov.au/sites/default/files/documents/2025-06/8636-good-practice-guidelines.pdf" TargetMode="External"/><Relationship Id="rId18" Type="http://schemas.openxmlformats.org/officeDocument/2006/relationships/header" Target="head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disabilitygateway.gov.au/sites/default/files/documents/2024-11/5436-dss3511-dss-guide-applying.pdf" TargetMode="External"/><Relationship Id="rId17" Type="http://schemas.openxmlformats.org/officeDocument/2006/relationships/hyperlink" Target="https://www.aph.gov.au/About_Parliament/Parliamentary_departments/Department_of_Parliamentary_Services/Publications/Dignified_Access_Review"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cola.org/wp-content/uploads/2022/10/ACOLA-Disability-Responsiveness-Full-Report-2022.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isabilitygateway.gov.au/ads/strategy/good-practice-guidelin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losingthegap.gov.au/sites/default/files/2022-08/disability-sector-strengthening-plan.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losingthegap.gov.au/national-agreement"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rchard\OneDrive%20-%20Department%20of%20Foreign%20Affairs%20and%20Trade%20(dfat.gov.au)\Desktop\OCT%20SR%20input%2012%20July%202022.DOTX" TargetMode="External"/></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9c2e4527-2efa-4ade-b3d6-b2418af14986">
      <UserInfo>
        <DisplayName>Deb Livermore</DisplayName>
        <AccountId>44</AccountId>
        <AccountType/>
      </UserInfo>
      <UserInfo>
        <DisplayName>Genevieve Bernacki</DisplayName>
        <AccountId>45</AccountId>
        <AccountType/>
      </UserInfo>
      <UserInfo>
        <DisplayName>Maddison King</DisplayName>
        <AccountId>11</AccountId>
        <AccountType/>
      </UserInfo>
      <UserInfo>
        <DisplayName>Victoria Coakley</DisplayName>
        <AccountId>25</AccountId>
        <AccountType/>
      </UserInfo>
    </SharedWithUsers>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7288E3FA-5EBC-4EAE-BDD8-1E2CFF6EBA55}">
  <ds:schemaRefs>
    <ds:schemaRef ds:uri="http://schemas.microsoft.com/sharepoint/v3/contenttype/forms"/>
  </ds:schemaRefs>
</ds:datastoreItem>
</file>

<file path=customXml/itemProps2.xml><?xml version="1.0" encoding="utf-8"?>
<ds:datastoreItem xmlns:ds="http://schemas.openxmlformats.org/officeDocument/2006/customXml" ds:itemID="{C4DD5E03-DBE5-40BA-93EE-7F7036FC0BA2}">
  <ds:schemaRefs>
    <ds:schemaRef ds:uri="http://schemas.openxmlformats.org/officeDocument/2006/bibliography"/>
  </ds:schemaRefs>
</ds:datastoreItem>
</file>

<file path=customXml/itemProps3.xml><?xml version="1.0" encoding="utf-8"?>
<ds:datastoreItem xmlns:ds="http://schemas.openxmlformats.org/officeDocument/2006/customXml" ds:itemID="{D32B3B61-971C-4C64-BEF6-6E783FB9D932}"/>
</file>

<file path=customXml/itemProps4.xml><?xml version="1.0" encoding="utf-8"?>
<ds:datastoreItem xmlns:ds="http://schemas.openxmlformats.org/officeDocument/2006/customXml" ds:itemID="{D521EB92-C381-4E52-A8CF-C6D743208E77}">
  <ds:schemaRefs>
    <ds:schemaRef ds:uri="http://schemas.microsoft.com/office/2006/metadata/properties"/>
    <ds:schemaRef ds:uri="http://schemas.microsoft.com/office/infopath/2007/PartnerControls"/>
    <ds:schemaRef ds:uri="de1d7913-2b48-4fb4-9e5c-239c7c65333c"/>
    <ds:schemaRef ds:uri="fd553ead-1a80-496c-9811-84850591db5e"/>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OCT SR input 12 July 2022</Template>
  <TotalTime>0</TotalTime>
  <Pages>8</Pages>
  <Words>3134</Words>
  <Characters>17867</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Departmental and Executive briefing template</vt:lpstr>
    </vt:vector>
  </TitlesOfParts>
  <Company>Department of Foreign Affairs and Trade</Company>
  <LinksUpToDate>false</LinksUpToDate>
  <CharactersWithSpaces>20960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Departmental and Executive briefing template</dc:title>
  <dc:subject/>
  <dc:creator>Orchard, Darren</dc:creator>
  <cp:keywords>[SEC=OFFICIAL]</cp:keywords>
  <cp:lastModifiedBy>Barbora Zamrska</cp:lastModifiedBy>
  <cp:revision>2</cp:revision>
  <cp:lastPrinted>2022-07-12T07:55:00Z</cp:lastPrinted>
  <dcterms:created xsi:type="dcterms:W3CDTF">2025-11-04T09:57:00Z</dcterms:created>
  <dcterms:modified xsi:type="dcterms:W3CDTF">2025-11-04T09:57:00Z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43b616eb-8d42-4b35-a711-881ff46720d4</vt:lpwstr>
  </property>
  <property fmtid="{D5CDD505-2E9C-101B-9397-08002B2CF9AE}" pid="3" name="SEC">
    <vt:lpwstr>OFFICIAL</vt:lpwstr>
  </property>
  <property fmtid="{D5CDD505-2E9C-101B-9397-08002B2CF9AE}" pid="4" name="DLM">
    <vt:lpwstr>No DLM</vt:lpwstr>
  </property>
  <property fmtid="{D5CDD505-2E9C-101B-9397-08002B2CF9AE}" pid="5" name="ContentTypeId">
    <vt:lpwstr>0x010100F5AB59289BFBAB4F9FD152C776C60BDD</vt:lpwstr>
  </property>
  <property fmtid="{D5CDD505-2E9C-101B-9397-08002B2CF9AE}" pid="6" name="PM_MinimumSecurityClassification">
    <vt:lpwstr>OFFICIAL</vt:lpwstr>
  </property>
  <property fmtid="{D5CDD505-2E9C-101B-9397-08002B2CF9AE}" pid="7" name="PM_DisplayValueSecClassificationWithQualifier">
    <vt:lpwstr>OFFICIAL</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InsertionValue">
    <vt:lpwstr>OFFICIAL</vt:lpwstr>
  </property>
  <property fmtid="{D5CDD505-2E9C-101B-9397-08002B2CF9AE}" pid="11" name="PM_Originating_FileId">
    <vt:lpwstr>F7B65EDC3D3448B58C152F35A41DA4F0</vt:lpwstr>
  </property>
  <property fmtid="{D5CDD505-2E9C-101B-9397-08002B2CF9AE}" pid="12" name="PM_ProtectiveMarkingValue_Footer">
    <vt:lpwstr>OFFICIAL</vt:lpwstr>
  </property>
  <property fmtid="{D5CDD505-2E9C-101B-9397-08002B2CF9AE}" pid="13" name="PM_Originator_Hash_SHA1">
    <vt:lpwstr>027324BB31904789F074363633353339569F8335</vt:lpwstr>
  </property>
  <property fmtid="{D5CDD505-2E9C-101B-9397-08002B2CF9AE}" pid="14" name="PM_OriginationTimeStamp">
    <vt:lpwstr>2022-11-29T03:59:48Z</vt:lpwstr>
  </property>
  <property fmtid="{D5CDD505-2E9C-101B-9397-08002B2CF9AE}" pid="15" name="PM_ProtectiveMarkingValue_Header">
    <vt:lpwstr>OFFICIAL</vt:lpwstr>
  </property>
  <property fmtid="{D5CDD505-2E9C-101B-9397-08002B2CF9AE}" pid="16" name="PM_ProtectiveMarkingImage_Header">
    <vt:lpwstr>C:\Program Files (x86)\Common Files\janusNET Shared\janusSEAL\Images\DocumentSlashBlue.png</vt:lpwstr>
  </property>
  <property fmtid="{D5CDD505-2E9C-101B-9397-08002B2CF9AE}" pid="17" name="PM_ProtectiveMarkingImage_Footer">
    <vt:lpwstr>C:\Program Files (x86)\Common Files\janusNET Shared\janusSEAL\Images\DocumentSlashBlue.png</vt:lpwstr>
  </property>
  <property fmtid="{D5CDD505-2E9C-101B-9397-08002B2CF9AE}" pid="18" name="PM_Namespace">
    <vt:lpwstr>gov.au</vt:lpwstr>
  </property>
  <property fmtid="{D5CDD505-2E9C-101B-9397-08002B2CF9AE}" pid="19" name="PM_Version">
    <vt:lpwstr>2018.4</vt:lpwstr>
  </property>
  <property fmtid="{D5CDD505-2E9C-101B-9397-08002B2CF9AE}" pid="20" name="PM_Note">
    <vt:lpwstr/>
  </property>
  <property fmtid="{D5CDD505-2E9C-101B-9397-08002B2CF9AE}" pid="21" name="PM_Markers">
    <vt:lpwstr/>
  </property>
  <property fmtid="{D5CDD505-2E9C-101B-9397-08002B2CF9AE}" pid="22" name="PM_Hash_Version">
    <vt:lpwstr>2022.1</vt:lpwstr>
  </property>
  <property fmtid="{D5CDD505-2E9C-101B-9397-08002B2CF9AE}" pid="23" name="PM_Hash_Salt_Prev">
    <vt:lpwstr>144C8D49F8C9C911A37EC052929A5E00</vt:lpwstr>
  </property>
  <property fmtid="{D5CDD505-2E9C-101B-9397-08002B2CF9AE}" pid="24" name="PM_Hash_Salt">
    <vt:lpwstr>C848D6ACCBCA16267996843DC87D87C9</vt:lpwstr>
  </property>
  <property fmtid="{D5CDD505-2E9C-101B-9397-08002B2CF9AE}" pid="25" name="PM_Hash_SHA1">
    <vt:lpwstr>1D3118FE5146C278903126365A394883CE497B82</vt:lpwstr>
  </property>
  <property fmtid="{D5CDD505-2E9C-101B-9397-08002B2CF9AE}" pid="26" name="PM_Caveats_Count">
    <vt:lpwstr>0</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_Display">
    <vt:lpwstr>OFFICIAL</vt:lpwstr>
  </property>
  <property fmtid="{D5CDD505-2E9C-101B-9397-08002B2CF9AE}" pid="30" name="PMUuid">
    <vt:lpwstr>v=2022.2;d=gov.au;g=46DD6D7C-8107-577B-BC6E-F348953B2E44</vt:lpwstr>
  </property>
  <property fmtid="{D5CDD505-2E9C-101B-9397-08002B2CF9AE}" pid="31" name="PM_OriginatorUserAccountName_SHA256">
    <vt:lpwstr>7EE375ADFED2C23979FA451EF5128D160AA95116A51525B01D7D1A245771A3FD</vt:lpwstr>
  </property>
  <property fmtid="{D5CDD505-2E9C-101B-9397-08002B2CF9AE}" pid="32" name="PM_OriginatorDomainName_SHA256">
    <vt:lpwstr>6F3591835F3B2A8A025B00B5BA6418010DA3A17C9C26EA9C049FFD28039489A2</vt:lpwstr>
  </property>
  <property fmtid="{D5CDD505-2E9C-101B-9397-08002B2CF9AE}" pid="33" name="MediaServiceImageTags">
    <vt:lpwstr/>
  </property>
  <property fmtid="{D5CDD505-2E9C-101B-9397-08002B2CF9AE}" pid="34" name="Order">
    <vt:r8>23100</vt:r8>
  </property>
  <property fmtid="{D5CDD505-2E9C-101B-9397-08002B2CF9AE}" pid="35" name="xd_ProgID">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xd_Signature">
    <vt:bool>false</vt:bool>
  </property>
  <property fmtid="{D5CDD505-2E9C-101B-9397-08002B2CF9AE}" pid="41" name="ClassificationContentMarkingHeaderShapeIds">
    <vt:lpwstr>25243e04,220bd9b1,7c190389</vt:lpwstr>
  </property>
  <property fmtid="{D5CDD505-2E9C-101B-9397-08002B2CF9AE}" pid="42" name="ClassificationContentMarkingHeaderFontProps">
    <vt:lpwstr>#ff0000,12,Calibri</vt:lpwstr>
  </property>
  <property fmtid="{D5CDD505-2E9C-101B-9397-08002B2CF9AE}" pid="43" name="ClassificationContentMarkingHeaderText">
    <vt:lpwstr>OFFICIAL</vt:lpwstr>
  </property>
  <property fmtid="{D5CDD505-2E9C-101B-9397-08002B2CF9AE}" pid="44" name="ClassificationContentMarkingFooterShapeIds">
    <vt:lpwstr>43139faf,39941c86,2ec920fd</vt:lpwstr>
  </property>
  <property fmtid="{D5CDD505-2E9C-101B-9397-08002B2CF9AE}" pid="45" name="ClassificationContentMarkingFooterFontProps">
    <vt:lpwstr>#ff0000,12,Calibri</vt:lpwstr>
  </property>
  <property fmtid="{D5CDD505-2E9C-101B-9397-08002B2CF9AE}" pid="46" name="ClassificationContentMarkingFooterText">
    <vt:lpwstr>OFFICIAL</vt:lpwstr>
  </property>
  <property fmtid="{D5CDD505-2E9C-101B-9397-08002B2CF9AE}" pid="47" name="MSIP_Label_7cd3e8b9-ffed-43a8-b7f4-cc2fa0382d36_Enabled">
    <vt:lpwstr>true</vt:lpwstr>
  </property>
  <property fmtid="{D5CDD505-2E9C-101B-9397-08002B2CF9AE}" pid="48" name="MSIP_Label_7cd3e8b9-ffed-43a8-b7f4-cc2fa0382d36_SetDate">
    <vt:lpwstr>2025-10-27T03:44:22Z</vt:lpwstr>
  </property>
  <property fmtid="{D5CDD505-2E9C-101B-9397-08002B2CF9AE}" pid="49" name="MSIP_Label_7cd3e8b9-ffed-43a8-b7f4-cc2fa0382d36_Method">
    <vt:lpwstr>Privileged</vt:lpwstr>
  </property>
  <property fmtid="{D5CDD505-2E9C-101B-9397-08002B2CF9AE}" pid="50" name="MSIP_Label_7cd3e8b9-ffed-43a8-b7f4-cc2fa0382d36_Name">
    <vt:lpwstr>O</vt:lpwstr>
  </property>
  <property fmtid="{D5CDD505-2E9C-101B-9397-08002B2CF9AE}" pid="51" name="MSIP_Label_7cd3e8b9-ffed-43a8-b7f4-cc2fa0382d36_SiteId">
    <vt:lpwstr>34a3929c-73cf-4954-abfe-147dc3517892</vt:lpwstr>
  </property>
  <property fmtid="{D5CDD505-2E9C-101B-9397-08002B2CF9AE}" pid="52" name="MSIP_Label_7cd3e8b9-ffed-43a8-b7f4-cc2fa0382d36_ActionId">
    <vt:lpwstr>5338945e-225b-43be-b7fd-3a2785ec5ad5</vt:lpwstr>
  </property>
  <property fmtid="{D5CDD505-2E9C-101B-9397-08002B2CF9AE}" pid="53" name="MSIP_Label_7cd3e8b9-ffed-43a8-b7f4-cc2fa0382d36_ContentBits">
    <vt:lpwstr>3</vt:lpwstr>
  </property>
  <property fmtid="{D5CDD505-2E9C-101B-9397-08002B2CF9AE}" pid="54" name="MSIP_Label_7cd3e8b9-ffed-43a8-b7f4-cc2fa0382d36_Tag">
    <vt:lpwstr>10, 0, 1, 1</vt:lpwstr>
  </property>
  <property fmtid="{D5CDD505-2E9C-101B-9397-08002B2CF9AE}" pid="55" name="PM_Expires">
    <vt:lpwstr/>
  </property>
  <property fmtid="{D5CDD505-2E9C-101B-9397-08002B2CF9AE}" pid="56" name="PMHMAC">
    <vt:lpwstr>v=2022.1;a=SHA256;h=4EB74B5D5AC066C526D6AE99F7B4D74439576E0BEDA37BA18A89E3DFE0335275</vt:lpwstr>
  </property>
  <property fmtid="{D5CDD505-2E9C-101B-9397-08002B2CF9AE}" pid="57" name="PM_DownTo">
    <vt:lpwstr/>
  </property>
</Properties>
</file>