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D1402" w:rsidRDefault="00000000">
      <w:r>
        <w:t>The ALLIED Consolidated Dataset of Non-Lethal Attacks on Indigenous, Land and Environmental Defenders: A View on Forced and Enforced Disappearances</w:t>
      </w:r>
    </w:p>
    <w:p w14:paraId="00000002" w14:textId="77777777" w:rsidR="002D1402" w:rsidRDefault="002D1402"/>
    <w:p w14:paraId="00000003" w14:textId="77777777" w:rsidR="002D1402" w:rsidRDefault="00000000">
      <w:r>
        <w:t xml:space="preserve">The </w:t>
      </w:r>
      <w:hyperlink r:id="rId6">
        <w:r>
          <w:rPr>
            <w:color w:val="1155CC"/>
            <w:u w:val="single"/>
          </w:rPr>
          <w:t>Alliance for Land, Indigenous and Environmental Defenders</w:t>
        </w:r>
      </w:hyperlink>
      <w:r>
        <w:t xml:space="preserve"> (ALLIED) is a global network of 141 civil society actors that drives multi-stakeholder action and systematic change for the recognition, support and protection of Indigenous, land and environmental defenders (ILEDs).</w:t>
      </w:r>
      <w:r>
        <w:rPr>
          <w:vertAlign w:val="superscript"/>
        </w:rPr>
        <w:footnoteReference w:id="1"/>
      </w:r>
      <w:r>
        <w:t xml:space="preserve">  The ALLIED Data Working Group is co-led by the International Land Coalition (ILC) and the Business and Human Rights Resource Centre with the technical support of </w:t>
      </w:r>
      <w:proofErr w:type="spellStart"/>
      <w:r>
        <w:t>Técnicas</w:t>
      </w:r>
      <w:proofErr w:type="spellEnd"/>
      <w:r>
        <w:t xml:space="preserve"> Rudas. The group brings together more than a dozen local, </w:t>
      </w:r>
      <w:proofErr w:type="gramStart"/>
      <w:r>
        <w:t>regional</w:t>
      </w:r>
      <w:proofErr w:type="gramEnd"/>
      <w:r>
        <w:t xml:space="preserve"> and global data collectors and protection organizations working to reduce the fragmentation of data on defenders. Over the past three years, the Data Working Group has created a consolidated database of non-lethal attacks against ILEDs, drawing upon a wealth of existing and long-standing monitoring and documentation initiatives from around the world. Working with Global Witness, which publishes an annual list of land and environmental defenders killed for their work on the frontlines, ALLIED focuses on non-lethal attacks that often precede lethal violence, recognizing such attacks as a critical window of opportunity and intervention. </w:t>
      </w:r>
    </w:p>
    <w:p w14:paraId="00000004" w14:textId="77777777" w:rsidR="002D1402" w:rsidRDefault="002D1402"/>
    <w:p w14:paraId="00000005" w14:textId="77777777" w:rsidR="002D1402" w:rsidRDefault="00000000">
      <w:r>
        <w:t xml:space="preserve">In its 2024 publication – </w:t>
      </w:r>
      <w:hyperlink r:id="rId7">
        <w:r>
          <w:rPr>
            <w:color w:val="1155CC"/>
            <w:u w:val="single"/>
          </w:rPr>
          <w:t>Uncovering the Hidden Iceberg: A Global Perspective</w:t>
        </w:r>
      </w:hyperlink>
      <w:r>
        <w:t xml:space="preserve"> – the ALLIED Data Working Group released its first analysis of global non-lethal violence against ILEDs across 46 countries. Several of these attacks were forced and enforced disappearances. </w:t>
      </w:r>
    </w:p>
    <w:p w14:paraId="00000006" w14:textId="77777777" w:rsidR="002D1402" w:rsidRDefault="002D1402"/>
    <w:p w14:paraId="00000007" w14:textId="77777777" w:rsidR="002D1402" w:rsidRDefault="00000000">
      <w:r>
        <w:t>Over three years of data collection (2020-2022), the ALLIED Data Working Group recorded 48 forced and enforced disappearances</w:t>
      </w:r>
      <w:r>
        <w:rPr>
          <w:vertAlign w:val="superscript"/>
        </w:rPr>
        <w:footnoteReference w:id="2"/>
      </w:r>
      <w:r>
        <w:t xml:space="preserve"> of Indigenous, land and environmental defenders (ILEDs). In 25 of these cases (52%), the data collector reported that the defender was killed after the forced and enforced disappearance. While several data collectors working with ALLIED do not publicly share data related to the gender or sex of the defender, in cases of forced and enforced disappearance where such information was included, women accounted for 29.4% of such </w:t>
      </w:r>
      <w:proofErr w:type="spellStart"/>
      <w:r>
        <w:t>attacks.Of</w:t>
      </w:r>
      <w:proofErr w:type="spellEnd"/>
      <w:r>
        <w:t xml:space="preserve"> the 48 forced and enforced disappearances in the ALLIED dataset, 20.8% involved Indigenous Peoples, indicating – as with other types of attacks documented by ALLIED – that these individuals and communities were disproportionately targeted. Another 6.25% of cases </w:t>
      </w:r>
      <w:r>
        <w:lastRenderedPageBreak/>
        <w:t xml:space="preserve">targeted Afro-Colombians. The largest number of forced and enforced disappearances came from Colombia, which recorded 29 cases – 60% of the total – over three years, while in the Philippines and Mexico, data collectors reported 8 and 6 cases, respectively. In cases where data was available, defenders speaking out against harms caused by industrial agriculture and livestock appeared to be most at risk. These sectors were associated with 43.8% of reported forced and enforced disappearances. Paramilitary forces were </w:t>
      </w:r>
      <w:proofErr w:type="gramStart"/>
      <w:r>
        <w:t>most commonly named</w:t>
      </w:r>
      <w:proofErr w:type="gramEnd"/>
      <w:r>
        <w:t xml:space="preserve"> as the probable perpetrator in cases of forced and enforced disappearances, accounting for nearly 48% of all recorded cases, 39.6% of cases in Colombia and 50% of those in the Philippines. Armed forces and police were the second and third most likely to be listed as the probable perpetrator, accounting for 20.8% and 8.3% of cases, respectively. </w:t>
      </w:r>
    </w:p>
    <w:sectPr w:rsidR="002D140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2BD96" w14:textId="77777777" w:rsidR="006D7424" w:rsidRDefault="006D7424">
      <w:pPr>
        <w:spacing w:line="240" w:lineRule="auto"/>
      </w:pPr>
      <w:r>
        <w:separator/>
      </w:r>
    </w:p>
  </w:endnote>
  <w:endnote w:type="continuationSeparator" w:id="0">
    <w:p w14:paraId="304BBF3E" w14:textId="77777777" w:rsidR="006D7424" w:rsidRDefault="006D74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C926C" w14:textId="77777777" w:rsidR="006D7424" w:rsidRDefault="006D7424">
      <w:pPr>
        <w:spacing w:line="240" w:lineRule="auto"/>
      </w:pPr>
      <w:r>
        <w:separator/>
      </w:r>
    </w:p>
  </w:footnote>
  <w:footnote w:type="continuationSeparator" w:id="0">
    <w:p w14:paraId="195C61FC" w14:textId="77777777" w:rsidR="006D7424" w:rsidRDefault="006D7424">
      <w:pPr>
        <w:spacing w:line="240" w:lineRule="auto"/>
      </w:pPr>
      <w:r>
        <w:continuationSeparator/>
      </w:r>
    </w:p>
  </w:footnote>
  <w:footnote w:id="1">
    <w:p w14:paraId="00000008" w14:textId="77777777" w:rsidR="002D1402" w:rsidRDefault="00000000">
      <w:pPr>
        <w:spacing w:line="240" w:lineRule="auto"/>
        <w:rPr>
          <w:sz w:val="20"/>
          <w:szCs w:val="20"/>
        </w:rPr>
      </w:pPr>
      <w:r>
        <w:rPr>
          <w:vertAlign w:val="superscript"/>
        </w:rPr>
        <w:footnoteRef/>
      </w:r>
      <w:r>
        <w:rPr>
          <w:sz w:val="20"/>
          <w:szCs w:val="20"/>
        </w:rPr>
        <w:t xml:space="preserve"> ALLIED defines Indigenous, land and environmental defenders as individuals, organizations or communities who promote and peacefully defend human rights in connection with territories, natural resources, </w:t>
      </w:r>
      <w:proofErr w:type="gramStart"/>
      <w:r>
        <w:rPr>
          <w:sz w:val="20"/>
          <w:szCs w:val="20"/>
        </w:rPr>
        <w:t>livelihoods</w:t>
      </w:r>
      <w:proofErr w:type="gramEnd"/>
      <w:r>
        <w:rPr>
          <w:sz w:val="20"/>
          <w:szCs w:val="20"/>
        </w:rPr>
        <w:t xml:space="preserve"> and climate.</w:t>
      </w:r>
    </w:p>
  </w:footnote>
  <w:footnote w:id="2">
    <w:p w14:paraId="00000009" w14:textId="77777777" w:rsidR="002D1402" w:rsidRDefault="00000000">
      <w:pPr>
        <w:spacing w:line="240" w:lineRule="auto"/>
        <w:rPr>
          <w:sz w:val="20"/>
          <w:szCs w:val="20"/>
        </w:rPr>
      </w:pPr>
      <w:r>
        <w:rPr>
          <w:vertAlign w:val="superscript"/>
        </w:rPr>
        <w:footnoteRef/>
      </w:r>
      <w:r>
        <w:rPr>
          <w:sz w:val="20"/>
          <w:szCs w:val="20"/>
        </w:rPr>
        <w:t xml:space="preserve"> Forced or enforced disappearances: When persons are arrested, detained or abducted against their will or otherwise deprived of their liberty by officials of different branches or levels of government, or by organized groups or private individuals acting on behalf of, or with the support, direct or indirect, consent or acquiescence of the Government, followed by a refusal to disclose the fate or whereabouts of the persons concerned or a refusal to acknowledge the deprivation of their liberty, which places such persons outside the protection of the law. </w:t>
      </w:r>
      <w:r>
        <w:rPr>
          <w:color w:val="1D1C1D"/>
          <w:sz w:val="20"/>
          <w:szCs w:val="20"/>
        </w:rPr>
        <w:t xml:space="preserve">Source: United Nations. Declaration on the Protection of All Persons from Enforced Disappearance. GA Resolution 47/133 of 18 December 1992. Also sometimes called “enforced disappearance”, especially to underline when a state actor is among the perpetrators, whether by the State’s authorization, </w:t>
      </w:r>
      <w:proofErr w:type="gramStart"/>
      <w:r>
        <w:rPr>
          <w:color w:val="1D1C1D"/>
          <w:sz w:val="20"/>
          <w:szCs w:val="20"/>
        </w:rPr>
        <w:t>support</w:t>
      </w:r>
      <w:proofErr w:type="gramEnd"/>
      <w:r>
        <w:rPr>
          <w:color w:val="1D1C1D"/>
          <w:sz w:val="20"/>
          <w:szCs w:val="20"/>
        </w:rPr>
        <w:t xml:space="preserve"> or acquiescence (see for example, SDG 16.10.1 Definitions Metadata file. United Nations Office of the High Commissioner for Human Rights (jointly with UNESCO and ILO). Note that in some contexts, </w:t>
      </w:r>
      <w:proofErr w:type="gramStart"/>
      <w:r>
        <w:rPr>
          <w:color w:val="1D1C1D"/>
          <w:sz w:val="20"/>
          <w:szCs w:val="20"/>
        </w:rPr>
        <w:t>e.g.</w:t>
      </w:r>
      <w:proofErr w:type="gramEnd"/>
      <w:r>
        <w:rPr>
          <w:color w:val="1D1C1D"/>
          <w:sz w:val="20"/>
          <w:szCs w:val="20"/>
        </w:rPr>
        <w:t xml:space="preserve"> Mexico, a crime may be classified as a disappearance even when carried out exclusively by private actors (see Ley General </w:t>
      </w:r>
      <w:proofErr w:type="spellStart"/>
      <w:r>
        <w:rPr>
          <w:color w:val="1D1C1D"/>
          <w:sz w:val="20"/>
          <w:szCs w:val="20"/>
        </w:rPr>
        <w:t>en</w:t>
      </w:r>
      <w:proofErr w:type="spellEnd"/>
      <w:r>
        <w:rPr>
          <w:color w:val="1D1C1D"/>
          <w:sz w:val="20"/>
          <w:szCs w:val="20"/>
        </w:rPr>
        <w:t xml:space="preserve"> Materia de </w:t>
      </w:r>
      <w:proofErr w:type="spellStart"/>
      <w:r>
        <w:rPr>
          <w:color w:val="1D1C1D"/>
          <w:sz w:val="20"/>
          <w:szCs w:val="20"/>
        </w:rPr>
        <w:t>Desaparición</w:t>
      </w:r>
      <w:proofErr w:type="spellEnd"/>
      <w:r>
        <w:rPr>
          <w:color w:val="1D1C1D"/>
          <w:sz w:val="20"/>
          <w:szCs w:val="20"/>
        </w:rPr>
        <w:t xml:space="preserve"> </w:t>
      </w:r>
      <w:proofErr w:type="spellStart"/>
      <w:r>
        <w:rPr>
          <w:color w:val="1D1C1D"/>
          <w:sz w:val="20"/>
          <w:szCs w:val="20"/>
        </w:rPr>
        <w:t>Forzada</w:t>
      </w:r>
      <w:proofErr w:type="spellEnd"/>
      <w:r>
        <w:rPr>
          <w:color w:val="1D1C1D"/>
          <w:sz w:val="20"/>
          <w:szCs w:val="20"/>
        </w:rPr>
        <w:t xml:space="preserve"> de Personas, </w:t>
      </w:r>
      <w:proofErr w:type="spellStart"/>
      <w:r>
        <w:rPr>
          <w:color w:val="1D1C1D"/>
          <w:sz w:val="20"/>
          <w:szCs w:val="20"/>
        </w:rPr>
        <w:t>Desaparición</w:t>
      </w:r>
      <w:proofErr w:type="spellEnd"/>
      <w:r>
        <w:rPr>
          <w:color w:val="1D1C1D"/>
          <w:sz w:val="20"/>
          <w:szCs w:val="20"/>
        </w:rPr>
        <w:t xml:space="preserve"> </w:t>
      </w:r>
      <w:proofErr w:type="spellStart"/>
      <w:r>
        <w:rPr>
          <w:color w:val="1D1C1D"/>
          <w:sz w:val="20"/>
          <w:szCs w:val="20"/>
        </w:rPr>
        <w:t>Cometida</w:t>
      </w:r>
      <w:proofErr w:type="spellEnd"/>
      <w:r>
        <w:rPr>
          <w:color w:val="1D1C1D"/>
          <w:sz w:val="20"/>
          <w:szCs w:val="20"/>
        </w:rPr>
        <w:t xml:space="preserve"> </w:t>
      </w:r>
      <w:proofErr w:type="spellStart"/>
      <w:r>
        <w:rPr>
          <w:color w:val="1D1C1D"/>
          <w:sz w:val="20"/>
          <w:szCs w:val="20"/>
        </w:rPr>
        <w:t>por</w:t>
      </w:r>
      <w:proofErr w:type="spellEnd"/>
      <w:r>
        <w:rPr>
          <w:color w:val="1D1C1D"/>
          <w:sz w:val="20"/>
          <w:szCs w:val="20"/>
        </w:rPr>
        <w:t xml:space="preserve"> </w:t>
      </w:r>
      <w:proofErr w:type="spellStart"/>
      <w:r>
        <w:rPr>
          <w:color w:val="1D1C1D"/>
          <w:sz w:val="20"/>
          <w:szCs w:val="20"/>
        </w:rPr>
        <w:t>Particulares</w:t>
      </w:r>
      <w:proofErr w:type="spellEnd"/>
      <w:r>
        <w:rPr>
          <w:color w:val="1D1C1D"/>
          <w:sz w:val="20"/>
          <w:szCs w:val="20"/>
        </w:rPr>
        <w:t xml:space="preserve"> y del Sistema Nacional de </w:t>
      </w:r>
      <w:proofErr w:type="spellStart"/>
      <w:r>
        <w:rPr>
          <w:color w:val="1D1C1D"/>
          <w:sz w:val="20"/>
          <w:szCs w:val="20"/>
        </w:rPr>
        <w:t>Búsqueda</w:t>
      </w:r>
      <w:proofErr w:type="spellEnd"/>
      <w:r>
        <w:rPr>
          <w:color w:val="1D1C1D"/>
          <w:sz w:val="20"/>
          <w:szCs w:val="20"/>
        </w:rPr>
        <w:t xml:space="preserve"> de Personas).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402"/>
    <w:rsid w:val="002D1402"/>
    <w:rsid w:val="00441C01"/>
    <w:rsid w:val="006D7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24F25592-4477-4945-9294-4D09359CA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3o3cb4w253x5q.cloudfront.net/media/documents/Uncovering_the_hidden_iceberg_2024_update_-_web_version.pdf"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llied-global.org/" TargetMode="Externa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CSOs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Alliance for Land, Indigenous and Environmental Defenders (ALLIED)</Contributor>
  </documentManagement>
</p:properties>
</file>

<file path=customXml/itemProps1.xml><?xml version="1.0" encoding="utf-8"?>
<ds:datastoreItem xmlns:ds="http://schemas.openxmlformats.org/officeDocument/2006/customXml" ds:itemID="{9E11B0BA-4E98-452A-A5CF-9D6924F107BE}"/>
</file>

<file path=customXml/itemProps2.xml><?xml version="1.0" encoding="utf-8"?>
<ds:datastoreItem xmlns:ds="http://schemas.openxmlformats.org/officeDocument/2006/customXml" ds:itemID="{9EDD6DC9-2348-42D7-86DD-21884AC29D7B}"/>
</file>

<file path=customXml/itemProps3.xml><?xml version="1.0" encoding="utf-8"?>
<ds:datastoreItem xmlns:ds="http://schemas.openxmlformats.org/officeDocument/2006/customXml" ds:itemID="{522ACB46-323C-4BA8-952B-A468C41F924D}"/>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2957</Characters>
  <Application>Microsoft Office Word</Application>
  <DocSecurity>0</DocSecurity>
  <Lines>24</Lines>
  <Paragraphs>6</Paragraphs>
  <ScaleCrop>false</ScaleCrop>
  <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Hershaw, Eva</cp:lastModifiedBy>
  <cp:revision>2</cp:revision>
  <dcterms:created xsi:type="dcterms:W3CDTF">2024-12-16T17:40:00Z</dcterms:created>
  <dcterms:modified xsi:type="dcterms:W3CDTF">2024-12-16T17:40:00Z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