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42E2" w14:textId="77777777" w:rsidR="00675925" w:rsidRPr="00651A05" w:rsidRDefault="00675925" w:rsidP="00675925">
      <w:pPr>
        <w:jc w:val="right"/>
        <w:rPr>
          <w:rFonts w:ascii="Noto Sans" w:hAnsi="Noto Sans" w:cs="Noto Sans"/>
          <w:bCs/>
          <w:sz w:val="18"/>
          <w:szCs w:val="18"/>
        </w:rPr>
      </w:pPr>
      <w:r w:rsidRPr="00651A05">
        <w:rPr>
          <w:rFonts w:ascii="Noto Sans" w:hAnsi="Noto Sans" w:cs="Noto Sans"/>
          <w:bCs/>
          <w:sz w:val="18"/>
          <w:szCs w:val="18"/>
        </w:rPr>
        <w:t xml:space="preserve">Ciudad de México, </w:t>
      </w:r>
      <w:r>
        <w:rPr>
          <w:rFonts w:ascii="Noto Sans" w:hAnsi="Noto Sans" w:cs="Noto Sans"/>
          <w:bCs/>
          <w:sz w:val="18"/>
          <w:szCs w:val="18"/>
        </w:rPr>
        <w:t>Abril</w:t>
      </w:r>
      <w:r w:rsidRPr="00651A05">
        <w:rPr>
          <w:rFonts w:ascii="Noto Sans" w:hAnsi="Noto Sans" w:cs="Noto Sans"/>
          <w:bCs/>
          <w:sz w:val="18"/>
          <w:szCs w:val="18"/>
        </w:rPr>
        <w:t xml:space="preserve"> de 2025.</w:t>
      </w:r>
    </w:p>
    <w:p w14:paraId="7D36C3B2" w14:textId="77777777" w:rsidR="00675925" w:rsidRDefault="00675925" w:rsidP="00675925">
      <w:pPr>
        <w:textAlignment w:val="baseline"/>
        <w:rPr>
          <w:rFonts w:ascii="Noto Sans" w:hAnsi="Noto Sans" w:cs="Noto Sans"/>
          <w:b/>
          <w:bCs/>
          <w:sz w:val="20"/>
          <w:szCs w:val="20"/>
        </w:rPr>
      </w:pPr>
    </w:p>
    <w:p w14:paraId="38FE7D93" w14:textId="77777777" w:rsidR="00675925" w:rsidRDefault="00675925" w:rsidP="00675925">
      <w:pPr>
        <w:textAlignment w:val="baseline"/>
        <w:rPr>
          <w:rFonts w:ascii="Noto Sans" w:hAnsi="Noto Sans" w:cs="Noto Sans"/>
          <w:b/>
          <w:bCs/>
          <w:sz w:val="20"/>
          <w:szCs w:val="20"/>
        </w:rPr>
      </w:pPr>
    </w:p>
    <w:p w14:paraId="16243843" w14:textId="77777777" w:rsidR="00675925" w:rsidRPr="00A317BB" w:rsidRDefault="00675925" w:rsidP="00675925">
      <w:pPr>
        <w:textAlignment w:val="baseline"/>
        <w:rPr>
          <w:rFonts w:ascii="Noto Sans" w:hAnsi="Noto Sans" w:cs="Noto Sans"/>
          <w:sz w:val="22"/>
          <w:szCs w:val="22"/>
        </w:rPr>
      </w:pPr>
      <w:r w:rsidRPr="00A317BB">
        <w:rPr>
          <w:rFonts w:ascii="Noto Sans" w:hAnsi="Noto Sans" w:cs="Noto Sans"/>
          <w:b/>
          <w:bCs/>
          <w:sz w:val="22"/>
          <w:szCs w:val="22"/>
        </w:rPr>
        <w:t>Informe Nacional Programa Mundial para la Educación en Derechos Humanos 2020-2024.</w:t>
      </w:r>
    </w:p>
    <w:p w14:paraId="068F1D3D" w14:textId="77777777" w:rsidR="00675925" w:rsidRPr="00A317BB" w:rsidRDefault="00675925" w:rsidP="00675925">
      <w:pPr>
        <w:jc w:val="center"/>
        <w:textAlignment w:val="baseline"/>
        <w:rPr>
          <w:rFonts w:ascii="Noto Sans" w:hAnsi="Noto Sans" w:cs="Noto Sans"/>
          <w:sz w:val="22"/>
          <w:szCs w:val="22"/>
        </w:rPr>
      </w:pPr>
    </w:p>
    <w:p w14:paraId="3B6157CC" w14:textId="77777777" w:rsidR="00675925" w:rsidRPr="00A317BB" w:rsidRDefault="00675925" w:rsidP="00675925">
      <w:pPr>
        <w:pStyle w:val="Prrafodelista"/>
        <w:numPr>
          <w:ilvl w:val="0"/>
          <w:numId w:val="1"/>
        </w:numPr>
        <w:jc w:val="both"/>
        <w:rPr>
          <w:rFonts w:ascii="Noto Sans" w:hAnsi="Noto Sans" w:cs="Noto Sans"/>
          <w:b/>
          <w:bCs/>
          <w:i/>
          <w:iCs/>
        </w:rPr>
      </w:pPr>
      <w:r w:rsidRPr="00A317BB">
        <w:rPr>
          <w:rFonts w:ascii="Noto Sans" w:hAnsi="Noto Sans" w:cs="Noto Sans"/>
          <w:b/>
          <w:bCs/>
          <w:i/>
          <w:iCs/>
        </w:rPr>
        <w:t>Elaboración/adopción de políticas y medidas de aplicación en materia de EDH y relacionadas con la EDH</w:t>
      </w:r>
    </w:p>
    <w:p w14:paraId="2071EE26"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Tomando como fundamento el mandato del Artículo 3º. de la Constitución Política de los Estados Unidos Mexicanos que a la letra dice:</w:t>
      </w:r>
    </w:p>
    <w:p w14:paraId="4DC9F4C1"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Toda persona tiene derecho a la educación. El Estado -Federación, Estados, Ciudad de México y Municipios- impartirá y garantizará la educación inicial, preescolar, primaria, secundaria, media superior y superior. La educación inicial, preescolar, primaria y secundaria conforman la educación básica; ésta y la media superior serán obligatorias, […]. La educción inicial es un derecho de la niñez y será responsabilidad del Estado concientizar sobre su importancia. Corresponde al Estado la rectoría de la educación, la impartida por éste además de obligatoria, será universal, inclusiva, pública gratuita y laica.</w:t>
      </w:r>
    </w:p>
    <w:p w14:paraId="57BF7EDB"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 educación se basará en el respeto irrestricto de la dignidad de las personas, con un enfoque de derechos humanos y de igualdad sustantiva. Tenderá a desarrollar armónicamente todas las facultades del ser humano y fomentará en él, a la vez, el amor a la Patria, el respeto a todos los derechos, las libertades, la cultura de paz y la conciencia de la solidaridad internacional, en la independencia y en la justicia; promoverá la honestidad, los valores y la mejora continua del proceso de enseñanza – aprendizaje.</w:t>
      </w:r>
    </w:p>
    <w:p w14:paraId="6872833A"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Desde el mandato constitucional es clara la responsabilidad del Estado Mexicano y sus instituciones para generar las condiciones de infraestructura, pedagógicas, didácticas y de personal docente para brindar educación a las niñas, niños y adolescentes, con programas de estudio que promuevan el desarrollo integral de sus capacidades físicas, psicológicas y sociales con enfoque de derechos humanos, concebidos como:</w:t>
      </w:r>
    </w:p>
    <w:p w14:paraId="0C2148F3"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El conjunto de prerrogativas sustentadas en la dignidad humana, cuya realización efectiva resulta indispensable para el desarrollo integral de la persona, son inherentes a todos los seres humanos, sin distinción alguna de </w:t>
      </w:r>
      <w:r w:rsidRPr="00A317BB">
        <w:rPr>
          <w:rFonts w:ascii="Noto Sans" w:hAnsi="Noto Sans" w:cs="Noto Sans"/>
          <w:sz w:val="22"/>
          <w:szCs w:val="22"/>
        </w:rPr>
        <w:lastRenderedPageBreak/>
        <w:t>nacionalidad, lugar de residencia, sexo, origen nacional o étnico, color, religión o cualquier otra condición. (</w:t>
      </w:r>
      <w:proofErr w:type="gramStart"/>
      <w:r w:rsidRPr="00A317BB">
        <w:rPr>
          <w:rFonts w:ascii="Noto Sans" w:hAnsi="Noto Sans" w:cs="Noto Sans"/>
          <w:sz w:val="22"/>
          <w:szCs w:val="22"/>
        </w:rPr>
        <w:t>CNDH :</w:t>
      </w:r>
      <w:proofErr w:type="gramEnd"/>
      <w:r w:rsidRPr="00A317BB">
        <w:rPr>
          <w:rFonts w:ascii="Noto Sans" w:hAnsi="Noto Sans" w:cs="Noto Sans"/>
          <w:sz w:val="22"/>
          <w:szCs w:val="22"/>
        </w:rPr>
        <w:t xml:space="preserve"> 2025).</w:t>
      </w:r>
    </w:p>
    <w:p w14:paraId="73F855EF"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El derecho a la educación fue reivindicado como un derecho social con las reformas al artículo 3o. constitucional de 2019, con el propósito de contribuir al desarrollo de las personas en todas las etapas de la vida, entendiendo con ello que no se agota con la instrucción educativa, sino que su realización es de manera progresiva y permanente entre los integrantes de la sociedad con el fin de potenciar sus capacidades y aptitudes. </w:t>
      </w:r>
    </w:p>
    <w:p w14:paraId="1905B2DA"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El reto que se estableció en dicho precepto constitucional es enorme, pues se trata de implementar la Nueva Escuela Mexicana donde se tome en cuenta a todos los sectores involucrados, desde padres y madres de familia, educandos, autoridades educativas, organizaciones de la sociedad civil, académicos y, por supuesto, a las maestras y los maestros, con el objetivo claro de garantizar el derecho a la educación y colocar, en el centro, el aprendizaje de las niñas, niños, adolescentes y jóvenes como los destinatarios finales de toda la suma de esfuerzos y voluntades políticas. </w:t>
      </w:r>
    </w:p>
    <w:p w14:paraId="0AAB26F2"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Esos cambios constitucionales significaron una verdadera transformación en los modelos educativos y dieron paso a una manera diferente de concebir la educación, la cual se traduce en las siguientes premisas</w:t>
      </w:r>
    </w:p>
    <w:p w14:paraId="6301CBE8" w14:textId="77777777" w:rsidR="00675925" w:rsidRPr="00A317BB" w:rsidRDefault="00675925" w:rsidP="00675925">
      <w:pPr>
        <w:pStyle w:val="Prrafodelista"/>
        <w:numPr>
          <w:ilvl w:val="0"/>
          <w:numId w:val="2"/>
        </w:numPr>
        <w:spacing w:before="240" w:after="120" w:line="240" w:lineRule="auto"/>
        <w:ind w:left="851" w:firstLine="0"/>
        <w:jc w:val="both"/>
        <w:rPr>
          <w:rFonts w:ascii="Noto Sans" w:hAnsi="Noto Sans" w:cs="Noto Sans"/>
        </w:rPr>
      </w:pPr>
      <w:r w:rsidRPr="00A317BB">
        <w:rPr>
          <w:rFonts w:ascii="Noto Sans" w:hAnsi="Noto Sans" w:cs="Noto Sans"/>
        </w:rPr>
        <w:t>Reafirmar la rectoría del Estado en la educación, lo que abarca todos los aspectos para garantizar de manera plena este derecho sin que se privilegie ningún interés de sectores por encima de los principios constitucionales;</w:t>
      </w:r>
    </w:p>
    <w:p w14:paraId="56F873BF" w14:textId="77777777" w:rsidR="00675925" w:rsidRPr="00A317BB" w:rsidRDefault="00675925" w:rsidP="00675925">
      <w:pPr>
        <w:pStyle w:val="Prrafodelista"/>
        <w:numPr>
          <w:ilvl w:val="0"/>
          <w:numId w:val="2"/>
        </w:numPr>
        <w:spacing w:before="240" w:after="120" w:line="240" w:lineRule="auto"/>
        <w:ind w:left="851" w:firstLine="0"/>
        <w:jc w:val="both"/>
        <w:rPr>
          <w:rFonts w:ascii="Noto Sans" w:hAnsi="Noto Sans" w:cs="Noto Sans"/>
        </w:rPr>
      </w:pPr>
      <w:proofErr w:type="gramStart"/>
      <w:r w:rsidRPr="00A317BB">
        <w:rPr>
          <w:rFonts w:ascii="Noto Sans" w:hAnsi="Noto Sans" w:cs="Noto Sans"/>
        </w:rPr>
        <w:t>Enfatizar</w:t>
      </w:r>
      <w:proofErr w:type="gramEnd"/>
      <w:r w:rsidRPr="00A317BB">
        <w:rPr>
          <w:rFonts w:ascii="Noto Sans" w:hAnsi="Noto Sans" w:cs="Noto Sans"/>
        </w:rPr>
        <w:t xml:space="preserve"> que se debe priorizar el interés de niñas, niños, adolescentes y jóvenes en el acceso, permanencia y participación en el Sistema Educativo Nacional; </w:t>
      </w:r>
    </w:p>
    <w:p w14:paraId="147D58E1" w14:textId="77777777" w:rsidR="00675925" w:rsidRPr="00A317BB" w:rsidRDefault="00675925" w:rsidP="00675925">
      <w:pPr>
        <w:pStyle w:val="Prrafodelista"/>
        <w:numPr>
          <w:ilvl w:val="0"/>
          <w:numId w:val="2"/>
        </w:numPr>
        <w:spacing w:before="240" w:after="120" w:line="240" w:lineRule="auto"/>
        <w:ind w:left="851" w:firstLine="0"/>
        <w:jc w:val="both"/>
        <w:rPr>
          <w:rFonts w:ascii="Noto Sans" w:hAnsi="Noto Sans" w:cs="Noto Sans"/>
        </w:rPr>
      </w:pPr>
      <w:r w:rsidRPr="00A317BB">
        <w:rPr>
          <w:rFonts w:ascii="Noto Sans" w:hAnsi="Noto Sans" w:cs="Noto Sans"/>
        </w:rPr>
        <w:t xml:space="preserve">Manifestar el respeto de los derechos de las maestras y los maestros, así como el compromiso de realizar las acciones para mejorar las condiciones bajo las cuales prestan sus servicios educativos; además de reconocer, en el magisterio, un agente de transformación social y la contribución a la educación en nuestro país; </w:t>
      </w:r>
    </w:p>
    <w:p w14:paraId="27C77832" w14:textId="77777777" w:rsidR="00675925" w:rsidRPr="00A317BB" w:rsidRDefault="00675925" w:rsidP="00675925">
      <w:pPr>
        <w:pStyle w:val="Prrafodelista"/>
        <w:numPr>
          <w:ilvl w:val="0"/>
          <w:numId w:val="2"/>
        </w:numPr>
        <w:spacing w:before="240" w:after="120" w:line="240" w:lineRule="auto"/>
        <w:ind w:left="851" w:firstLine="0"/>
        <w:jc w:val="both"/>
        <w:rPr>
          <w:rFonts w:ascii="Noto Sans" w:hAnsi="Noto Sans" w:cs="Noto Sans"/>
        </w:rPr>
      </w:pPr>
      <w:r w:rsidRPr="00A317BB">
        <w:rPr>
          <w:rFonts w:ascii="Noto Sans" w:hAnsi="Noto Sans" w:cs="Noto Sans"/>
        </w:rPr>
        <w:t xml:space="preserve">Recuperar a la escuela para concebirla como un centro de aprendizaje comunitario, y </w:t>
      </w:r>
    </w:p>
    <w:p w14:paraId="2A5AE271" w14:textId="77777777" w:rsidR="00675925" w:rsidRDefault="00675925" w:rsidP="00675925">
      <w:pPr>
        <w:pStyle w:val="Prrafodelista"/>
        <w:numPr>
          <w:ilvl w:val="0"/>
          <w:numId w:val="2"/>
        </w:numPr>
        <w:spacing w:before="240" w:after="120" w:line="240" w:lineRule="auto"/>
        <w:ind w:left="851" w:firstLine="0"/>
        <w:jc w:val="both"/>
        <w:rPr>
          <w:rFonts w:ascii="Noto Sans" w:hAnsi="Noto Sans" w:cs="Noto Sans"/>
        </w:rPr>
      </w:pPr>
      <w:r w:rsidRPr="00A317BB">
        <w:rPr>
          <w:rFonts w:ascii="Noto Sans" w:hAnsi="Noto Sans" w:cs="Noto Sans"/>
        </w:rPr>
        <w:t xml:space="preserve">Materializar la Nueva Escuela Mexicana como el instrumento del Estado para contribuir el derecho a la educación y formar a nuestras niñas, niños, adolescentes y jóvenes con una visión humanista y social, con enfoque de derechos humanos y cultura de la paz. </w:t>
      </w:r>
    </w:p>
    <w:p w14:paraId="7BADDF71" w14:textId="77777777" w:rsidR="00675925" w:rsidRPr="00A317BB" w:rsidRDefault="00675925" w:rsidP="00675925">
      <w:pPr>
        <w:pStyle w:val="Prrafodelista"/>
        <w:spacing w:before="240" w:after="120" w:line="240" w:lineRule="auto"/>
        <w:ind w:left="851"/>
        <w:jc w:val="both"/>
        <w:rPr>
          <w:rFonts w:ascii="Noto Sans" w:hAnsi="Noto Sans" w:cs="Noto Sans"/>
        </w:rPr>
      </w:pPr>
    </w:p>
    <w:p w14:paraId="5861DC73"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lastRenderedPageBreak/>
        <w:t>PLANES Y PROGRAMAS DE ESTUDIO</w:t>
      </w:r>
    </w:p>
    <w:p w14:paraId="3D52FEEB"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Lo anterior se complementa con la aplicación de los nuevos planes y programas de estudio, los cuales responden a la visión del derecho a la educación del artículo 3o. de la Constitución Política de los Estados Unidos Mexicanos</w:t>
      </w:r>
    </w:p>
    <w:p w14:paraId="340A60BA"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El 19 de agosto de 2022, la Secretaría de Educación Pública, publicó en el Diario Oficial de la Federación bajo el Acuerdo número 14/08/2022 por el que se establece el Plan de Estudio para la Educación Preescolar, Primaria y Secundaria, y el 15 de agosto de 2023, publicó en el Diario Oficial de la Federación bajo el Acuerdo número 08/08/2023 por el que se establecen los Programas de Estudio para la educación preescolar, primaria y secundaria; Programas Sintéticos fase 2 a 6.</w:t>
      </w:r>
    </w:p>
    <w:p w14:paraId="0D2D93DE"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El Plan de Estudio para la educación preescolar, primaria y secundaria 2022 y sus programas de estudio reconocen como fundamento de la Nueva Escuela Mexicana el artículo 3o. cuarto párrafo, de la Constitución Política de los Estados Unidos Mexicanos, en el que se establece que “la educación se basará en el respeto irrestricto de la dignidad de las personas, </w:t>
      </w:r>
      <w:r w:rsidRPr="00A317BB">
        <w:rPr>
          <w:rFonts w:ascii="Noto Sans" w:hAnsi="Noto Sans" w:cs="Noto Sans"/>
          <w:b/>
          <w:bCs/>
          <w:sz w:val="22"/>
          <w:szCs w:val="22"/>
        </w:rPr>
        <w:t>con un enfoque de derechos humanos y de igualdad sustantiva</w:t>
      </w:r>
      <w:r w:rsidRPr="00A317BB">
        <w:rPr>
          <w:rFonts w:ascii="Noto Sans" w:hAnsi="Noto Sans" w:cs="Noto Sans"/>
          <w:sz w:val="22"/>
          <w:szCs w:val="22"/>
        </w:rPr>
        <w:t>.”</w:t>
      </w:r>
    </w:p>
    <w:p w14:paraId="288E6C63"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Se identifica que los derechos humanos parten del reconocimiento de que en el espacio público democrático existen diversos sujetos del derecho: niñas, niños, adultos mayores, jóvenes, mujeres y hombres, pueblos indígenas y afromexicanos, extranjeros, migrantes, refugiados, asilados y desplazados, integrantes de la diversidad sexo genérica como las personas trans, intersexuales y queer,  entre otras y otros, así como personas con discapacidad incluyendo las personas con aptitudes sobresalientes; todas y todos inscritos en diversos grupos urbanos o rurales pertenecientes a distintas clases sociales que reclaman una visión plural, incluyente y participativa en el ejercicio pleno de sus derechos humanos. Asimismo, este reconocimiento se extiende al derecho a la vida, que incluye el cuidado, respeto, protección de los organismos y los ciclos vitales del medio ambiente, las mujeres y los hombres, como condición y fundamento del ejercicio de los derechos humanos.</w:t>
      </w:r>
    </w:p>
    <w:p w14:paraId="7AE0E967"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La formación de las y los estudiantes de la Nueva Escuela Mexicana busca que vivan los derechos humanos desde sus realidades concretas, en su cotidianidad y en permanente relación con la diversidad territorial, social, lingüística y cultural que constituye un país como México para que interactúen, dialoguen y aprendan diversas capacidades que les permitan comprender y participar en la transformación de las </w:t>
      </w:r>
      <w:r w:rsidRPr="00A317BB">
        <w:rPr>
          <w:rFonts w:ascii="Noto Sans" w:hAnsi="Noto Sans" w:cs="Noto Sans"/>
          <w:sz w:val="22"/>
          <w:szCs w:val="22"/>
        </w:rPr>
        <w:lastRenderedPageBreak/>
        <w:t xml:space="preserve">relaciones desiguales que existen por motivos de clase, etnia, sexo, género, edad o capacidad, mismas que violentan la dignidad humana. </w:t>
      </w:r>
    </w:p>
    <w:p w14:paraId="216713A6"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 educación es la base del desarrollo de las capacidades de una persona y condición fundamental para la construcción de una sociedad democrática, por lo que el bienestar humano, individual y colectivo está relacionado con el desarrollo de conocimientos, valores, experiencias y saberes específicamente humanos; de ahí la importancia del ejercicio del derecho a la educación como condición para el goce de otros derechos.</w:t>
      </w:r>
    </w:p>
    <w:p w14:paraId="0A698B45"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El Plan de estudio en el campo formativo “Ética, naturaleza y sociedades” aborda la relación del ser humano con la sociedad y la naturaleza desde la comprensión crítica de los procesos sociales, políticos, naturales y culturales en diversas comunidades situadas histórica y geográficamente; ofreciendo experiencias de aprendizaje para la construcción de una postura ética que impulse el desarrollo de una ciudadanía participativa, comunitaria, responsable y democrática.</w:t>
      </w:r>
    </w:p>
    <w:p w14:paraId="0E107FE1"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Una de las finalidades del campo formativo es que niñas, niños y adolescentes adquieran y desarrollen de manera gradual, razonada, vivencial y consciente el respeto y protección de los derechos humanos conforme avancen en su trayecto educativo y de vida, y conozcan su importancia para la organización de la vida en sociedad, aprendan a defenderlos ante situaciones de desigualdad e injusticia, así como a ejercerlos de manera informada y pacífica; lo que supone exigir su cumplimiento para sí y para todas las personas, respetando todas las diversidades.</w:t>
      </w:r>
    </w:p>
    <w:p w14:paraId="2A069BDA"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Por lo anterior, el Plan de Estudio para la educación preescolar, primaria y secundaria 2022 y sus programas de estudio busca promover una educación integral que fomente valores como la igualdad, la justicia y el respeto a los derechos humanos desde una edad temprana.</w:t>
      </w:r>
    </w:p>
    <w:p w14:paraId="5A95CE1D"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 Inclusión y equidad, formación de valores y la participación, son elementos que están integrados en los programas de estudio y actividades educativas para asegurar que los estudiantes no solo conozcan sus derechos, sino que también aprendan a respetar y defender los derechos de los demás.</w:t>
      </w:r>
    </w:p>
    <w:p w14:paraId="40111929"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Inclusión y equidad: Se enfatiza la importancia de crear ambientes educativos inclusivos donde todos los estudiantes, independientemente de sus características personales, tengan acceso a una educación de calidad.</w:t>
      </w:r>
    </w:p>
    <w:p w14:paraId="6AFEFF93"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lastRenderedPageBreak/>
        <w:t>Formación en valores: Se promueve la enseñanza de valores universales y el respeto a los derechos humanos como parte fundamental del desarrollo integral de los estudiantes.</w:t>
      </w:r>
    </w:p>
    <w:p w14:paraId="539FA7C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Participación: Se fomenta la participación de los estudiantes en la comunidad y en la toma de decisiones, promoviendo una cultura de paz y democracia.</w:t>
      </w:r>
    </w:p>
    <w:p w14:paraId="2EF392F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EDUCACIÓN INDÍGENA</w:t>
      </w:r>
    </w:p>
    <w:p w14:paraId="515A179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Las reformas realizadas a la Constitución en 2024 en México, profundiza en reconocer a los pueblos y comunidades indígenas como sujetos de derecho público con personalidad jurídica y patrimonio propio.</w:t>
      </w:r>
    </w:p>
    <w:p w14:paraId="08482AD1"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El artículo 2º establece que la nación mexicana es única e indivisible, y reconoce que tiene una composición pluricultural sustentada originalmente en sus pueblos indígenas. Garantizando el derecho de los pueblos indígenas a la libre determinación y, en consecuencia, a la autonomía para decidir sus formas internas de convivencia y organización social, económica, política y cultural. También les permite aplicar sus propios sistemas normativos en la regulación y solución de sus conflictos internos, respetando las garantías individuales, los derechos humanos y la dignidad e integridad de las mujeres.</w:t>
      </w:r>
    </w:p>
    <w:p w14:paraId="539F4C6C"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En consecuencia, a tener autonomía para:</w:t>
      </w:r>
    </w:p>
    <w:p w14:paraId="2143A36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Preservar, proteger y desarrollar su patrimonio cultural, material e inmaterial, que comprende todos los elementos que constituyen su cultura e identidad. Se reconoce la propiedad intelectual colectiva respecto de dicho patrimonio, en los términos que dispongan las leyes.</w:t>
      </w:r>
    </w:p>
    <w:p w14:paraId="3AE15E6C"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Promover el uso, desarrollo, preservación, estudio y difusión de las lenguas indígenas como un elemento constitutivo de la diversidad cultural de la Nación, así como una política lingüística multilingüe que permita su uso en los espacios públicos y en los privados que correspondan.</w:t>
      </w:r>
    </w:p>
    <w:p w14:paraId="72F0163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Participar, en términos del artículo 3o. constitucional, en la construcción de los modelos educativos para reconocer la composición pluricultural de la Nación con base en sus culturas, lenguas y métodos de enseñanza y aprendizaje.</w:t>
      </w:r>
    </w:p>
    <w:p w14:paraId="7F906882"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Actualmente para las escuelas de educación indígena se gestiona ante las autoridades competentes, una propuesta para estructura ocupacional, que incluye por primera vez </w:t>
      </w:r>
      <w:r w:rsidRPr="00A317BB">
        <w:rPr>
          <w:rFonts w:ascii="Noto Sans" w:hAnsi="Noto Sans" w:cs="Noto Sans"/>
          <w:sz w:val="22"/>
          <w:szCs w:val="22"/>
        </w:rPr>
        <w:lastRenderedPageBreak/>
        <w:t>las plazas de directora o director bilingüe, subdirectora o subdirector bilingüe y maestra o maestro bilingüe.</w:t>
      </w:r>
    </w:p>
    <w:p w14:paraId="6206363D"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EMISIÓN DE DISPOSICIONES NORMATIVAS PARA PROMOVER ENTORNOS ESCOLARES SEGUROS</w:t>
      </w:r>
    </w:p>
    <w:p w14:paraId="235BBB7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Con el propósito de contribuir al desarrollo integral y permanente de los educandos, para que ejerzan de manera plena sus capacidades, la SEP impulsa que los centros educativos sean entornos seguros y saludables en los que las niñas, niños y adolescentes aprendan y convivan con el mayor grado de bienestar posible.</w:t>
      </w:r>
    </w:p>
    <w:p w14:paraId="1133C75C"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Con este fin, en el 2020-2021 publicó el documento Entornos Escolares Seguros en el que se exponen lineamientos de observancia general y nacional, como un marco general para que las Autoridades Educativas de las entidades federativas establezcan protocolos locales de acuerdo a su contexto para la construcción de entornos escolares seguros, que van desde la parte formativa dirigida a los integrantes de la comunidad docente, incluyendo a las madres y/o padres de familia o tutores, así como acciones preventivas.</w:t>
      </w:r>
    </w:p>
    <w:p w14:paraId="0A73C2F5"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El material actualmente se encuentra disponible en el sitio Web </w:t>
      </w:r>
      <w:hyperlink r:id="rId7" w:history="1">
        <w:r w:rsidRPr="00A317BB">
          <w:rPr>
            <w:rStyle w:val="Hipervnculo"/>
            <w:rFonts w:ascii="Noto Sans" w:hAnsi="Noto Sans" w:cs="Noto Sans"/>
            <w:sz w:val="22"/>
            <w:szCs w:val="22"/>
          </w:rPr>
          <w:t>https://escuelalibredeviolencia.sep.gob.mx/</w:t>
        </w:r>
      </w:hyperlink>
      <w:r w:rsidRPr="00A317BB">
        <w:rPr>
          <w:rFonts w:ascii="Noto Sans" w:hAnsi="Noto Sans" w:cs="Noto Sans"/>
          <w:sz w:val="22"/>
          <w:szCs w:val="22"/>
        </w:rPr>
        <w:t xml:space="preserve"> </w:t>
      </w:r>
    </w:p>
    <w:p w14:paraId="160ADCC4"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Para prevenir la violencia escolar en educación básica (preescolar, primaria y secundaria). </w:t>
      </w:r>
    </w:p>
    <w:p w14:paraId="39C401AD"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Con el propósito de contar con lineamientos orientados en el respeto a los derechos humanos de niñas, niños y adolescentes, fortalecidos con una visión preventiva y formativa que contemple la prevención de violencias y el enfoque de infancias, la Secretaría de Educación Pública (SEP), emitió en diciembre de 2023 el Acuerdo No. 14/12/23 por el que se emiten los Lineamientos para el protocolo de erradicación del acoso escolar en educación básica (preescolar, primaria y secundaria). Con base en ello, las Autoridades Educativas Locales (AEL) en las entidades federativas, en observancia a lo establecido en dichos lineamientos, han generado a nivel estatal el “Protocolo para la erradicación del acoso escolar en las escuelas públicas y particulares de educación básica”. Los protocolos actualizados que se ha emitido a la fecha de este informe se encuentran publicados en un Mapa Interactivo en el sitio web:  https://escuelalibredeviolencia.sep.gob.mx/</w:t>
      </w:r>
    </w:p>
    <w:p w14:paraId="2F8125B6"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lastRenderedPageBreak/>
        <w:t>En este mismo rubro, la SEP en 2024 inició con la elaboración de los Lineamientos para la Prevención, Atención y Erradicación de la Violencia Sexual de Niñas, Niños y Adolescentes, en Educación Básica; así como de los Lineamientos para la Prevención, Atención y Erradicación del Maltrato A Niñas, Niños y Adolescentes, en Educación Básica.</w:t>
      </w:r>
    </w:p>
    <w:p w14:paraId="0890851F" w14:textId="77777777" w:rsidR="00675925"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Estas disposiciones normativas, son continuidad de los lineamentos para la elaboración del protocolo de erradicación del acoso escolar en educación básica, publicado en 2023; y al término del 2024 se contaba con un documento de trabajo concluido para su revisión y validación de las instancias jurídicas correspondientes.</w:t>
      </w:r>
    </w:p>
    <w:p w14:paraId="2B4FAD1C" w14:textId="77777777" w:rsidR="00675925" w:rsidRDefault="00675925" w:rsidP="00675925">
      <w:pPr>
        <w:rPr>
          <w:rFonts w:ascii="Noto Sans" w:hAnsi="Noto Sans" w:cs="Noto Sans"/>
          <w:sz w:val="22"/>
          <w:szCs w:val="22"/>
        </w:rPr>
      </w:pPr>
      <w:r>
        <w:rPr>
          <w:rFonts w:ascii="Noto Sans" w:hAnsi="Noto Sans" w:cs="Noto Sans"/>
          <w:sz w:val="22"/>
          <w:szCs w:val="22"/>
        </w:rPr>
        <w:br w:type="page"/>
      </w:r>
    </w:p>
    <w:p w14:paraId="2AB0E384" w14:textId="77777777" w:rsidR="00675925" w:rsidRPr="00A317BB" w:rsidRDefault="00675925" w:rsidP="00675925">
      <w:pPr>
        <w:pStyle w:val="Prrafodelista"/>
        <w:numPr>
          <w:ilvl w:val="0"/>
          <w:numId w:val="1"/>
        </w:numPr>
        <w:spacing w:before="240" w:after="120" w:line="240" w:lineRule="auto"/>
        <w:ind w:left="0" w:firstLine="0"/>
        <w:jc w:val="both"/>
        <w:rPr>
          <w:rFonts w:ascii="Noto Sans" w:hAnsi="Noto Sans" w:cs="Noto Sans"/>
          <w:b/>
          <w:bCs/>
          <w:i/>
          <w:iCs/>
        </w:rPr>
      </w:pPr>
      <w:r w:rsidRPr="00A317BB">
        <w:rPr>
          <w:rFonts w:ascii="Noto Sans" w:hAnsi="Noto Sans" w:cs="Noto Sans"/>
          <w:b/>
          <w:bCs/>
          <w:i/>
          <w:iCs/>
        </w:rPr>
        <w:lastRenderedPageBreak/>
        <w:t>Desarrollar/apoyar el desarrollo/uso de contenidos, metodologías y materiales apropiados de EDH</w:t>
      </w:r>
      <w:r>
        <w:rPr>
          <w:rFonts w:ascii="Noto Sans" w:hAnsi="Noto Sans" w:cs="Noto Sans"/>
          <w:b/>
          <w:bCs/>
          <w:i/>
          <w:iCs/>
        </w:rPr>
        <w:t>.</w:t>
      </w:r>
    </w:p>
    <w:p w14:paraId="5F14F85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 Nueva Escuela Mexicana, bajo los principios de responsabilidad ciudadana, honestidad, participación en la transformación de la sociedad, respeto de la dignidad humana, promoción de la interculturalidad y la promoción de la cultura de la paz, pretende contribuir a una modelo de convivencia al que aspira la humanidad, la cual requiere no solo de la educación formal sino de la participación de toda la sociedad, para ser posible la transformación social que permita el verdadero ejercicio de valores democráticos como la justicia, la libertad, el respeto, la participación social, entre otros; y de capacidades como el diálogo, la cooperación y la comunicación.</w:t>
      </w:r>
    </w:p>
    <w:p w14:paraId="42884D6B"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En este sentido, con las medidas impulsadas por la SEP para fomentar entornos propicios en las escuelas de educación básica se coadyuva a favorecer que las infancias adquieran competencias para la interacción y convivencia cotidiana en los centros escolares y otros contextos, el respeto a los derechos, la resolución no violenta de conflictos, el autocuidado y las competencias socioemocionales como parte de su proceso formativo e integral. </w:t>
      </w:r>
    </w:p>
    <w:p w14:paraId="020EC89C"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Enseguida, se destacan las principales medidas adoptadas por la SEP en educación básica, sobre educación en derechos humanos, durante los años 2020-2024.</w:t>
      </w:r>
    </w:p>
    <w:p w14:paraId="0C32A7C5"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1.</w:t>
      </w:r>
      <w:r w:rsidRPr="00A317BB">
        <w:rPr>
          <w:rFonts w:ascii="Noto Sans" w:hAnsi="Noto Sans" w:cs="Noto Sans"/>
          <w:sz w:val="22"/>
          <w:szCs w:val="22"/>
        </w:rPr>
        <w:tab/>
        <w:t>Fichero Promover la cultura de Paz en y desde nuestra escuela</w:t>
      </w:r>
    </w:p>
    <w:p w14:paraId="0E5AF2A9"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Como parte de una estrategia formativa y preventiva, para desarrollar ambientes de aprendizaje, caracterizados por prácticas pedagógicas y de gestión que contribuyen a la construcción de una cultura de paz y una convivencia armónica, inclusiva y democrática, la SEP a través de la Subsecretaría de Educación Básica, diseño y distribuyó el Fichero Promover la Cultura de paz y desde nuestra escuela. </w:t>
      </w:r>
    </w:p>
    <w:p w14:paraId="521BE971"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Este fichero se diseñó en su primera edición el 2020, y se actualizó hasta la tercera edición en 2023. Este material está elaborado con un enfoque de derechos humanos y de igualdad de género, y considera las siguientes líneas temáticas que corresponden a ámbitos de acción de la cultura de paz: </w:t>
      </w:r>
    </w:p>
    <w:p w14:paraId="13D77D84"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Desarrollo de competencias socioemocionales</w:t>
      </w:r>
    </w:p>
    <w:p w14:paraId="4CF6EA7F"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Promoción de la igualdad de género</w:t>
      </w:r>
    </w:p>
    <w:p w14:paraId="378EF729"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Valoración de la diversidad</w:t>
      </w:r>
    </w:p>
    <w:p w14:paraId="02AC9E64"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lastRenderedPageBreak/>
        <w:t>Conocimiento, ejercicio y respeto a los derechos humanos</w:t>
      </w:r>
    </w:p>
    <w:p w14:paraId="3345022C"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Toma de decisiones y autocuidado</w:t>
      </w:r>
    </w:p>
    <w:p w14:paraId="79713364"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Desarrollo de habilidades para la vida (entornos escolares seguros)</w:t>
      </w:r>
    </w:p>
    <w:p w14:paraId="06CD7945"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Participación infantil y adolescente</w:t>
      </w:r>
    </w:p>
    <w:p w14:paraId="13B1FBF3"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Está dirigido a personal docente y escuelas de educación preescolar, primaria y secundaria.</w:t>
      </w:r>
    </w:p>
    <w:p w14:paraId="2E1B4F61"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El material actualmente se encuentra disponible en el sitio Web </w:t>
      </w:r>
      <w:hyperlink r:id="rId8" w:history="1">
        <w:r w:rsidRPr="00A317BB">
          <w:rPr>
            <w:rStyle w:val="Hipervnculo"/>
            <w:rFonts w:ascii="Noto Sans" w:hAnsi="Noto Sans" w:cs="Noto Sans"/>
            <w:sz w:val="22"/>
            <w:szCs w:val="22"/>
          </w:rPr>
          <w:t>https://escuelalibredeviolencia.sep.gob.mx/</w:t>
        </w:r>
      </w:hyperlink>
      <w:r w:rsidRPr="00A317BB">
        <w:rPr>
          <w:rFonts w:ascii="Noto Sans" w:hAnsi="Noto Sans" w:cs="Noto Sans"/>
          <w:sz w:val="22"/>
          <w:szCs w:val="22"/>
        </w:rPr>
        <w:t xml:space="preserve"> </w:t>
      </w:r>
    </w:p>
    <w:p w14:paraId="68C0F542"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PLAN Y PROGRAMAS DE ESTUDIO</w:t>
      </w:r>
    </w:p>
    <w:p w14:paraId="4D8DC795"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El Plan de Estudio para la educación preescolar, primaria y secundaria 2022 y sus programas de estudio, incluyen elementos que permiten a los jóvenes identificar, valorar y defender sus derechos humanos y los de los demás:</w:t>
      </w:r>
    </w:p>
    <w:p w14:paraId="532E7A77"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Conocimientos</w:t>
      </w:r>
    </w:p>
    <w:p w14:paraId="391D112E"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Derechos Humanos: Se enseña a los estudiantes sobre los derechos humanos fundamentales, su historia y su importancia en la sociedad.</w:t>
      </w:r>
    </w:p>
    <w:p w14:paraId="2B28E56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Legislación Nacional e Internacional: Los estudiantes aprenden sobre las leyes y tratados que protegen los derechos humanos a nivel nacional e internacional.</w:t>
      </w:r>
    </w:p>
    <w:p w14:paraId="5AF59C7F"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Habilidades</w:t>
      </w:r>
    </w:p>
    <w:p w14:paraId="1B81AC8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Pensamiento Crítico: Se fomenta la capacidad de analizar y cuestionar situaciones que puedan implicar violaciones a los derechos humanos.</w:t>
      </w:r>
    </w:p>
    <w:p w14:paraId="58C54CBA"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Resolución de Conflictos: Los estudiantes desarrollan habilidades para mediar y resolver conflictos de manera pacífica y justa.</w:t>
      </w:r>
    </w:p>
    <w:p w14:paraId="241D5B8E"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Participación Ciudadana: Se promueve la participación en la comunidad y en la toma de decisiones democráticas.</w:t>
      </w:r>
    </w:p>
    <w:p w14:paraId="154E2437"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Actitudes</w:t>
      </w:r>
    </w:p>
    <w:p w14:paraId="71D00C59"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Empatía y Respeto: Se inculca el respeto por la diversidad y la empatía hacia las experiencias y derechos de los demás.</w:t>
      </w:r>
    </w:p>
    <w:p w14:paraId="55769F47"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Responsabilidad Social: Los estudiantes aprenden a asumir responsabilidades en la defensa y promoción de los derechos humanos.</w:t>
      </w:r>
    </w:p>
    <w:p w14:paraId="42C944D4"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Compromiso con la Justicia: Se fomenta un compromiso activo con la justicia y la equidad en todas las áreas de la vida.</w:t>
      </w:r>
    </w:p>
    <w:p w14:paraId="3E62514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lastRenderedPageBreak/>
        <w:t>Se consideran diversas metodologías centradas en el alumno, sensibles de género. Estas metodologías están diseñadas para empoderar a los jóvenes, solicitando su participación, fomentando enfoques experienciales en su contexto que les permitan aplicar conceptos de derechos humanos a sus vidas permitiéndoles no solo conocer sus derechos, sino también defenderlos y aplicarlos en su vida diaria:</w:t>
      </w:r>
    </w:p>
    <w:p w14:paraId="5CD50FF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Metodologías Centradas en el Alumno</w:t>
      </w:r>
    </w:p>
    <w:p w14:paraId="74D19A1E"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Aprendizaje Basado en Proyectos (ABP): Los estudiantes trabajan en proyectos que abordan problemas reales, lo que les permite aplicar sus conocimientos en contextos prácticos y significativos</w:t>
      </w:r>
    </w:p>
    <w:p w14:paraId="28125D9F"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Aprendizaje Colaborativo: Se promueve el trabajo en equipo y el aprendizaje entre iguales, creando un ambiente donde los estudiantes pueden compartir y construir conocimientos juntos.</w:t>
      </w:r>
    </w:p>
    <w:p w14:paraId="639E65D1"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Sensibilidad de Género</w:t>
      </w:r>
    </w:p>
    <w:p w14:paraId="4EB4E096"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Perspectiva de Género en el Aula: Se integran actividades y contenidos que promueven la igualdad de género y el respeto por la diversidad</w:t>
      </w:r>
    </w:p>
    <w:p w14:paraId="0C18B64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Enfoques Experienciales</w:t>
      </w:r>
    </w:p>
    <w:p w14:paraId="2B15AF31"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Aprendizaje Servicio: Los estudiantes participan en proyectos comunitarios que les permiten aplicar sus conocimientos y habilidades en situaciones reales, promoviendo la responsabilidad social y el compromiso con los derechos humanos</w:t>
      </w:r>
    </w:p>
    <w:p w14:paraId="79EEA5C4"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Simulaciones y Juegos de Rol: Estas actividades permiten a los estudiantes experimentar y reflexionar sobre situaciones relacionadas con los derechos humanos en un entorno seguro y controlado</w:t>
      </w:r>
    </w:p>
    <w:p w14:paraId="535A4E8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En el Plan de Estudio para la educación preescolar, primaria y secundaria 2022 y los programas de estudio se aborda una amplia gama de temas importantes para la formación integral de los estudiantes.</w:t>
      </w:r>
    </w:p>
    <w:p w14:paraId="4A839AD6"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Derechos Humanos</w:t>
      </w:r>
    </w:p>
    <w:p w14:paraId="35D7DF01"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Educación en Derechos Humanos: Se incluye en el currículo la enseñanza de los derechos humanos fundamentales, su historia y su importancia en la sociedad.</w:t>
      </w:r>
    </w:p>
    <w:p w14:paraId="35930C5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Igualdad de Género</w:t>
      </w:r>
    </w:p>
    <w:p w14:paraId="654D63C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Perspectiva de Género: Se promueven actividades y contenidos que fomentan la igualdad de género y el respeto por la diversidad.</w:t>
      </w:r>
    </w:p>
    <w:p w14:paraId="64F9EB5C"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Ciudadanía Mundial</w:t>
      </w:r>
    </w:p>
    <w:p w14:paraId="62C7245A"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lastRenderedPageBreak/>
        <w:t>Ciudadanía Global: Los estudiantes aprenden sobre su papel en una comunidad global, promoviendo valores de solidaridad y cooperación internacional.</w:t>
      </w:r>
    </w:p>
    <w:p w14:paraId="0CCA7B2C"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Desarrollo Sostenible</w:t>
      </w:r>
    </w:p>
    <w:p w14:paraId="4EE3FEBB"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Sostenibilidad: Se integran temas de desarrollo sostenible, enseñando a los estudiantes la importancia de cuidar el medio ambiente y utilizar los recursos de manera responsable.</w:t>
      </w:r>
    </w:p>
    <w:p w14:paraId="1BB02B2C"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Paz y Seguridad</w:t>
      </w:r>
    </w:p>
    <w:p w14:paraId="5074E54A"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Cultura de Paz: Se fomenta una cultura de paz a través de la resolución pacífica de conflictos y la promoción de la seguridad en la comunidad escolar.</w:t>
      </w:r>
    </w:p>
    <w:p w14:paraId="2F8D2B77"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Prevención de la Delincuencia y Justicia Penal</w:t>
      </w:r>
    </w:p>
    <w:p w14:paraId="55C93711"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Prevención y Justicia: Se abordan temas de prevención de la delincuencia y justicia penal, enseñando a los estudiantes sobre las leyes y el sistema de justicia.</w:t>
      </w:r>
    </w:p>
    <w:p w14:paraId="235261EB"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Prevención del Extremismo Violento</w:t>
      </w:r>
    </w:p>
    <w:p w14:paraId="2A832693"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Prevención del Extremismo: Se incluyen actividades que promueven la tolerancia y el entendimiento intercultural para prevenir el extremismo violento.</w:t>
      </w:r>
    </w:p>
    <w:p w14:paraId="046BA3B5"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Lucha contra la Corrupción</w:t>
      </w:r>
    </w:p>
    <w:p w14:paraId="3074031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Transparencia y Ética: Se enseña a los estudiantes la importancia de la transparencia y la ética en la vida pública y privada.</w:t>
      </w:r>
    </w:p>
    <w:p w14:paraId="6DA83764"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Lucha contra el Racismo, la Discriminación Racial, la Xenofobia y las Formas Conexas de Intolerancia</w:t>
      </w:r>
    </w:p>
    <w:p w14:paraId="6961D895"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Inclusión y Diversidad: Se promueven valores de inclusión y respeto por todas las personas, independientemente de su raza, origen étnico o nacionalidad.</w:t>
      </w:r>
    </w:p>
    <w:p w14:paraId="69BEC3A3" w14:textId="77777777" w:rsidR="00675925" w:rsidRPr="00A317BB" w:rsidRDefault="00675925" w:rsidP="00675925">
      <w:pPr>
        <w:spacing w:before="240" w:after="120"/>
        <w:jc w:val="both"/>
        <w:rPr>
          <w:rFonts w:ascii="Noto Sans" w:hAnsi="Noto Sans" w:cs="Noto Sans"/>
          <w:b/>
          <w:bCs/>
          <w:sz w:val="22"/>
          <w:szCs w:val="22"/>
        </w:rPr>
      </w:pPr>
      <w:r w:rsidRPr="00A317BB">
        <w:rPr>
          <w:rFonts w:ascii="Noto Sans" w:hAnsi="Noto Sans" w:cs="Noto Sans"/>
          <w:b/>
          <w:bCs/>
          <w:sz w:val="22"/>
          <w:szCs w:val="22"/>
        </w:rPr>
        <w:t>Programas de estudio, Campo Formativo Ética, Naturaleza y Sociedades</w:t>
      </w:r>
    </w:p>
    <w:p w14:paraId="5664398D"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Contenidos:</w:t>
      </w:r>
    </w:p>
    <w:p w14:paraId="5E00C14B"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b/>
          <w:bCs/>
          <w:sz w:val="22"/>
          <w:szCs w:val="22"/>
        </w:rPr>
        <w:t>Fase 2</w:t>
      </w:r>
      <w:r w:rsidRPr="00A317BB">
        <w:rPr>
          <w:rFonts w:ascii="Noto Sans" w:hAnsi="Noto Sans" w:cs="Noto Sans"/>
          <w:sz w:val="22"/>
          <w:szCs w:val="22"/>
        </w:rPr>
        <w:t>:</w:t>
      </w:r>
    </w:p>
    <w:p w14:paraId="5E0449B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La diversidad de personas y familias en la comunidad y su convivencia, en un ambiente de equidad, libertad, inclusión y respeto a los derechos humanos.</w:t>
      </w:r>
    </w:p>
    <w:p w14:paraId="658DBC4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b/>
          <w:bCs/>
          <w:sz w:val="22"/>
          <w:szCs w:val="22"/>
        </w:rPr>
        <w:t>Fase 3</w:t>
      </w:r>
      <w:r w:rsidRPr="00A317BB">
        <w:rPr>
          <w:rFonts w:ascii="Noto Sans" w:hAnsi="Noto Sans" w:cs="Noto Sans"/>
          <w:sz w:val="22"/>
          <w:szCs w:val="22"/>
        </w:rPr>
        <w:t xml:space="preserve">: </w:t>
      </w:r>
    </w:p>
    <w:p w14:paraId="097D3A8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Los seres humanos son diversos y valiosos, y tienen derechos humanos. </w:t>
      </w:r>
    </w:p>
    <w:p w14:paraId="243BFAA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lastRenderedPageBreak/>
        <w:t>Atención a las necesidades básicas, como parte del ejercicio de los derechos humanos.</w:t>
      </w:r>
    </w:p>
    <w:p w14:paraId="2C0AD04D"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b/>
          <w:bCs/>
          <w:sz w:val="22"/>
          <w:szCs w:val="22"/>
        </w:rPr>
        <w:t>Fase 4</w:t>
      </w:r>
      <w:r w:rsidRPr="00A317BB">
        <w:rPr>
          <w:rFonts w:ascii="Noto Sans" w:hAnsi="Noto Sans" w:cs="Noto Sans"/>
          <w:sz w:val="22"/>
          <w:szCs w:val="22"/>
        </w:rPr>
        <w:t xml:space="preserve">: </w:t>
      </w:r>
    </w:p>
    <w:p w14:paraId="35E5DD56"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Retos en el reconocimiento y ejercicio de los derechos humanos y la satisfacción de las necesidades básicas, físicas, sociales, de seguridad, emocionales y cognitivas de niñas, niños y adolescentes, así como situaciones injustas en el pasado y el presente, en las que no se respetan los derechos para satisfacer las necesidades básicas de todas las personas.</w:t>
      </w:r>
    </w:p>
    <w:p w14:paraId="4E68EB08"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b/>
          <w:bCs/>
          <w:sz w:val="22"/>
          <w:szCs w:val="22"/>
        </w:rPr>
        <w:t>Fase 5</w:t>
      </w:r>
      <w:r w:rsidRPr="00A317BB">
        <w:rPr>
          <w:rFonts w:ascii="Noto Sans" w:hAnsi="Noto Sans" w:cs="Noto Sans"/>
          <w:sz w:val="22"/>
          <w:szCs w:val="22"/>
        </w:rPr>
        <w:t>:</w:t>
      </w:r>
    </w:p>
    <w:p w14:paraId="2A0D73F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Derechos humanos: a un ambiente sano y acceso al agua potable. </w:t>
      </w:r>
    </w:p>
    <w:p w14:paraId="612781D5"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El derecho a la protección de la integridad física y mental, ante cualquier forma de maltrato, abuso o explotación de tipo sexual o laboral, así como, la identificación de personas e instituciones que pueden apoyar para el ejercicio de ese derecho. La lucha por el reconocimiento de los derechos humanos: la protección de la dignidad de todas las personas y grupos sociales para vivir con gozo y armonía, sin importar las diferencias.</w:t>
      </w:r>
    </w:p>
    <w:p w14:paraId="43ACA8D0"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Cumplimiento de los derechos humanos: estudio de casos de actos de discriminación, racismo violencias que suceden actualmente en México y el mundo.</w:t>
      </w:r>
    </w:p>
    <w:p w14:paraId="51D504A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Migración y derechos humanos: migración interna y externa, causas y consecuencias sociales, económicas, culturales, políticas y ambientales.</w:t>
      </w:r>
    </w:p>
    <w:p w14:paraId="741FA938"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b/>
          <w:bCs/>
          <w:sz w:val="22"/>
          <w:szCs w:val="22"/>
        </w:rPr>
        <w:t>Fase 6;</w:t>
      </w:r>
      <w:r w:rsidRPr="00A317BB">
        <w:rPr>
          <w:rFonts w:ascii="Noto Sans" w:hAnsi="Noto Sans" w:cs="Noto Sans"/>
          <w:sz w:val="22"/>
          <w:szCs w:val="22"/>
        </w:rPr>
        <w:t xml:space="preserve"> </w:t>
      </w:r>
    </w:p>
    <w:p w14:paraId="7DABB889"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Los derechos humanos en México y en el mundo como valores compartidos por las sociedades actuales.</w:t>
      </w:r>
    </w:p>
    <w:p w14:paraId="3FD34EE3"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Movimientos sociales y políticos por los derechos humanos en el mundo y en México</w:t>
      </w:r>
    </w:p>
    <w:p w14:paraId="288642B1"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Normas, leyes, instituciones y organizaciones encargadas de proteger, defender y exigir la aplicación de los derechos humanos en la convivencia diaria.</w:t>
      </w:r>
    </w:p>
    <w:p w14:paraId="5C3DB12E" w14:textId="77777777" w:rsidR="00675925" w:rsidRDefault="00675925" w:rsidP="00675925">
      <w:pPr>
        <w:spacing w:before="240" w:after="120"/>
        <w:jc w:val="both"/>
        <w:rPr>
          <w:rFonts w:ascii="Noto Sans" w:hAnsi="Noto Sans" w:cs="Noto Sans"/>
          <w:sz w:val="22"/>
          <w:szCs w:val="22"/>
        </w:rPr>
      </w:pPr>
    </w:p>
    <w:p w14:paraId="41B94D2D" w14:textId="1F0D4C88"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lastRenderedPageBreak/>
        <w:t>MATERIALES EDUCATIVOS</w:t>
      </w:r>
    </w:p>
    <w:p w14:paraId="7CD29F1F"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En Educación Básica, la educación en los derechos humanos se contempla en los materiales educativos dirigidos a Educación Preescolar, Educación Primaria y Educación Secundaria. El tema se trabaja de manera progresiva con base en lo establecido en el Plan y los programas de estudio vigentes, desde un enfoque reflexivo y vivencial, de prevención, de género y desde el interés superior de las niñas, niños y adolescentes. A continuación, se detallan los contenidos de los libros de texto gratuitos y otros materiales educativos para el nivel educativo de secundaria, dado que esta información refiere a jóvenes.</w:t>
      </w:r>
    </w:p>
    <w:p w14:paraId="372F580E" w14:textId="77777777" w:rsidR="00675925" w:rsidRPr="00A317BB" w:rsidRDefault="00675925" w:rsidP="00675925">
      <w:pPr>
        <w:spacing w:before="240" w:after="120"/>
        <w:jc w:val="center"/>
        <w:rPr>
          <w:rFonts w:ascii="Noto Sans" w:hAnsi="Noto Sans" w:cs="Noto Sans"/>
          <w:sz w:val="22"/>
          <w:szCs w:val="22"/>
        </w:rPr>
      </w:pPr>
      <w:r w:rsidRPr="00A317BB">
        <w:rPr>
          <w:rFonts w:ascii="Noto Sans" w:hAnsi="Noto Sans" w:cs="Noto Sans"/>
          <w:noProof/>
          <w:sz w:val="22"/>
          <w:szCs w:val="22"/>
        </w:rPr>
        <w:drawing>
          <wp:inline distT="0" distB="0" distL="0" distR="0" wp14:anchorId="55F2F6AE" wp14:editId="66BCE4F5">
            <wp:extent cx="5200614" cy="5145206"/>
            <wp:effectExtent l="0" t="0" r="635" b="0"/>
            <wp:docPr id="86198147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81479" name="Imagen 1" descr="Tabla&#10;&#10;El contenido generado por IA puede ser incorrecto."/>
                    <pic:cNvPicPr/>
                  </pic:nvPicPr>
                  <pic:blipFill>
                    <a:blip r:embed="rId9"/>
                    <a:stretch>
                      <a:fillRect/>
                    </a:stretch>
                  </pic:blipFill>
                  <pic:spPr>
                    <a:xfrm>
                      <a:off x="0" y="0"/>
                      <a:ext cx="5207682" cy="5152199"/>
                    </a:xfrm>
                    <a:prstGeom prst="rect">
                      <a:avLst/>
                    </a:prstGeom>
                  </pic:spPr>
                </pic:pic>
              </a:graphicData>
            </a:graphic>
          </wp:inline>
        </w:drawing>
      </w:r>
    </w:p>
    <w:p w14:paraId="2E51EB3A" w14:textId="77777777" w:rsidR="00675925" w:rsidRPr="00A317BB" w:rsidRDefault="00675925" w:rsidP="00675925">
      <w:pPr>
        <w:spacing w:before="240" w:after="120"/>
        <w:jc w:val="center"/>
        <w:rPr>
          <w:rFonts w:ascii="Noto Sans" w:hAnsi="Noto Sans" w:cs="Noto Sans"/>
          <w:sz w:val="22"/>
          <w:szCs w:val="22"/>
        </w:rPr>
      </w:pPr>
      <w:r w:rsidRPr="00A317BB">
        <w:rPr>
          <w:rFonts w:ascii="Noto Sans" w:hAnsi="Noto Sans" w:cs="Noto Sans"/>
          <w:noProof/>
          <w:sz w:val="22"/>
          <w:szCs w:val="22"/>
        </w:rPr>
        <w:lastRenderedPageBreak/>
        <w:drawing>
          <wp:inline distT="0" distB="0" distL="0" distR="0" wp14:anchorId="2754513F" wp14:editId="68BD9841">
            <wp:extent cx="5172075" cy="2579427"/>
            <wp:effectExtent l="0" t="0" r="0" b="0"/>
            <wp:docPr id="27945126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641" name="Imagen 1" descr="Tabla&#10;&#10;El contenido generado por IA puede ser incorrecto."/>
                    <pic:cNvPicPr/>
                  </pic:nvPicPr>
                  <pic:blipFill rotWithShape="1">
                    <a:blip r:embed="rId10"/>
                    <a:srcRect b="39145"/>
                    <a:stretch/>
                  </pic:blipFill>
                  <pic:spPr bwMode="auto">
                    <a:xfrm>
                      <a:off x="0" y="0"/>
                      <a:ext cx="5172797" cy="2579787"/>
                    </a:xfrm>
                    <a:prstGeom prst="rect">
                      <a:avLst/>
                    </a:prstGeom>
                    <a:ln>
                      <a:noFill/>
                    </a:ln>
                    <a:extLst>
                      <a:ext uri="{53640926-AAD7-44D8-BBD7-CCE9431645EC}">
                        <a14:shadowObscured xmlns:a14="http://schemas.microsoft.com/office/drawing/2010/main"/>
                      </a:ext>
                    </a:extLst>
                  </pic:spPr>
                </pic:pic>
              </a:graphicData>
            </a:graphic>
          </wp:inline>
        </w:drawing>
      </w:r>
    </w:p>
    <w:p w14:paraId="17B9D741" w14:textId="77777777" w:rsidR="00675925" w:rsidRPr="00A317BB" w:rsidRDefault="00675925" w:rsidP="00675925">
      <w:pPr>
        <w:spacing w:before="240" w:after="120"/>
        <w:jc w:val="center"/>
        <w:rPr>
          <w:rFonts w:ascii="Noto Sans" w:hAnsi="Noto Sans" w:cs="Noto Sans"/>
          <w:sz w:val="22"/>
          <w:szCs w:val="22"/>
        </w:rPr>
      </w:pPr>
      <w:r w:rsidRPr="00A317BB">
        <w:rPr>
          <w:rFonts w:ascii="Noto Sans" w:hAnsi="Noto Sans" w:cs="Noto Sans"/>
          <w:noProof/>
          <w:sz w:val="22"/>
          <w:szCs w:val="22"/>
        </w:rPr>
        <w:drawing>
          <wp:inline distT="0" distB="0" distL="0" distR="0" wp14:anchorId="4C86E28F" wp14:editId="6DAE65D5">
            <wp:extent cx="5172075" cy="1686494"/>
            <wp:effectExtent l="0" t="0" r="0" b="9525"/>
            <wp:docPr id="1072664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641" name="Imagen 1" descr="Tabla&#10;&#10;El contenido generado por IA puede ser incorrecto."/>
                    <pic:cNvPicPr/>
                  </pic:nvPicPr>
                  <pic:blipFill rotWithShape="1">
                    <a:blip r:embed="rId10"/>
                    <a:srcRect t="60211"/>
                    <a:stretch/>
                  </pic:blipFill>
                  <pic:spPr bwMode="auto">
                    <a:xfrm>
                      <a:off x="0" y="0"/>
                      <a:ext cx="5172797" cy="1686730"/>
                    </a:xfrm>
                    <a:prstGeom prst="rect">
                      <a:avLst/>
                    </a:prstGeom>
                    <a:ln>
                      <a:noFill/>
                    </a:ln>
                    <a:extLst>
                      <a:ext uri="{53640926-AAD7-44D8-BBD7-CCE9431645EC}">
                        <a14:shadowObscured xmlns:a14="http://schemas.microsoft.com/office/drawing/2010/main"/>
                      </a:ext>
                    </a:extLst>
                  </pic:spPr>
                </pic:pic>
              </a:graphicData>
            </a:graphic>
          </wp:inline>
        </w:drawing>
      </w:r>
    </w:p>
    <w:p w14:paraId="4F83A185" w14:textId="77777777" w:rsidR="00675925" w:rsidRPr="00A317BB" w:rsidRDefault="00675925" w:rsidP="00675925">
      <w:pPr>
        <w:spacing w:before="240" w:after="120"/>
        <w:jc w:val="center"/>
        <w:rPr>
          <w:rFonts w:ascii="Noto Sans" w:hAnsi="Noto Sans" w:cs="Noto Sans"/>
          <w:sz w:val="22"/>
          <w:szCs w:val="22"/>
        </w:rPr>
      </w:pPr>
      <w:r w:rsidRPr="00A317BB">
        <w:rPr>
          <w:rFonts w:ascii="Noto Sans" w:hAnsi="Noto Sans" w:cs="Noto Sans"/>
          <w:noProof/>
          <w:sz w:val="22"/>
          <w:szCs w:val="22"/>
        </w:rPr>
        <w:drawing>
          <wp:inline distT="0" distB="0" distL="0" distR="0" wp14:anchorId="56858D12" wp14:editId="5C81CC92">
            <wp:extent cx="5163271" cy="1848108"/>
            <wp:effectExtent l="0" t="0" r="0" b="0"/>
            <wp:docPr id="13663696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69627" name="Imagen 1" descr="Tabla&#10;&#10;El contenido generado por IA puede ser incorrecto."/>
                    <pic:cNvPicPr/>
                  </pic:nvPicPr>
                  <pic:blipFill>
                    <a:blip r:embed="rId11"/>
                    <a:stretch>
                      <a:fillRect/>
                    </a:stretch>
                  </pic:blipFill>
                  <pic:spPr>
                    <a:xfrm>
                      <a:off x="0" y="0"/>
                      <a:ext cx="5163271" cy="1848108"/>
                    </a:xfrm>
                    <a:prstGeom prst="rect">
                      <a:avLst/>
                    </a:prstGeom>
                  </pic:spPr>
                </pic:pic>
              </a:graphicData>
            </a:graphic>
          </wp:inline>
        </w:drawing>
      </w:r>
    </w:p>
    <w:p w14:paraId="07D83B0B" w14:textId="77777777" w:rsidR="00675925" w:rsidRPr="00A317BB" w:rsidRDefault="00675925" w:rsidP="00675925">
      <w:pPr>
        <w:spacing w:before="240" w:after="120"/>
        <w:jc w:val="center"/>
        <w:rPr>
          <w:rFonts w:ascii="Noto Sans" w:hAnsi="Noto Sans" w:cs="Noto Sans"/>
          <w:sz w:val="22"/>
          <w:szCs w:val="22"/>
        </w:rPr>
      </w:pPr>
      <w:r w:rsidRPr="00A317BB">
        <w:rPr>
          <w:rFonts w:ascii="Noto Sans" w:hAnsi="Noto Sans" w:cs="Noto Sans"/>
          <w:noProof/>
          <w:sz w:val="22"/>
          <w:szCs w:val="22"/>
        </w:rPr>
        <w:lastRenderedPageBreak/>
        <w:drawing>
          <wp:inline distT="0" distB="0" distL="0" distR="0" wp14:anchorId="7A91DF7E" wp14:editId="4937D88A">
            <wp:extent cx="5172797" cy="5229955"/>
            <wp:effectExtent l="0" t="0" r="8890" b="8890"/>
            <wp:docPr id="213786882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68828" name="Imagen 1" descr="Tabla&#10;&#10;El contenido generado por IA puede ser incorrecto."/>
                    <pic:cNvPicPr/>
                  </pic:nvPicPr>
                  <pic:blipFill>
                    <a:blip r:embed="rId12"/>
                    <a:stretch>
                      <a:fillRect/>
                    </a:stretch>
                  </pic:blipFill>
                  <pic:spPr>
                    <a:xfrm>
                      <a:off x="0" y="0"/>
                      <a:ext cx="5172797" cy="5229955"/>
                    </a:xfrm>
                    <a:prstGeom prst="rect">
                      <a:avLst/>
                    </a:prstGeom>
                  </pic:spPr>
                </pic:pic>
              </a:graphicData>
            </a:graphic>
          </wp:inline>
        </w:drawing>
      </w:r>
    </w:p>
    <w:p w14:paraId="0D5DD2AA"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MATERIALES EDUCATIVOS DE TELESECUNDARIA</w:t>
      </w:r>
    </w:p>
    <w:p w14:paraId="63678A0A"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 xml:space="preserve">El 10 de diciembre de 2004, la Asamblea General de las Naciones Unidas, mediante su resolución 59/113, proclamó el Programa Mundial para la Educación en Derechos Humanos con objeto de promover la ejecución de programas de educación en la esfera de los derechos humanos en todos los sectores. Este programa parte de la idea de que la educación en derechos humanos puede producir resultados de gran alcance porque el promover el respeto de la dignidad humana, la igualdad y la participación en el desarrollo sostenible y la adopción de decisiones democráticas, la educación en </w:t>
      </w:r>
      <w:r w:rsidRPr="00A317BB">
        <w:rPr>
          <w:rFonts w:ascii="Noto Sans" w:hAnsi="Noto Sans" w:cs="Noto Sans"/>
          <w:sz w:val="22"/>
          <w:szCs w:val="22"/>
        </w:rPr>
        <w:lastRenderedPageBreak/>
        <w:t>derechos humanos fomenta la paz y contribuye a la prevención a largo plazo de la violencia y los conflictos.</w:t>
      </w:r>
    </w:p>
    <w:p w14:paraId="16278A03"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A diferencia del Decenio de las Naciones Unidas para la Educación en la esfera de los Derechos Humanos (1995-2004), de duración limitada, el Programa Mundial no tiene un calendario definido y se estructura en etapas consecutivas. En su primera etapa (2005-2009), el Programa se centró en la integración de la educación sobre derechos humanos en la enseñanza primaria y secundaria. En la segunda etapa (2010-2014) se concentró en la educación sobre los derechos humanos en la enseñanza superior y en la formación en materia de derechos humanos dirigida a los funcionarios, los agentes del orden y el personal militar. En la tercera etapa (2015-2019) el objetivo era reforzar la aplicación de las dos primeras etapas y promover la formación en derechos humanos dirigida a los profesionales de los medios de comunicación y los periodistas.</w:t>
      </w:r>
    </w:p>
    <w:p w14:paraId="05E6498B"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La cuarta etapa (2020-2024) del Programa Mundial destaca la importancia de la educación en derechos humanos para la juventud, considerándola cada vez más</w:t>
      </w:r>
      <w:r>
        <w:rPr>
          <w:rFonts w:ascii="Noto Sans" w:hAnsi="Noto Sans" w:cs="Noto Sans"/>
          <w:sz w:val="22"/>
          <w:szCs w:val="22"/>
        </w:rPr>
        <w:t>,</w:t>
      </w:r>
      <w:r w:rsidRPr="00A317BB">
        <w:rPr>
          <w:rFonts w:ascii="Noto Sans" w:hAnsi="Noto Sans" w:cs="Noto Sans"/>
          <w:sz w:val="22"/>
          <w:szCs w:val="22"/>
        </w:rPr>
        <w:t xml:space="preserve"> una estrategia vital para prevenir y afrontar los desafíos mundiales actuales, a su vez, subrayan el papel de las personas jóvenes como titulares de derechos y agentes clave en la realización de los derechos humanos, el logro del desarrollo sostenible, la garantía de la paz y la prevención de la violencia y los conflictos</w:t>
      </w:r>
    </w:p>
    <w:p w14:paraId="6EA012AA"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Cabe destacar, el plan de acción para la cuarta etapa (2020-2024) respalda la elaboración de una estrategia global de educación en derechos humanos para juventudes a escala nacional, la finalidad de la estrategia es contribuir a la realización de la Agenda 2030 para el Desarrollo Sostenible, en particular el ODS 4 relativo a la educación inclusiva y de calidad. Esta se basa en la idea de que la educación en derechos humanos empodera a las y los jóvenes para reconocer y cumplir su papel parte de una ciudadanía activa activos, actuar y defender sus derechos humanos y los de los demás, y para participar en consecuencia en los asuntos públicos y en los procesos de adopción de decisiones democráticas.</w:t>
      </w:r>
    </w:p>
    <w:p w14:paraId="0DF8F44E"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En otras palabras, la educación en derechos humanos es fundamental para el empoderamiento y el desarrollo de las y los jóvenes y el compromiso de estos con el logro de un mundo pacífico, justo y sostenible.</w:t>
      </w:r>
    </w:p>
    <w:p w14:paraId="22C10138"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Al respecto, en la Telesecundaria, a través del material educativo denominado interactivos, se atendió parte de la cuarta etapa del Programa Mundial para la Educación en Derechos Humanos, en concreto, a través de los siguientes 18 interactivos:</w:t>
      </w:r>
    </w:p>
    <w:p w14:paraId="6158939D"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lastRenderedPageBreak/>
        <w:t>1. Interactivo 3. ¡Me identifico, pertenezco!, del campo de Lenguajes, Primer Grado, Trimestre 1.</w:t>
      </w:r>
    </w:p>
    <w:p w14:paraId="1E23D8CF"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 xml:space="preserve">2. Interactivo 9. ¡Con el intercambio de las ideas, conocemos más!, del campo de Ética, Naturaleza y Sociedades, Primer Grado, Trimestre 3. </w:t>
      </w:r>
    </w:p>
    <w:p w14:paraId="604150D1"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 xml:space="preserve">3. Interactivo 10. Hagamos nuestra convención, del campo de Ética, Naturaleza y Sociedades, Primer Grado, Trimestre 3. </w:t>
      </w:r>
    </w:p>
    <w:p w14:paraId="44C6570A"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4. Interactivo 11. Por mí, por ti, por todas las personas, del campo de Ética, Naturaleza y Sociedades, Primer Grado, Trimestre 3.</w:t>
      </w:r>
    </w:p>
    <w:p w14:paraId="0805F0CE"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5. Interactivo 12. Participamos en comunidad y las cosas cambian, del campo de Ética, Naturaleza y Sociedades, Primer Grado, Trimestre 3.</w:t>
      </w:r>
    </w:p>
    <w:p w14:paraId="66F3BDF7"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 xml:space="preserve">6. Interactivo 12. Constructores de paz, del campo de Lenguajes, Segundo Grado, Trimestre 3. </w:t>
      </w:r>
    </w:p>
    <w:p w14:paraId="2FCB903D"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7. Interactivo 1. Tenemos derechos a ser diferentes, del campo de Ética, Naturaleza y Sociedades, Segundo Grado, Trimestre 1.</w:t>
      </w:r>
    </w:p>
    <w:p w14:paraId="2F693007"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8. Interactivo 2. De la dominación española a la violencia social en la actualidad, del campo de Ética, Naturaleza y Sociedades, Segundo Grado, Trimestre 1.</w:t>
      </w:r>
    </w:p>
    <w:p w14:paraId="71645B66"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9. Interactivo 3. ¿Independiente pero colonizado?, del campo de Ética, Naturaleza y Sociedades, Segundo Grado, Trimestre 1.</w:t>
      </w:r>
    </w:p>
    <w:p w14:paraId="3213569C"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10. Interactivo 6. México moderno, del campo de Ética, Naturaleza y Sociedades, Segundo Grado, Trimestre 2.</w:t>
      </w:r>
    </w:p>
    <w:p w14:paraId="2AEE7092"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11. Interactivo 7. Victoria del liberalismo mexicano en el siglo XIX, del campo de Ética, Naturaleza y Sociedades, Segundo Grado, Trimestre 2.</w:t>
      </w:r>
    </w:p>
    <w:p w14:paraId="186158F9"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12. Interactivo 8. Desigualdad y derecho a una vida digna, del campo de Ética, Naturaleza y Sociedades, Segundo Grado, Trimestre 2.</w:t>
      </w:r>
    </w:p>
    <w:p w14:paraId="699F0A51"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13. Interactivo 11. El Movimiento estudiantil de 1968 y las acciones por los derechos humanos en México y el mundo, del campo de Ética, Naturaleza y Sociedades, Segundo Grado, Trimestre 3.</w:t>
      </w:r>
    </w:p>
    <w:p w14:paraId="155BB8AB"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14. Interactivo 12. Aplicación de la política neoliberal en México y rendición de cuentas, del campo de Ética, Naturaleza y Sociedades, Segundo Grado, Trimestre 3.</w:t>
      </w:r>
    </w:p>
    <w:p w14:paraId="7AC83988"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15. Interactivo 2. Interactuamos, compartimos y solucionamos problemas, del campo de Lenguajes, Segundo Grado, Trimestre 1.</w:t>
      </w:r>
    </w:p>
    <w:p w14:paraId="6E540632"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lastRenderedPageBreak/>
        <w:t xml:space="preserve">16. Interactivo 7. El pensamiento liberal, su trascendencia en el mundo y la defensa de los derechos humanos, del campo de Ética, Naturaleza y Sociedades, Tercer Grado, Trimestre 2. </w:t>
      </w:r>
    </w:p>
    <w:p w14:paraId="287EACAB"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 xml:space="preserve">17. Interactivo 9. La lucha por la hegemonía del sistema-mundo capitalista a inicios del siglo XX, del campo de Ética, Naturaleza y Sociedades, Tercer Grado, Trimestre 3. </w:t>
      </w:r>
    </w:p>
    <w:p w14:paraId="1EB2E361" w14:textId="77777777" w:rsidR="00675925" w:rsidRPr="00A317BB" w:rsidRDefault="00675925" w:rsidP="00675925">
      <w:pPr>
        <w:spacing w:before="120" w:after="120"/>
        <w:ind w:left="709" w:right="57"/>
        <w:jc w:val="both"/>
        <w:rPr>
          <w:rFonts w:ascii="Noto Sans" w:hAnsi="Noto Sans" w:cs="Noto Sans"/>
          <w:sz w:val="22"/>
          <w:szCs w:val="22"/>
        </w:rPr>
      </w:pPr>
      <w:r w:rsidRPr="00A317BB">
        <w:rPr>
          <w:rFonts w:ascii="Noto Sans" w:hAnsi="Noto Sans" w:cs="Noto Sans"/>
          <w:sz w:val="22"/>
          <w:szCs w:val="22"/>
        </w:rPr>
        <w:t>18. Interactivo 12. Los conflictos en el mundo actual y la participación de NNA en la construcción de sociedades igualitarias, del campo de Ética, Naturaleza y Sociedades, Tercer Grado, Trimestre 3</w:t>
      </w:r>
    </w:p>
    <w:p w14:paraId="4FC9D01C"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EDUCACIÓN INDÍGENA</w:t>
      </w:r>
    </w:p>
    <w:p w14:paraId="0C41B424"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La Secretaría de Educación Pública, a través de la Dirección General de Educación Indígena, Intercultural y Bilingüe publicó para el ciclo escolar 2024-2025 180 títulos, Libros de Texto Gratuitos (LTG), en 20 lenguas Indígenas Nacionales para la educación básica, incluyendo, por primera vez en la historia, LTG para la educación secundaria, del primero al tercer grado, que permitirán a las juventudes indígenas hacer uso de sus lenguas en la escuela y la comunidad.</w:t>
      </w:r>
    </w:p>
    <w:p w14:paraId="4FA8871E" w14:textId="77777777" w:rsidR="00675925" w:rsidRPr="00A317BB" w:rsidRDefault="00675925" w:rsidP="00675925">
      <w:pPr>
        <w:spacing w:before="240" w:after="120"/>
        <w:ind w:right="57"/>
        <w:jc w:val="both"/>
        <w:rPr>
          <w:rFonts w:ascii="Noto Sans" w:hAnsi="Noto Sans" w:cs="Noto Sans"/>
          <w:sz w:val="22"/>
          <w:szCs w:val="22"/>
        </w:rPr>
      </w:pPr>
      <w:hyperlink r:id="rId13" w:history="1">
        <w:r w:rsidRPr="00A317BB">
          <w:rPr>
            <w:rStyle w:val="Hipervnculo"/>
            <w:rFonts w:ascii="Noto Sans" w:hAnsi="Noto Sans" w:cs="Noto Sans"/>
            <w:sz w:val="22"/>
            <w:szCs w:val="22"/>
          </w:rPr>
          <w:t>https://dgeiib.basica.sep.gob.mx/es/fondo-editorial/nueva-coleccion-180-titulos-20-lenguas-indigenas.php</w:t>
        </w:r>
      </w:hyperlink>
      <w:r w:rsidRPr="00A317BB">
        <w:rPr>
          <w:rFonts w:ascii="Noto Sans" w:hAnsi="Noto Sans" w:cs="Noto Sans"/>
          <w:sz w:val="22"/>
          <w:szCs w:val="22"/>
        </w:rPr>
        <w:t xml:space="preserve"> </w:t>
      </w:r>
    </w:p>
    <w:p w14:paraId="0F547307" w14:textId="77777777" w:rsidR="00675925" w:rsidRDefault="00675925" w:rsidP="00675925">
      <w:pPr>
        <w:rPr>
          <w:rFonts w:ascii="Noto Sans" w:hAnsi="Noto Sans" w:cs="Noto Sans"/>
          <w:sz w:val="22"/>
          <w:szCs w:val="22"/>
        </w:rPr>
      </w:pPr>
      <w:r>
        <w:rPr>
          <w:rFonts w:ascii="Noto Sans" w:hAnsi="Noto Sans" w:cs="Noto Sans"/>
          <w:sz w:val="22"/>
          <w:szCs w:val="22"/>
        </w:rPr>
        <w:br w:type="page"/>
      </w:r>
    </w:p>
    <w:p w14:paraId="35CD80F3" w14:textId="77777777" w:rsidR="00675925" w:rsidRPr="00A317BB" w:rsidRDefault="00675925" w:rsidP="00675925">
      <w:pPr>
        <w:pStyle w:val="Prrafodelista"/>
        <w:numPr>
          <w:ilvl w:val="0"/>
          <w:numId w:val="1"/>
        </w:numPr>
        <w:jc w:val="both"/>
        <w:rPr>
          <w:rFonts w:ascii="Noto Sans" w:hAnsi="Noto Sans" w:cs="Noto Sans"/>
          <w:b/>
          <w:bCs/>
          <w:i/>
          <w:iCs/>
        </w:rPr>
      </w:pPr>
      <w:r w:rsidRPr="00A317BB">
        <w:rPr>
          <w:rFonts w:ascii="Noto Sans" w:hAnsi="Noto Sans" w:cs="Noto Sans"/>
          <w:b/>
          <w:bCs/>
          <w:i/>
          <w:iCs/>
        </w:rPr>
        <w:lastRenderedPageBreak/>
        <w:t>Garantizar/apoyar la formación en derechos humanos de los educadores juveniles</w:t>
      </w:r>
      <w:r>
        <w:rPr>
          <w:rFonts w:ascii="Noto Sans" w:hAnsi="Noto Sans" w:cs="Noto Sans"/>
          <w:b/>
          <w:bCs/>
          <w:i/>
          <w:iCs/>
        </w:rPr>
        <w:t>.</w:t>
      </w:r>
    </w:p>
    <w:p w14:paraId="27D8C6F7"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CONSEJOS TÉCNICOS ESCOLARES</w:t>
      </w:r>
    </w:p>
    <w:p w14:paraId="4255BFA8"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En el marco de la Nueva Escuela Mexicana, el principal objetivo del Consejo Técnico Escolar desde 2022 y hasta la fecha, ha sido proveer diferentes mecanismos para que las maestras y los maestros se apropien del Plan de Estudio para la Educación Preescolar, Primaria y Secundaria 2022, este documento curricular promueve una profunda transformación y reconoce a las y los estudiantes como sujetos plenos de derecho, tanto dentro como fuera del espacio escolar. Esto implica que:</w:t>
      </w:r>
    </w:p>
    <w:p w14:paraId="6EA66645"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Se reconoce su derecho pleno al conocimiento y a participar activamente en su proceso educativo. </w:t>
      </w:r>
    </w:p>
    <w:p w14:paraId="00AE67E5"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Se promueve su desarrollo integral en un entorno seguro y respetuoso. </w:t>
      </w:r>
    </w:p>
    <w:p w14:paraId="3DD4755D"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Se enfoca en desarrollar capacidades para que puedan influir en las decisiones que afectan sus vidas y las de las comunidades en las que viven, fortaleciendo así una cultura democrática.</w:t>
      </w:r>
    </w:p>
    <w:p w14:paraId="1AA73AF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Se promueve la interculturalidad crítica a fin de que las y los estudiantes comprendan y aprecien las diferentes culturas, lenguas y tradiciones que coexisten en México. </w:t>
      </w:r>
    </w:p>
    <w:p w14:paraId="1C8DF44B"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Se incorpora la perspectiva de género buscando eliminar todo tipo de violencia y discriminación, promoviendo la igualdad entre niñas y niños, así como el respeto a la diversidad sexo-genérica.</w:t>
      </w:r>
    </w:p>
    <w:p w14:paraId="0CE19D91"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La comunidad se considera el espacio central de los procesos educativos, donde se intercambian saberes, valores y culturas. La escuela se concibe como un centro de aprendizaje comunitario, en el que se construyen y convergen saberes, promoviendo el sentido de pertenencia y la participación activa de todos los miembros de la comunidad educativa.</w:t>
      </w:r>
    </w:p>
    <w:p w14:paraId="46667F9E"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 xml:space="preserve">Desde 2020 y hasta 2024, en promedio, 183 mil centros educativos, equivalente a 93% de escuelas de educación básica realizaron sus sesiones de Consejo Técnico Escolar, con la participación de más de 1.1 millones de docentes. </w:t>
      </w:r>
    </w:p>
    <w:p w14:paraId="653AB639"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Diversos materiales del CTE pueden consultarse en: https://gestion.cte.sep.gob.mx/insumos/#!/</w:t>
      </w:r>
    </w:p>
    <w:p w14:paraId="76791AFD" w14:textId="77777777" w:rsidR="00675925" w:rsidRDefault="00675925" w:rsidP="00675925">
      <w:pPr>
        <w:spacing w:before="240" w:after="120"/>
        <w:jc w:val="both"/>
        <w:rPr>
          <w:rFonts w:ascii="Noto Sans" w:hAnsi="Noto Sans" w:cs="Noto Sans"/>
          <w:sz w:val="22"/>
          <w:szCs w:val="22"/>
        </w:rPr>
      </w:pPr>
    </w:p>
    <w:p w14:paraId="186DA325" w14:textId="7B93F709"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lastRenderedPageBreak/>
        <w:t>POBLACIÓN EN SITUACIÓN DE MIGRACIÓN</w:t>
      </w:r>
    </w:p>
    <w:p w14:paraId="41186E46" w14:textId="77777777" w:rsidR="00675925" w:rsidRPr="00A317BB" w:rsidRDefault="00675925" w:rsidP="00675925">
      <w:pPr>
        <w:spacing w:after="240"/>
        <w:jc w:val="both"/>
        <w:rPr>
          <w:rFonts w:ascii="Noto Sans" w:hAnsi="Noto Sans" w:cs="Noto Sans"/>
          <w:sz w:val="22"/>
          <w:szCs w:val="22"/>
        </w:rPr>
      </w:pPr>
      <w:r w:rsidRPr="00A317BB">
        <w:rPr>
          <w:rFonts w:ascii="Noto Sans" w:hAnsi="Noto Sans" w:cs="Noto Sans"/>
          <w:sz w:val="22"/>
          <w:szCs w:val="22"/>
          <w:lang w:val="es-MX"/>
        </w:rPr>
        <w:t>E</w:t>
      </w:r>
      <w:r w:rsidRPr="00A317BB">
        <w:rPr>
          <w:rFonts w:ascii="Noto Sans" w:hAnsi="Noto Sans" w:cs="Noto Sans"/>
          <w:sz w:val="22"/>
          <w:szCs w:val="22"/>
        </w:rPr>
        <w:t xml:space="preserve">n coordinación con el Fondo de las Naciones Unidas para la Infancia (UNICEF) han trabajado conjuntamente desde 2020 por la Inclusión Educativa de Niñas, Niños y Adolescentes en Situación de Migración (NNASM). </w:t>
      </w:r>
    </w:p>
    <w:p w14:paraId="614B573C" w14:textId="77777777" w:rsidR="00675925" w:rsidRPr="00A317BB" w:rsidRDefault="00675925" w:rsidP="00675925">
      <w:pPr>
        <w:spacing w:after="240"/>
        <w:jc w:val="both"/>
        <w:rPr>
          <w:rFonts w:ascii="Noto Sans" w:hAnsi="Noto Sans" w:cs="Noto Sans"/>
          <w:sz w:val="22"/>
          <w:szCs w:val="22"/>
        </w:rPr>
      </w:pPr>
      <w:r w:rsidRPr="00A317BB">
        <w:rPr>
          <w:rFonts w:ascii="Noto Sans" w:hAnsi="Noto Sans" w:cs="Noto Sans"/>
          <w:sz w:val="22"/>
          <w:szCs w:val="22"/>
        </w:rPr>
        <w:t>Se han coordinado esfuerzos en varios frentes para busca que las niñas, niños y adolescentes en situación de migración en México tengan un mayor acceso a oportunidades educativas inclusivas y de calidad en educación básica. En el marco de dicha colaboración se ha desarrollado la oferta de formación a docentes y primeros respondientes para atención y materiales de sensibilización e información sobre el derecho a la educación de niñas, niños y adolescentes en situación de movilidad.</w:t>
      </w:r>
    </w:p>
    <w:p w14:paraId="225E708A" w14:textId="77777777" w:rsidR="00675925" w:rsidRPr="00A317BB" w:rsidRDefault="00675925" w:rsidP="00675925">
      <w:pPr>
        <w:spacing w:after="240"/>
        <w:jc w:val="both"/>
        <w:rPr>
          <w:rFonts w:ascii="Noto Sans" w:hAnsi="Noto Sans" w:cs="Noto Sans"/>
          <w:sz w:val="22"/>
          <w:szCs w:val="22"/>
        </w:rPr>
      </w:pPr>
      <w:r w:rsidRPr="00A317BB">
        <w:rPr>
          <w:rFonts w:ascii="Noto Sans" w:hAnsi="Noto Sans" w:cs="Noto Sans"/>
          <w:sz w:val="22"/>
          <w:szCs w:val="22"/>
        </w:rPr>
        <w:t>En este sentido, se han diseñado y publicado los materiales de gestión y didáctica para la atención pertinente de niños, niñas y adolescentes mexicanos repatriados ‘‘Caminos de Aprendizaje y A dónde voy, la Escuela va Conmigo’’, este último realizado en colaboración con UNICEF México.</w:t>
      </w:r>
    </w:p>
    <w:p w14:paraId="1C102C83" w14:textId="77777777" w:rsidR="00675925" w:rsidRPr="00A317BB" w:rsidRDefault="00675925" w:rsidP="00675925">
      <w:pPr>
        <w:spacing w:before="120" w:after="120"/>
        <w:jc w:val="both"/>
        <w:rPr>
          <w:rFonts w:ascii="Noto Sans" w:hAnsi="Noto Sans" w:cs="Noto Sans"/>
          <w:sz w:val="22"/>
          <w:szCs w:val="22"/>
        </w:rPr>
      </w:pPr>
      <w:r w:rsidRPr="00A317BB">
        <w:rPr>
          <w:rFonts w:ascii="Noto Sans" w:hAnsi="Noto Sans" w:cs="Noto Sans"/>
          <w:sz w:val="22"/>
          <w:szCs w:val="22"/>
        </w:rPr>
        <w:t xml:space="preserve">Asimismo, se ha diseñado el taller “Educación sin fronteras” que se aboca a revisar con docentes frente a grupo, figuras educativas de CONAFE y estudiantes de las escuelas normales los materiales mencionados. </w:t>
      </w:r>
    </w:p>
    <w:p w14:paraId="338850EB" w14:textId="77777777" w:rsidR="00675925" w:rsidRPr="00A317BB" w:rsidRDefault="00675925" w:rsidP="00675925">
      <w:pPr>
        <w:spacing w:before="120" w:after="120"/>
        <w:jc w:val="both"/>
        <w:rPr>
          <w:rFonts w:ascii="Noto Sans" w:eastAsia="Times New Roman" w:hAnsi="Noto Sans" w:cs="Noto Sans"/>
          <w:color w:val="000000" w:themeColor="text1"/>
          <w:sz w:val="22"/>
          <w:szCs w:val="22"/>
          <w:lang w:val="es-MX" w:eastAsia="es-MX"/>
        </w:rPr>
      </w:pPr>
      <w:r w:rsidRPr="00A317BB">
        <w:rPr>
          <w:rFonts w:ascii="Noto Sans" w:hAnsi="Noto Sans" w:cs="Noto Sans"/>
          <w:sz w:val="22"/>
          <w:szCs w:val="22"/>
          <w:lang w:val="es-MX"/>
        </w:rPr>
        <w:t xml:space="preserve">Cabe mencionar que con el apoyo de UNICEF se logró la impresión de 10,000 ejemplares de la Guía didáctica </w:t>
      </w:r>
      <w:r w:rsidRPr="00A317BB">
        <w:rPr>
          <w:rFonts w:ascii="Noto Sans" w:eastAsia="Times New Roman" w:hAnsi="Noto Sans" w:cs="Noto Sans"/>
          <w:b/>
          <w:color w:val="000000" w:themeColor="text1"/>
          <w:sz w:val="22"/>
          <w:szCs w:val="22"/>
          <w:lang w:val="es-MX" w:eastAsia="es-MX"/>
        </w:rPr>
        <w:t xml:space="preserve">A dónde voy, la Escuela va Conmigo </w:t>
      </w:r>
      <w:r w:rsidRPr="00A317BB">
        <w:rPr>
          <w:rFonts w:ascii="Noto Sans" w:eastAsia="Times New Roman" w:hAnsi="Noto Sans" w:cs="Noto Sans"/>
          <w:color w:val="000000" w:themeColor="text1"/>
          <w:sz w:val="22"/>
          <w:szCs w:val="22"/>
          <w:lang w:val="es-MX" w:eastAsia="es-MX"/>
        </w:rPr>
        <w:t>para distribuir en escuelas focalizadas que atiendan a esta población en las entidades de Baja California, Chiapas, Chihuahua, Ciudad de México, Hidalgo, Morelos, Puebla y Tamaulipas.</w:t>
      </w:r>
    </w:p>
    <w:p w14:paraId="0F950B1C" w14:textId="77777777" w:rsidR="00675925" w:rsidRPr="00A317BB" w:rsidRDefault="00675925" w:rsidP="00675925">
      <w:pPr>
        <w:spacing w:before="120" w:after="120"/>
        <w:jc w:val="both"/>
        <w:rPr>
          <w:rFonts w:ascii="Noto Sans" w:hAnsi="Noto Sans" w:cs="Noto Sans"/>
          <w:sz w:val="22"/>
          <w:szCs w:val="22"/>
        </w:rPr>
      </w:pPr>
      <w:r w:rsidRPr="00A317BB">
        <w:rPr>
          <w:rFonts w:ascii="Noto Sans" w:hAnsi="Noto Sans" w:cs="Noto Sans"/>
          <w:sz w:val="22"/>
          <w:szCs w:val="22"/>
        </w:rPr>
        <w:t>A continuación, se incluye entidades en las que se ha impartido el taller a escuelas focalizadas para la atención de la población en contexto de migración:</w:t>
      </w:r>
    </w:p>
    <w:p w14:paraId="63D7EC70"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Ciudad Juárez: 9 y 10 de febrero</w:t>
      </w:r>
    </w:p>
    <w:p w14:paraId="6D967886"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Tapachula: 18 y 19 de febrero</w:t>
      </w:r>
    </w:p>
    <w:p w14:paraId="409AA5D7"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Baja California: 10, 11 y 12 de marzo</w:t>
      </w:r>
    </w:p>
    <w:p w14:paraId="07D8F802"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Hidalgo: 14 de marzo</w:t>
      </w:r>
    </w:p>
    <w:p w14:paraId="29AF2278"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Tamaulipas: 18, 19 y 20 de marzo</w:t>
      </w:r>
    </w:p>
    <w:p w14:paraId="3ECA22D8"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Morelos: 7 de abril</w:t>
      </w:r>
    </w:p>
    <w:p w14:paraId="6BA79CB8" w14:textId="77777777" w:rsidR="00675925" w:rsidRPr="00A317BB" w:rsidRDefault="00675925" w:rsidP="00675925">
      <w:pPr>
        <w:numPr>
          <w:ilvl w:val="2"/>
          <w:numId w:val="3"/>
        </w:numPr>
        <w:spacing w:before="120" w:after="120"/>
        <w:jc w:val="both"/>
        <w:rPr>
          <w:rFonts w:ascii="Noto Sans" w:hAnsi="Noto Sans" w:cs="Noto Sans"/>
          <w:sz w:val="22"/>
          <w:szCs w:val="22"/>
          <w:lang w:val="es-MX"/>
        </w:rPr>
      </w:pPr>
      <w:r w:rsidRPr="00A317BB">
        <w:rPr>
          <w:rFonts w:ascii="Noto Sans" w:hAnsi="Noto Sans" w:cs="Noto Sans"/>
          <w:b/>
          <w:bCs/>
          <w:sz w:val="22"/>
          <w:szCs w:val="22"/>
          <w:lang w:val="es-MX"/>
        </w:rPr>
        <w:t>CDMX: 19 y 20 de mayo</w:t>
      </w:r>
    </w:p>
    <w:p w14:paraId="18344066" w14:textId="77777777" w:rsidR="00675925" w:rsidRPr="00A317BB" w:rsidRDefault="00675925" w:rsidP="00675925">
      <w:pPr>
        <w:spacing w:before="120" w:after="120"/>
        <w:jc w:val="both"/>
        <w:rPr>
          <w:rFonts w:ascii="Noto Sans" w:hAnsi="Noto Sans" w:cs="Noto Sans"/>
          <w:sz w:val="22"/>
          <w:szCs w:val="22"/>
        </w:rPr>
      </w:pPr>
      <w:r w:rsidRPr="00A317BB">
        <w:rPr>
          <w:rFonts w:ascii="Noto Sans" w:hAnsi="Noto Sans" w:cs="Noto Sans"/>
          <w:sz w:val="22"/>
          <w:szCs w:val="22"/>
        </w:rPr>
        <w:lastRenderedPageBreak/>
        <w:t>De manera adicional se han realizado las siguientes acciones para garantizar el derecho a la educación de infancias y adolescencias en contexto de migración:</w:t>
      </w:r>
    </w:p>
    <w:p w14:paraId="27973EC8"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Difusión del protocolo de acceso a la educación para niñas, niños y adolescentes en situación de migración elaborado por SEP y UNICEF durante la Fase Intensiva del Consejo Técnico Escolar</w:t>
      </w:r>
    </w:p>
    <w:p w14:paraId="70503B32"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Difusión de tres capsulas de docentes que, a través de sus vivencias y prácticas educativas, lograron garantizar el derecho a la educación desde un enfoque humanista, brindando apoyo y abriendo la puerta de sus escuelas a niñas y niños en situación de movilidad.</w:t>
      </w:r>
    </w:p>
    <w:p w14:paraId="50FBE460"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Organización del evento Inclusión educativa de niñas, niños y adolescentes en situación de migración el 22 de noviembre de 2024.</w:t>
      </w:r>
    </w:p>
    <w:p w14:paraId="6A751069"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 xml:space="preserve">Elaboración de infografías con recomendación para la atención de niñas, niños y adolescentes en situación de movilidad y prevención de violencia sexual de NNASM (español e inglés) </w:t>
      </w:r>
    </w:p>
    <w:p w14:paraId="28038EAC" w14:textId="77777777" w:rsidR="00675925" w:rsidRPr="00A317BB" w:rsidRDefault="00675925" w:rsidP="00675925">
      <w:pPr>
        <w:pStyle w:val="Prrafodelista"/>
        <w:numPr>
          <w:ilvl w:val="0"/>
          <w:numId w:val="2"/>
        </w:numPr>
        <w:tabs>
          <w:tab w:val="num" w:pos="720"/>
        </w:tabs>
        <w:spacing w:before="240" w:after="120"/>
        <w:jc w:val="both"/>
        <w:rPr>
          <w:rFonts w:ascii="Noto Sans" w:hAnsi="Noto Sans" w:cs="Noto Sans"/>
        </w:rPr>
      </w:pPr>
      <w:r w:rsidRPr="00A317BB">
        <w:rPr>
          <w:rFonts w:ascii="Noto Sans" w:hAnsi="Noto Sans" w:cs="Noto Sans"/>
        </w:rPr>
        <w:t>Elaboración de propuesta de la capacitación para centros de atención: estrategia efectiva de recepción ‘‘México te abraza”</w:t>
      </w:r>
    </w:p>
    <w:p w14:paraId="2B851FFF" w14:textId="77777777" w:rsidR="00675925" w:rsidRPr="00A317BB" w:rsidRDefault="00675925" w:rsidP="00675925">
      <w:pPr>
        <w:spacing w:before="240" w:after="120"/>
        <w:jc w:val="both"/>
        <w:rPr>
          <w:rFonts w:ascii="Noto Sans" w:hAnsi="Noto Sans" w:cs="Noto Sans"/>
          <w:sz w:val="22"/>
          <w:szCs w:val="22"/>
        </w:rPr>
      </w:pPr>
      <w:r w:rsidRPr="00A317BB">
        <w:rPr>
          <w:rFonts w:ascii="Noto Sans" w:hAnsi="Noto Sans" w:cs="Noto Sans"/>
          <w:sz w:val="22"/>
          <w:szCs w:val="22"/>
        </w:rPr>
        <w:t>EDUCACIÓN INDÍGENA</w:t>
      </w:r>
    </w:p>
    <w:p w14:paraId="2D29465D"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Elaboración e implementación del taller: Estrategias para el uso creativo de las lenguas indígenas en contextos de diversidad cultural y lingüística, dirigido a docentes y promotores de los Semilleros Creativos de la Secretaría de Cultura que trabajan en regiones denominadas indígenas, conformando grupos de formación artística con enfoque comunitario para niñas, niños y jóvenes en condiciones de vulnerabilidad (anexo 2).</w:t>
      </w:r>
    </w:p>
    <w:p w14:paraId="237D37A0" w14:textId="77777777" w:rsidR="00675925" w:rsidRPr="00A317BB" w:rsidRDefault="00675925" w:rsidP="00675925">
      <w:pPr>
        <w:spacing w:before="240" w:after="120"/>
        <w:ind w:right="57"/>
        <w:jc w:val="both"/>
        <w:rPr>
          <w:rFonts w:ascii="Noto Sans" w:hAnsi="Noto Sans" w:cs="Noto Sans"/>
          <w:sz w:val="22"/>
          <w:szCs w:val="22"/>
        </w:rPr>
      </w:pPr>
      <w:r w:rsidRPr="00A317BB">
        <w:rPr>
          <w:rFonts w:ascii="Noto Sans" w:hAnsi="Noto Sans" w:cs="Noto Sans"/>
          <w:sz w:val="22"/>
          <w:szCs w:val="22"/>
        </w:rPr>
        <w:t>Elaboración de la Estrategia Nacional para la Enseñanza de las lenguas y Culturas Indígenas y Afromexicanas, con alcance hasta la Educación Secundaria.</w:t>
      </w:r>
    </w:p>
    <w:p w14:paraId="15CBC6CD" w14:textId="77777777" w:rsidR="00675925" w:rsidRPr="00A317BB" w:rsidRDefault="00675925" w:rsidP="00675925">
      <w:pPr>
        <w:jc w:val="both"/>
        <w:rPr>
          <w:rFonts w:ascii="Noto Sans" w:hAnsi="Noto Sans" w:cs="Noto Sans"/>
          <w:sz w:val="22"/>
          <w:szCs w:val="22"/>
        </w:rPr>
      </w:pPr>
      <w:r w:rsidRPr="00A317BB">
        <w:rPr>
          <w:rFonts w:ascii="Noto Sans" w:hAnsi="Noto Sans" w:cs="Noto Sans"/>
          <w:sz w:val="22"/>
          <w:szCs w:val="22"/>
        </w:rPr>
        <w:t>MATERIALES EDUCATIVOS PARA DOCENTES</w:t>
      </w:r>
    </w:p>
    <w:p w14:paraId="45965980"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1.</w:t>
      </w:r>
      <w:r w:rsidRPr="00A317BB">
        <w:rPr>
          <w:rFonts w:ascii="Noto Sans" w:hAnsi="Noto Sans" w:cs="Noto Sans"/>
          <w:sz w:val="22"/>
          <w:szCs w:val="22"/>
        </w:rPr>
        <w:tab/>
        <w:t xml:space="preserve">En 2022, se elaboró el material informativo “Resolución de Conflictos en los Centros Escolares ¿Cómo mejorar la convivencia en su centro escolar?” dirigido al personal docente, directivo y de apoyo a la educación con el cual se busca que tengan un acercamiento al tema de resolución de conflictos, se involucren en su manejo, logren convertirse en guías y modelos de convivencia para el alumnado e intervengan oportunamente ante la manifestación de </w:t>
      </w:r>
      <w:r w:rsidRPr="00A317BB">
        <w:rPr>
          <w:rFonts w:ascii="Noto Sans" w:hAnsi="Noto Sans" w:cs="Noto Sans"/>
          <w:sz w:val="22"/>
          <w:szCs w:val="22"/>
        </w:rPr>
        <w:lastRenderedPageBreak/>
        <w:t>conflictos, involucrando a toda la comunidad escolar en el reconocimiento de situaciones de conflicto en la escuela.</w:t>
      </w:r>
    </w:p>
    <w:p w14:paraId="33F451BA"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Asimismo, se pretende </w:t>
      </w:r>
      <w:proofErr w:type="gramStart"/>
      <w:r w:rsidRPr="00A317BB">
        <w:rPr>
          <w:rFonts w:ascii="Noto Sans" w:hAnsi="Noto Sans" w:cs="Noto Sans"/>
          <w:sz w:val="22"/>
          <w:szCs w:val="22"/>
        </w:rPr>
        <w:t>que</w:t>
      </w:r>
      <w:proofErr w:type="gramEnd"/>
      <w:r w:rsidRPr="00A317BB">
        <w:rPr>
          <w:rFonts w:ascii="Noto Sans" w:hAnsi="Noto Sans" w:cs="Noto Sans"/>
          <w:sz w:val="22"/>
          <w:szCs w:val="22"/>
        </w:rPr>
        <w:t xml:space="preserve"> con el apoyo del material y acciones formativas en este ámbito, promuevan que el alumnado desarrolle y ponga en práctica habilidades socioemocionales, valores y herramientas para la resolución de conflictos basadas en prácticas de respeto a los derechos humanos, democracia y el desarrollo sostenible, que contribuyan a la construcción de una convivencia pacífica, inclusiva y democrática en los centros escolares.</w:t>
      </w:r>
    </w:p>
    <w:p w14:paraId="3EF01853"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El material actualmente se encuentra disponible en el sitio Web </w:t>
      </w:r>
      <w:hyperlink r:id="rId14" w:history="1">
        <w:r w:rsidRPr="00A317BB">
          <w:rPr>
            <w:rStyle w:val="Hipervnculo"/>
            <w:rFonts w:ascii="Noto Sans" w:hAnsi="Noto Sans" w:cs="Noto Sans"/>
            <w:sz w:val="22"/>
            <w:szCs w:val="22"/>
          </w:rPr>
          <w:t>https://escuelalibredeviolencia.sep.gob.mx/</w:t>
        </w:r>
      </w:hyperlink>
      <w:r w:rsidRPr="00A317BB">
        <w:rPr>
          <w:rFonts w:ascii="Noto Sans" w:hAnsi="Noto Sans" w:cs="Noto Sans"/>
          <w:sz w:val="22"/>
          <w:szCs w:val="22"/>
        </w:rPr>
        <w:t xml:space="preserve"> </w:t>
      </w:r>
    </w:p>
    <w:p w14:paraId="1BE1F422"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2.</w:t>
      </w:r>
      <w:r w:rsidRPr="00A317BB">
        <w:rPr>
          <w:rFonts w:ascii="Noto Sans" w:hAnsi="Noto Sans" w:cs="Noto Sans"/>
          <w:sz w:val="22"/>
          <w:szCs w:val="22"/>
        </w:rPr>
        <w:tab/>
        <w:t xml:space="preserve">Diseño y distribución de la Guía "Todas y Todos contra el Acoso Escolar". Guía para docentes de educación básica. </w:t>
      </w:r>
    </w:p>
    <w:p w14:paraId="465F76DF"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Esta guía didáctica es un material dirigido a personal docente y directivo de educación básica del país, para promover la erradicación del acoso escolar mediante el trabajo formativo y preventivo, por lo que incluye información conceptual y la construcción de estrategias para la prevención, atención, detección, intervención y seguimiento del acoso escolar, a la vez que incluye experiencias de aprendizajes para desarrollar con las niñas, niños y adolescentes de los niveles de preescolar, primaria y secundaria.</w:t>
      </w:r>
    </w:p>
    <w:p w14:paraId="57601D88"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Mediante este material, se promueve el respecto a los derechos de las niñas, niños y adolescentes, así como la cultura de paz, el diálogo constructivo, de la solidaridad y de la resolución pacífica de conflictos y, en apego a esta vocación, busca garantizar escuelas libres de violencia en cualquiera de sus manifestaciones.</w:t>
      </w:r>
    </w:p>
    <w:p w14:paraId="1D59C00D"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Durante el 2023 se realizó la difusión de la Guía en formato digital, a nivel nacional con las Autoridades Educativas Locales, docentes y directivos, de las 32 entidades federativas. </w:t>
      </w:r>
    </w:p>
    <w:p w14:paraId="17297DCE"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En 2024, se distribuyó en formato impreso, un total de 1, 238, 818 ejemplares a directivos, docentes y para bibliotecas y centros de maestros. </w:t>
      </w:r>
    </w:p>
    <w:p w14:paraId="2DCBFB77" w14:textId="77777777" w:rsidR="00675925" w:rsidRDefault="00675925" w:rsidP="00675925">
      <w:pPr>
        <w:rPr>
          <w:rFonts w:ascii="Noto Sans" w:hAnsi="Noto Sans" w:cs="Noto Sans"/>
          <w:b/>
          <w:bCs/>
          <w:i/>
          <w:iCs/>
          <w:sz w:val="22"/>
          <w:szCs w:val="22"/>
        </w:rPr>
      </w:pPr>
      <w:r>
        <w:rPr>
          <w:rFonts w:ascii="Noto Sans" w:hAnsi="Noto Sans" w:cs="Noto Sans"/>
          <w:b/>
          <w:bCs/>
          <w:i/>
          <w:iCs/>
          <w:sz w:val="22"/>
          <w:szCs w:val="22"/>
        </w:rPr>
        <w:br w:type="page"/>
      </w:r>
    </w:p>
    <w:p w14:paraId="057ABD7B" w14:textId="77777777" w:rsidR="00675925" w:rsidRPr="00A317BB" w:rsidRDefault="00675925" w:rsidP="00675925">
      <w:pPr>
        <w:pStyle w:val="Prrafodelista"/>
        <w:numPr>
          <w:ilvl w:val="0"/>
          <w:numId w:val="1"/>
        </w:numPr>
        <w:jc w:val="both"/>
        <w:rPr>
          <w:rFonts w:ascii="Noto Sans" w:hAnsi="Noto Sans" w:cs="Noto Sans"/>
          <w:b/>
          <w:bCs/>
          <w:i/>
          <w:iCs/>
        </w:rPr>
      </w:pPr>
      <w:r w:rsidRPr="00A317BB">
        <w:rPr>
          <w:rFonts w:ascii="Noto Sans" w:hAnsi="Noto Sans" w:cs="Noto Sans"/>
          <w:b/>
          <w:bCs/>
          <w:i/>
          <w:iCs/>
        </w:rPr>
        <w:lastRenderedPageBreak/>
        <w:t>Fomentar entornos propicios</w:t>
      </w:r>
      <w:r>
        <w:rPr>
          <w:rFonts w:ascii="Noto Sans" w:hAnsi="Noto Sans" w:cs="Noto Sans"/>
          <w:b/>
          <w:bCs/>
          <w:i/>
          <w:iCs/>
        </w:rPr>
        <w:t>.</w:t>
      </w:r>
    </w:p>
    <w:p w14:paraId="50C3C278"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1.</w:t>
      </w:r>
      <w:r w:rsidRPr="00A317BB">
        <w:rPr>
          <w:rFonts w:ascii="Noto Sans" w:hAnsi="Noto Sans" w:cs="Noto Sans"/>
          <w:sz w:val="22"/>
          <w:szCs w:val="22"/>
        </w:rPr>
        <w:tab/>
        <w:t>Ciclo de conferencias: “Diálogos para una cultura de paz en las escuelas. Construyendo puentes".</w:t>
      </w:r>
    </w:p>
    <w:p w14:paraId="01084493"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Con el propósito de contribuir a crear entornos escolares pacíficos, participativos y empáticos en los planteles educativos de educación básica del país, y actualizar al personal directivo y docente en la promoción de entornos seguros y propicios para la formación integral de los educandos con un enfoque en derechos, la SEP realizó y difundió un ciclo de conferencias, dirigidas a personal directivo y docente en donde se fortalezcan las condiciones para una cultura de paz con valores y respeto.</w:t>
      </w:r>
    </w:p>
    <w:p w14:paraId="353B59C0"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Este trabajo se realizó en coordinación con el Instituto Latinoamericano de la Comunicación Educativa (ILCE), el ciclo de conferencias se transmitió por las redes sociales de la Secretaría de Educación Pública, del ILCE y el canal televisivo 22.1. Asimismo, se publicaron en la página web Escuela Libre de Violencia, para su difusión a través de las Autoridades Educativas Locales (AEL) en las 32 entidades federativas. </w:t>
      </w:r>
    </w:p>
    <w:p w14:paraId="40EEE3E2"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Se programó la retransmisión de las conferencias a través del canal de televisión 22.1 durante junio y julio de 2024.</w:t>
      </w:r>
    </w:p>
    <w:p w14:paraId="27A91EDF"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Este ciclo de conferencias incluyó los siguientes títulos: </w:t>
      </w:r>
    </w:p>
    <w:p w14:paraId="1E121101"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La democracia se enseña en la escuela: Promoción de los derechos de niñas, niños y adolescentes.</w:t>
      </w:r>
    </w:p>
    <w:p w14:paraId="36230B7C"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Voces en acción: Participación infantil y adolescente en la escuela.</w:t>
      </w:r>
    </w:p>
    <w:p w14:paraId="797C6FC2"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Conflictos en el aula: Abordajes prácticos de negociación y mediación.</w:t>
      </w:r>
    </w:p>
    <w:p w14:paraId="35D84BE8"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Recomendaciones para transformar la disciplina escolar: Perspectiva desde la Nueva Escuela Mexicana (NEM)</w:t>
      </w:r>
    </w:p>
    <w:p w14:paraId="45E4C272"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Construyendo puentes: Estrategias para una enseñanza pacífica, solidaria y democrática en el aula y escuela</w:t>
      </w:r>
    </w:p>
    <w:p w14:paraId="74046DF9" w14:textId="77777777" w:rsidR="00675925"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Las 5 conferencias continúan disponibles para su vista. </w:t>
      </w:r>
      <w:hyperlink r:id="rId15" w:history="1">
        <w:r w:rsidRPr="00A317BB">
          <w:rPr>
            <w:rStyle w:val="Hipervnculo"/>
            <w:rFonts w:ascii="Noto Sans" w:hAnsi="Noto Sans" w:cs="Noto Sans"/>
            <w:sz w:val="22"/>
            <w:szCs w:val="22"/>
          </w:rPr>
          <w:t>https://escuelalibredeviolencia.sep.gob.mx/</w:t>
        </w:r>
      </w:hyperlink>
      <w:r w:rsidRPr="00A317BB">
        <w:rPr>
          <w:rFonts w:ascii="Noto Sans" w:hAnsi="Noto Sans" w:cs="Noto Sans"/>
          <w:sz w:val="22"/>
          <w:szCs w:val="22"/>
        </w:rPr>
        <w:t xml:space="preserve"> </w:t>
      </w:r>
    </w:p>
    <w:p w14:paraId="68FBCC23" w14:textId="77777777" w:rsidR="00675925" w:rsidRDefault="00675925" w:rsidP="00675925">
      <w:pPr>
        <w:spacing w:before="240" w:after="120"/>
        <w:ind w:left="708"/>
        <w:jc w:val="both"/>
        <w:rPr>
          <w:rFonts w:ascii="Noto Sans" w:hAnsi="Noto Sans" w:cs="Noto Sans"/>
          <w:sz w:val="22"/>
          <w:szCs w:val="22"/>
        </w:rPr>
      </w:pPr>
    </w:p>
    <w:p w14:paraId="1ED33D19" w14:textId="77777777" w:rsidR="00675925" w:rsidRPr="00A317BB" w:rsidRDefault="00675925" w:rsidP="00675925">
      <w:pPr>
        <w:spacing w:before="240" w:after="120"/>
        <w:ind w:left="708"/>
        <w:jc w:val="both"/>
        <w:rPr>
          <w:rFonts w:ascii="Noto Sans" w:hAnsi="Noto Sans" w:cs="Noto Sans"/>
          <w:sz w:val="22"/>
          <w:szCs w:val="22"/>
        </w:rPr>
      </w:pPr>
    </w:p>
    <w:p w14:paraId="28DBAE84"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2.</w:t>
      </w:r>
      <w:r w:rsidRPr="00A317BB">
        <w:rPr>
          <w:rFonts w:ascii="Noto Sans" w:hAnsi="Noto Sans" w:cs="Noto Sans"/>
          <w:sz w:val="22"/>
          <w:szCs w:val="22"/>
        </w:rPr>
        <w:tab/>
        <w:t>Video cápsulas sobre Acoso Escolar.</w:t>
      </w:r>
    </w:p>
    <w:p w14:paraId="0EC2CDE8"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La Secretaría de Educación Pública defiende los derechos de las niñas, niños y adolescentes a través de la promoción de escuelas libres de cualquier tipo de violencia como espacios de convivencia que procuran el bienestar de las niñas, niños y adolescentes, y en los que prevalezca la cultura de paz, el diálogo constructivo, la solidaridad y la resolución pacífica de conflictos.</w:t>
      </w:r>
    </w:p>
    <w:p w14:paraId="6261E97D"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Con esta finalidad, se diseñaron dos cápsulas animadas para promover la prevención y atención oportuna del acoso escolar y el ciberacoso entre los NNA. Este material multimedia contribuye a promover de manera clara y sencilla que niñas, niños y adolescentes conozcan cómo se define el acoso escolar, sus características y los diferentes tipos de acoso, proyectando ejemplos de situaciones que ayuden a identificarlos en los planteles educativos.</w:t>
      </w:r>
    </w:p>
    <w:p w14:paraId="614740B1"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Los títulos son: </w:t>
      </w:r>
    </w:p>
    <w:p w14:paraId="0589AFCE"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¿Qué es el acoso escolar?</w:t>
      </w:r>
    </w:p>
    <w:p w14:paraId="0E2A1BB9" w14:textId="77777777" w:rsidR="00675925" w:rsidRPr="00A317BB" w:rsidRDefault="00675925" w:rsidP="00675925">
      <w:pPr>
        <w:pStyle w:val="Prrafodelista"/>
        <w:numPr>
          <w:ilvl w:val="1"/>
          <w:numId w:val="2"/>
        </w:numPr>
        <w:spacing w:before="240" w:after="120"/>
        <w:jc w:val="both"/>
        <w:rPr>
          <w:rFonts w:ascii="Noto Sans" w:hAnsi="Noto Sans" w:cs="Noto Sans"/>
        </w:rPr>
      </w:pPr>
      <w:r w:rsidRPr="00A317BB">
        <w:rPr>
          <w:rFonts w:ascii="Noto Sans" w:hAnsi="Noto Sans" w:cs="Noto Sans"/>
        </w:rPr>
        <w:t>¿Qué es el ciberacoso?</w:t>
      </w:r>
    </w:p>
    <w:p w14:paraId="0076504B" w14:textId="77777777" w:rsidR="00675925" w:rsidRPr="00A317BB" w:rsidRDefault="00675925" w:rsidP="00675925">
      <w:pPr>
        <w:spacing w:before="240" w:after="120"/>
        <w:ind w:left="708"/>
        <w:jc w:val="both"/>
        <w:rPr>
          <w:rFonts w:ascii="Noto Sans" w:hAnsi="Noto Sans" w:cs="Noto Sans"/>
          <w:sz w:val="22"/>
          <w:szCs w:val="22"/>
        </w:rPr>
      </w:pPr>
      <w:r w:rsidRPr="00A317BB">
        <w:rPr>
          <w:rFonts w:ascii="Noto Sans" w:hAnsi="Noto Sans" w:cs="Noto Sans"/>
          <w:sz w:val="22"/>
          <w:szCs w:val="22"/>
        </w:rPr>
        <w:t xml:space="preserve">Estas cápsulas se encuentran publicadas para su difusión con las Autoridades Educativas Locales (AEL) en las 32 entidades federativas, en el Canal de YouTube de la SEP: https://www.youtube.com/@canalsep y en la página web de la Subsecretaría de Educación Básica sitio Escuela Libre de Violencia </w:t>
      </w:r>
      <w:hyperlink r:id="rId16" w:history="1">
        <w:r w:rsidRPr="00A317BB">
          <w:rPr>
            <w:rStyle w:val="Hipervnculo"/>
            <w:rFonts w:ascii="Noto Sans" w:hAnsi="Noto Sans" w:cs="Noto Sans"/>
            <w:sz w:val="22"/>
            <w:szCs w:val="22"/>
          </w:rPr>
          <w:t>https://escuelalibredeviolencia.sep.gob.mx</w:t>
        </w:r>
      </w:hyperlink>
    </w:p>
    <w:p w14:paraId="33C4CACD" w14:textId="421B5792" w:rsidR="00485453" w:rsidRPr="00675925" w:rsidRDefault="00485453" w:rsidP="00675925"/>
    <w:sectPr w:rsidR="00485453" w:rsidRPr="00675925" w:rsidSect="00675925">
      <w:headerReference w:type="default" r:id="rId17"/>
      <w:footerReference w:type="default" r:id="rId18"/>
      <w:pgSz w:w="12240" w:h="15840"/>
      <w:pgMar w:top="2342"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34B8D" w14:textId="77777777" w:rsidR="008A4B2E" w:rsidRDefault="008A4B2E" w:rsidP="007C2AD6">
      <w:r>
        <w:separator/>
      </w:r>
    </w:p>
  </w:endnote>
  <w:endnote w:type="continuationSeparator" w:id="0">
    <w:p w14:paraId="1F016FD3" w14:textId="77777777" w:rsidR="008A4B2E" w:rsidRDefault="008A4B2E" w:rsidP="007C2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w:panose1 w:val="020B0502040504020204"/>
    <w:charset w:val="00"/>
    <w:family w:val="swiss"/>
    <w:pitch w:val="variable"/>
    <w:sig w:usb0="E00002FF" w:usb1="4000201F" w:usb2="08000029" w:usb3="00000000" w:csb0="0000019F" w:csb1="00000000"/>
  </w:font>
  <w:font w:name="Noto Sans SemiBold">
    <w:altName w:val="Calibri"/>
    <w:panose1 w:val="020B0502040504020204"/>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75659" w14:textId="46E4E149" w:rsidR="00E1043F" w:rsidRDefault="00470118">
    <w:pPr>
      <w:pStyle w:val="Piedepgina"/>
    </w:pPr>
    <w:r>
      <w:rPr>
        <w:noProof/>
        <w14:ligatures w14:val="standardContextual"/>
      </w:rPr>
      <mc:AlternateContent>
        <mc:Choice Requires="wps">
          <w:drawing>
            <wp:anchor distT="0" distB="0" distL="114300" distR="114300" simplePos="0" relativeHeight="251661312" behindDoc="0" locked="0" layoutInCell="1" allowOverlap="1" wp14:anchorId="55A38722" wp14:editId="0E1FB181">
              <wp:simplePos x="0" y="0"/>
              <wp:positionH relativeFrom="margin">
                <wp:posOffset>1155065</wp:posOffset>
              </wp:positionH>
              <wp:positionV relativeFrom="paragraph">
                <wp:posOffset>-583565</wp:posOffset>
              </wp:positionV>
              <wp:extent cx="5105400" cy="326494"/>
              <wp:effectExtent l="0" t="0" r="0" b="0"/>
              <wp:wrapNone/>
              <wp:docPr id="415345994" name="Cuadro de texto 2"/>
              <wp:cNvGraphicFramePr/>
              <a:graphic xmlns:a="http://schemas.openxmlformats.org/drawingml/2006/main">
                <a:graphicData uri="http://schemas.microsoft.com/office/word/2010/wordprocessingShape">
                  <wps:wsp>
                    <wps:cNvSpPr txBox="1"/>
                    <wps:spPr>
                      <a:xfrm>
                        <a:off x="0" y="0"/>
                        <a:ext cx="5105400" cy="326494"/>
                      </a:xfrm>
                      <a:prstGeom prst="rect">
                        <a:avLst/>
                      </a:prstGeom>
                      <a:noFill/>
                      <a:ln w="6350">
                        <a:noFill/>
                      </a:ln>
                    </wps:spPr>
                    <wps:txbx>
                      <w:txbxContent>
                        <w:p w14:paraId="3AC04622" w14:textId="77777777" w:rsidR="00C71959" w:rsidRPr="006E078E" w:rsidRDefault="002B1FE9" w:rsidP="00C71959">
                          <w:pPr>
                            <w:rPr>
                              <w:rFonts w:ascii="Noto Sans SemiBold" w:hAnsi="Noto Sans SemiBold" w:cs="Noto Sans SemiBold"/>
                              <w:color w:val="691135"/>
                              <w:sz w:val="13"/>
                              <w:szCs w:val="13"/>
                            </w:rPr>
                          </w:pPr>
                          <w:r w:rsidRPr="006E078E">
                            <w:rPr>
                              <w:rFonts w:ascii="Noto Sans SemiBold" w:hAnsi="Noto Sans SemiBold" w:cs="Noto Sans SemiBold"/>
                              <w:color w:val="691135"/>
                              <w:sz w:val="13"/>
                              <w:szCs w:val="13"/>
                            </w:rPr>
                            <w:t xml:space="preserve">Av. Universidad No. 1200, Col. Xoco, Alcaldía Benito Juárez, C.P. 03330, Cuidad de México.   </w:t>
                          </w:r>
                        </w:p>
                        <w:p w14:paraId="7751BA19" w14:textId="6CA616A9" w:rsidR="002B1FE9" w:rsidRPr="006E078E" w:rsidRDefault="002B1FE9" w:rsidP="00C71959">
                          <w:pPr>
                            <w:rPr>
                              <w:rFonts w:ascii="Noto Sans SemiBold" w:hAnsi="Noto Sans SemiBold" w:cs="Noto Sans SemiBold"/>
                              <w:color w:val="691135"/>
                              <w:sz w:val="13"/>
                              <w:szCs w:val="13"/>
                            </w:rPr>
                          </w:pPr>
                          <w:r w:rsidRPr="006E078E">
                            <w:rPr>
                              <w:rFonts w:ascii="Noto Sans SemiBold" w:hAnsi="Noto Sans SemiBold" w:cs="Noto Sans SemiBold"/>
                              <w:color w:val="691135"/>
                              <w:sz w:val="13"/>
                              <w:szCs w:val="13"/>
                            </w:rPr>
                            <w:t>Tel: (55) 3600 2500   Ext. 00000.    www.gob.mx/sep</w:t>
                          </w:r>
                        </w:p>
                        <w:p w14:paraId="155D3D22" w14:textId="77777777" w:rsidR="002B1FE9" w:rsidRPr="00635419" w:rsidRDefault="002B1FE9" w:rsidP="00C71959">
                          <w:pPr>
                            <w:rPr>
                              <w:rFonts w:ascii="Noto Sans SemiBold" w:hAnsi="Noto Sans SemiBold" w:cs="Noto Sans SemiBold"/>
                              <w:b/>
                              <w:bCs/>
                              <w:color w:val="691135"/>
                              <w:sz w:val="13"/>
                              <w:szCs w:val="13"/>
                            </w:rPr>
                          </w:pPr>
                        </w:p>
                        <w:p w14:paraId="4CF98270" w14:textId="286D5F15" w:rsidR="00470118" w:rsidRPr="00635419" w:rsidRDefault="00470118" w:rsidP="00C71959">
                          <w:pPr>
                            <w:rPr>
                              <w:rFonts w:ascii="Noto Sans SemiBold" w:hAnsi="Noto Sans SemiBold" w:cs="Noto Sans SemiBold"/>
                              <w:b/>
                              <w:bCs/>
                              <w:color w:val="691135"/>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38722" id="_x0000_t202" coordsize="21600,21600" o:spt="202" path="m,l,21600r21600,l21600,xe">
              <v:stroke joinstyle="miter"/>
              <v:path gradientshapeok="t" o:connecttype="rect"/>
            </v:shapetype>
            <v:shape id="Cuadro de texto 2" o:spid="_x0000_s1026" type="#_x0000_t202" style="position:absolute;margin-left:90.95pt;margin-top:-45.95pt;width:402pt;height:2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" filled="f" stroked="f" strokeweight=".5pt">
              <v:textbox>
                <w:txbxContent>
                  <w:p w14:paraId="3AC04622" w14:textId="77777777" w:rsidR="00C71959" w:rsidRPr="006E078E" w:rsidRDefault="002B1FE9" w:rsidP="00C71959">
                    <w:pPr>
                      <w:rPr>
                        <w:rFonts w:ascii="Noto Sans SemiBold" w:hAnsi="Noto Sans SemiBold" w:cs="Noto Sans SemiBold"/>
                        <w:color w:val="691135"/>
                        <w:sz w:val="13"/>
                        <w:szCs w:val="13"/>
                      </w:rPr>
                    </w:pPr>
                    <w:r w:rsidRPr="006E078E">
                      <w:rPr>
                        <w:rFonts w:ascii="Noto Sans SemiBold" w:hAnsi="Noto Sans SemiBold" w:cs="Noto Sans SemiBold"/>
                        <w:color w:val="691135"/>
                        <w:sz w:val="13"/>
                        <w:szCs w:val="13"/>
                      </w:rPr>
                      <w:t xml:space="preserve">Av. Universidad No. 1200, Col. Xoco, Alcaldía Benito Juárez, C.P. 03330, Cuidad de México.   </w:t>
                    </w:r>
                  </w:p>
                  <w:p w14:paraId="7751BA19" w14:textId="6CA616A9" w:rsidR="002B1FE9" w:rsidRPr="006E078E" w:rsidRDefault="002B1FE9" w:rsidP="00C71959">
                    <w:pPr>
                      <w:rPr>
                        <w:rFonts w:ascii="Noto Sans SemiBold" w:hAnsi="Noto Sans SemiBold" w:cs="Noto Sans SemiBold"/>
                        <w:color w:val="691135"/>
                        <w:sz w:val="13"/>
                        <w:szCs w:val="13"/>
                      </w:rPr>
                    </w:pPr>
                    <w:r w:rsidRPr="006E078E">
                      <w:rPr>
                        <w:rFonts w:ascii="Noto Sans SemiBold" w:hAnsi="Noto Sans SemiBold" w:cs="Noto Sans SemiBold"/>
                        <w:color w:val="691135"/>
                        <w:sz w:val="13"/>
                        <w:szCs w:val="13"/>
                      </w:rPr>
                      <w:t>Tel: (55) 3600 2500   Ext. 00000.    www.gob.mx/sep</w:t>
                    </w:r>
                  </w:p>
                  <w:p w14:paraId="155D3D22" w14:textId="77777777" w:rsidR="002B1FE9" w:rsidRPr="00635419" w:rsidRDefault="002B1FE9" w:rsidP="00C71959">
                    <w:pPr>
                      <w:rPr>
                        <w:rFonts w:ascii="Noto Sans SemiBold" w:hAnsi="Noto Sans SemiBold" w:cs="Noto Sans SemiBold"/>
                        <w:b/>
                        <w:bCs/>
                        <w:color w:val="691135"/>
                        <w:sz w:val="13"/>
                        <w:szCs w:val="13"/>
                      </w:rPr>
                    </w:pPr>
                  </w:p>
                  <w:p w14:paraId="4CF98270" w14:textId="286D5F15" w:rsidR="00470118" w:rsidRPr="00635419" w:rsidRDefault="00470118" w:rsidP="00C71959">
                    <w:pPr>
                      <w:rPr>
                        <w:rFonts w:ascii="Noto Sans SemiBold" w:hAnsi="Noto Sans SemiBold" w:cs="Noto Sans SemiBold"/>
                        <w:b/>
                        <w:bCs/>
                        <w:color w:val="691135"/>
                        <w:sz w:val="13"/>
                        <w:szCs w:val="13"/>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2414B" w14:textId="77777777" w:rsidR="008A4B2E" w:rsidRDefault="008A4B2E" w:rsidP="007C2AD6">
      <w:r>
        <w:separator/>
      </w:r>
    </w:p>
  </w:footnote>
  <w:footnote w:type="continuationSeparator" w:id="0">
    <w:p w14:paraId="1E9A2EBA" w14:textId="77777777" w:rsidR="008A4B2E" w:rsidRDefault="008A4B2E" w:rsidP="007C2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1113A" w14:textId="3F7DFC6F" w:rsidR="00732DE3" w:rsidRDefault="00AE448E" w:rsidP="003676F1">
    <w:pPr>
      <w:pStyle w:val="Encabezado"/>
      <w:tabs>
        <w:tab w:val="clear" w:pos="8838"/>
      </w:tabs>
      <w:ind w:right="474"/>
      <w:jc w:val="right"/>
      <w:rPr>
        <w:rFonts w:ascii="Noto Sans" w:hAnsi="Noto Sans" w:cs="Noto Sans"/>
        <w:sz w:val="18"/>
        <w:szCs w:val="18"/>
      </w:rPr>
    </w:pPr>
    <w:r>
      <w:rPr>
        <w:rFonts w:ascii="Noto Sans" w:hAnsi="Noto Sans" w:cs="Noto Sans"/>
        <w:noProof/>
        <w:sz w:val="18"/>
        <w:szCs w:val="18"/>
        <w14:ligatures w14:val="standardContextual"/>
      </w:rPr>
      <w:drawing>
        <wp:anchor distT="0" distB="0" distL="114300" distR="114300" simplePos="0" relativeHeight="251663360" behindDoc="1" locked="0" layoutInCell="1" allowOverlap="1" wp14:anchorId="5F49FC9F" wp14:editId="7A999301">
          <wp:simplePos x="0" y="0"/>
          <wp:positionH relativeFrom="column">
            <wp:posOffset>-1104900</wp:posOffset>
          </wp:positionH>
          <wp:positionV relativeFrom="paragraph">
            <wp:posOffset>-457835</wp:posOffset>
          </wp:positionV>
          <wp:extent cx="7810500" cy="10107342"/>
          <wp:effectExtent l="0" t="0" r="0" b="8255"/>
          <wp:wrapNone/>
          <wp:docPr id="508875617" name="Imagen 2"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75617" name="Imagen 2"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810500" cy="10107342"/>
                  </a:xfrm>
                  <a:prstGeom prst="rect">
                    <a:avLst/>
                  </a:prstGeom>
                </pic:spPr>
              </pic:pic>
            </a:graphicData>
          </a:graphic>
          <wp14:sizeRelH relativeFrom="page">
            <wp14:pctWidth>0</wp14:pctWidth>
          </wp14:sizeRelH>
          <wp14:sizeRelV relativeFrom="page">
            <wp14:pctHeight>0</wp14:pctHeight>
          </wp14:sizeRelV>
        </wp:anchor>
      </w:drawing>
    </w:r>
  </w:p>
  <w:p w14:paraId="05A7D58D" w14:textId="55907A14" w:rsidR="00E1043F" w:rsidRDefault="003676F1" w:rsidP="003676F1">
    <w:pPr>
      <w:pStyle w:val="Encabezado"/>
      <w:tabs>
        <w:tab w:val="clear" w:pos="8838"/>
      </w:tabs>
      <w:ind w:right="474"/>
      <w:jc w:val="right"/>
      <w:rPr>
        <w:rFonts w:ascii="Noto Sans" w:hAnsi="Noto Sans" w:cs="Noto Sans"/>
        <w:sz w:val="18"/>
        <w:szCs w:val="18"/>
      </w:rPr>
    </w:pPr>
    <w:r>
      <w:rPr>
        <w:rFonts w:ascii="Noto Sans" w:hAnsi="Noto Sans" w:cs="Noto Sans"/>
        <w:sz w:val="18"/>
        <w:szCs w:val="18"/>
      </w:rPr>
      <w:t>Secretaría de Educación Pública</w:t>
    </w:r>
  </w:p>
  <w:p w14:paraId="2B764D2A" w14:textId="77777777" w:rsidR="006C61A5" w:rsidRDefault="006C61A5" w:rsidP="006C61A5">
    <w:pPr>
      <w:pStyle w:val="Encabezado"/>
      <w:tabs>
        <w:tab w:val="clear" w:pos="8838"/>
      </w:tabs>
      <w:ind w:right="474"/>
      <w:jc w:val="right"/>
      <w:rPr>
        <w:rFonts w:ascii="Noto Sans" w:hAnsi="Noto Sans" w:cs="Noto Sans"/>
        <w:sz w:val="18"/>
        <w:szCs w:val="18"/>
      </w:rPr>
    </w:pPr>
    <w:r>
      <w:rPr>
        <w:rFonts w:ascii="Noto Sans" w:hAnsi="Noto Sans" w:cs="Noto Sans"/>
        <w:sz w:val="18"/>
        <w:szCs w:val="18"/>
      </w:rPr>
      <w:t>Subsecretaría de Educación Básica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D6823"/>
    <w:multiLevelType w:val="hybridMultilevel"/>
    <w:tmpl w:val="BF1AEE42"/>
    <w:lvl w:ilvl="0" w:tplc="059A21BA">
      <w:start w:val="1"/>
      <w:numFmt w:val="bullet"/>
      <w:lvlText w:val=""/>
      <w:lvlJc w:val="left"/>
      <w:pPr>
        <w:tabs>
          <w:tab w:val="num" w:pos="720"/>
        </w:tabs>
        <w:ind w:left="720" w:hanging="360"/>
      </w:pPr>
      <w:rPr>
        <w:rFonts w:ascii="Wingdings" w:hAnsi="Wingdings" w:hint="default"/>
      </w:rPr>
    </w:lvl>
    <w:lvl w:ilvl="1" w:tplc="3E0A6E76">
      <w:start w:val="1"/>
      <w:numFmt w:val="bullet"/>
      <w:lvlText w:val=""/>
      <w:lvlJc w:val="left"/>
      <w:pPr>
        <w:tabs>
          <w:tab w:val="num" w:pos="1440"/>
        </w:tabs>
        <w:ind w:left="1440" w:hanging="360"/>
      </w:pPr>
      <w:rPr>
        <w:rFonts w:ascii="Wingdings" w:hAnsi="Wingdings" w:hint="default"/>
      </w:rPr>
    </w:lvl>
    <w:lvl w:ilvl="2" w:tplc="22D21A56">
      <w:start w:val="1"/>
      <w:numFmt w:val="bullet"/>
      <w:lvlText w:val=""/>
      <w:lvlJc w:val="left"/>
      <w:pPr>
        <w:tabs>
          <w:tab w:val="num" w:pos="2160"/>
        </w:tabs>
        <w:ind w:left="2160" w:hanging="360"/>
      </w:pPr>
      <w:rPr>
        <w:rFonts w:ascii="Wingdings" w:hAnsi="Wingdings" w:hint="default"/>
      </w:rPr>
    </w:lvl>
    <w:lvl w:ilvl="3" w:tplc="B02E5B34" w:tentative="1">
      <w:start w:val="1"/>
      <w:numFmt w:val="bullet"/>
      <w:lvlText w:val=""/>
      <w:lvlJc w:val="left"/>
      <w:pPr>
        <w:tabs>
          <w:tab w:val="num" w:pos="2880"/>
        </w:tabs>
        <w:ind w:left="2880" w:hanging="360"/>
      </w:pPr>
      <w:rPr>
        <w:rFonts w:ascii="Wingdings" w:hAnsi="Wingdings" w:hint="default"/>
      </w:rPr>
    </w:lvl>
    <w:lvl w:ilvl="4" w:tplc="487E6450" w:tentative="1">
      <w:start w:val="1"/>
      <w:numFmt w:val="bullet"/>
      <w:lvlText w:val=""/>
      <w:lvlJc w:val="left"/>
      <w:pPr>
        <w:tabs>
          <w:tab w:val="num" w:pos="3600"/>
        </w:tabs>
        <w:ind w:left="3600" w:hanging="360"/>
      </w:pPr>
      <w:rPr>
        <w:rFonts w:ascii="Wingdings" w:hAnsi="Wingdings" w:hint="default"/>
      </w:rPr>
    </w:lvl>
    <w:lvl w:ilvl="5" w:tplc="DF00837E" w:tentative="1">
      <w:start w:val="1"/>
      <w:numFmt w:val="bullet"/>
      <w:lvlText w:val=""/>
      <w:lvlJc w:val="left"/>
      <w:pPr>
        <w:tabs>
          <w:tab w:val="num" w:pos="4320"/>
        </w:tabs>
        <w:ind w:left="4320" w:hanging="360"/>
      </w:pPr>
      <w:rPr>
        <w:rFonts w:ascii="Wingdings" w:hAnsi="Wingdings" w:hint="default"/>
      </w:rPr>
    </w:lvl>
    <w:lvl w:ilvl="6" w:tplc="01440D44" w:tentative="1">
      <w:start w:val="1"/>
      <w:numFmt w:val="bullet"/>
      <w:lvlText w:val=""/>
      <w:lvlJc w:val="left"/>
      <w:pPr>
        <w:tabs>
          <w:tab w:val="num" w:pos="5040"/>
        </w:tabs>
        <w:ind w:left="5040" w:hanging="360"/>
      </w:pPr>
      <w:rPr>
        <w:rFonts w:ascii="Wingdings" w:hAnsi="Wingdings" w:hint="default"/>
      </w:rPr>
    </w:lvl>
    <w:lvl w:ilvl="7" w:tplc="4EE29BAA" w:tentative="1">
      <w:start w:val="1"/>
      <w:numFmt w:val="bullet"/>
      <w:lvlText w:val=""/>
      <w:lvlJc w:val="left"/>
      <w:pPr>
        <w:tabs>
          <w:tab w:val="num" w:pos="5760"/>
        </w:tabs>
        <w:ind w:left="5760" w:hanging="360"/>
      </w:pPr>
      <w:rPr>
        <w:rFonts w:ascii="Wingdings" w:hAnsi="Wingdings" w:hint="default"/>
      </w:rPr>
    </w:lvl>
    <w:lvl w:ilvl="8" w:tplc="6DE2148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D46AFC"/>
    <w:multiLevelType w:val="hybridMultilevel"/>
    <w:tmpl w:val="3E189B8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F9D1C42"/>
    <w:multiLevelType w:val="hybridMultilevel"/>
    <w:tmpl w:val="08FADB5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657487924">
    <w:abstractNumId w:val="2"/>
  </w:num>
  <w:num w:numId="2" w16cid:durableId="583564051">
    <w:abstractNumId w:val="1"/>
  </w:num>
  <w:num w:numId="3" w16cid:durableId="864253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AD6"/>
    <w:rsid w:val="000021E5"/>
    <w:rsid w:val="00012004"/>
    <w:rsid w:val="00051FCB"/>
    <w:rsid w:val="001110E7"/>
    <w:rsid w:val="00126419"/>
    <w:rsid w:val="001447FE"/>
    <w:rsid w:val="001824F1"/>
    <w:rsid w:val="001A3598"/>
    <w:rsid w:val="001B4F83"/>
    <w:rsid w:val="001F4A6F"/>
    <w:rsid w:val="002218FB"/>
    <w:rsid w:val="00274CF0"/>
    <w:rsid w:val="002835B9"/>
    <w:rsid w:val="002841B6"/>
    <w:rsid w:val="00291033"/>
    <w:rsid w:val="002A160E"/>
    <w:rsid w:val="002B1FE9"/>
    <w:rsid w:val="002C0D5A"/>
    <w:rsid w:val="002C751C"/>
    <w:rsid w:val="002D2EC3"/>
    <w:rsid w:val="002E48BD"/>
    <w:rsid w:val="002F2C10"/>
    <w:rsid w:val="00301066"/>
    <w:rsid w:val="00313618"/>
    <w:rsid w:val="003334DC"/>
    <w:rsid w:val="003676F1"/>
    <w:rsid w:val="003A0DF1"/>
    <w:rsid w:val="003A2FE5"/>
    <w:rsid w:val="003C69CB"/>
    <w:rsid w:val="003D6319"/>
    <w:rsid w:val="003E5417"/>
    <w:rsid w:val="00444C36"/>
    <w:rsid w:val="00470118"/>
    <w:rsid w:val="00485453"/>
    <w:rsid w:val="00486557"/>
    <w:rsid w:val="00492F7E"/>
    <w:rsid w:val="0049316A"/>
    <w:rsid w:val="004F01C2"/>
    <w:rsid w:val="00522F61"/>
    <w:rsid w:val="0054712B"/>
    <w:rsid w:val="00550431"/>
    <w:rsid w:val="005C56A7"/>
    <w:rsid w:val="005F032F"/>
    <w:rsid w:val="00604E72"/>
    <w:rsid w:val="00616591"/>
    <w:rsid w:val="00635419"/>
    <w:rsid w:val="00675925"/>
    <w:rsid w:val="00690B77"/>
    <w:rsid w:val="006A01FA"/>
    <w:rsid w:val="006A1881"/>
    <w:rsid w:val="006B17FA"/>
    <w:rsid w:val="006C61A5"/>
    <w:rsid w:val="006D63EB"/>
    <w:rsid w:val="006E078E"/>
    <w:rsid w:val="006E09AC"/>
    <w:rsid w:val="006F361B"/>
    <w:rsid w:val="006F6696"/>
    <w:rsid w:val="006F6E4A"/>
    <w:rsid w:val="006F7F7A"/>
    <w:rsid w:val="00732DE3"/>
    <w:rsid w:val="00750374"/>
    <w:rsid w:val="00774827"/>
    <w:rsid w:val="00776B1C"/>
    <w:rsid w:val="0077701A"/>
    <w:rsid w:val="00780AE7"/>
    <w:rsid w:val="007A201D"/>
    <w:rsid w:val="007C01DD"/>
    <w:rsid w:val="007C2AD6"/>
    <w:rsid w:val="007F0328"/>
    <w:rsid w:val="0081674A"/>
    <w:rsid w:val="008325DA"/>
    <w:rsid w:val="00861016"/>
    <w:rsid w:val="00884F7E"/>
    <w:rsid w:val="008979E2"/>
    <w:rsid w:val="008A4B2E"/>
    <w:rsid w:val="00916D6E"/>
    <w:rsid w:val="00953317"/>
    <w:rsid w:val="009605F1"/>
    <w:rsid w:val="00984B9D"/>
    <w:rsid w:val="00991D6F"/>
    <w:rsid w:val="009A6688"/>
    <w:rsid w:val="009F5382"/>
    <w:rsid w:val="00A124AD"/>
    <w:rsid w:val="00A435DA"/>
    <w:rsid w:val="00A71517"/>
    <w:rsid w:val="00A97E5E"/>
    <w:rsid w:val="00AA4EF3"/>
    <w:rsid w:val="00AC5936"/>
    <w:rsid w:val="00AD1C0D"/>
    <w:rsid w:val="00AE448E"/>
    <w:rsid w:val="00AE7BBE"/>
    <w:rsid w:val="00AF0D1E"/>
    <w:rsid w:val="00AF5069"/>
    <w:rsid w:val="00B464EC"/>
    <w:rsid w:val="00B620ED"/>
    <w:rsid w:val="00B653CD"/>
    <w:rsid w:val="00BD3B80"/>
    <w:rsid w:val="00BD6411"/>
    <w:rsid w:val="00C2604C"/>
    <w:rsid w:val="00C71959"/>
    <w:rsid w:val="00C869B0"/>
    <w:rsid w:val="00C86C7B"/>
    <w:rsid w:val="00C94E18"/>
    <w:rsid w:val="00D42674"/>
    <w:rsid w:val="00DE4470"/>
    <w:rsid w:val="00E1043F"/>
    <w:rsid w:val="00E27F9E"/>
    <w:rsid w:val="00EB1722"/>
    <w:rsid w:val="00EC2887"/>
    <w:rsid w:val="00EE62EB"/>
    <w:rsid w:val="00EF7B96"/>
    <w:rsid w:val="00F3168F"/>
    <w:rsid w:val="00F56D48"/>
    <w:rsid w:val="00F66586"/>
    <w:rsid w:val="00F71618"/>
    <w:rsid w:val="00F766B3"/>
    <w:rsid w:val="00F82CF1"/>
    <w:rsid w:val="00F8780A"/>
    <w:rsid w:val="00FD6054"/>
    <w:rsid w:val="00FD61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B1D6F"/>
  <w15:chartTrackingRefBased/>
  <w15:docId w15:val="{ED2F41D5-4B05-A248-9009-665C782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AD6"/>
    <w:rPr>
      <w:rFonts w:eastAsiaTheme="minorEastAsia"/>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AD6"/>
    <w:pPr>
      <w:tabs>
        <w:tab w:val="center" w:pos="4419"/>
        <w:tab w:val="right" w:pos="8838"/>
      </w:tabs>
    </w:pPr>
  </w:style>
  <w:style w:type="character" w:customStyle="1" w:styleId="EncabezadoCar">
    <w:name w:val="Encabezado Car"/>
    <w:basedOn w:val="Fuentedeprrafopredeter"/>
    <w:link w:val="Encabezado"/>
    <w:uiPriority w:val="99"/>
    <w:rsid w:val="007C2AD6"/>
    <w:rPr>
      <w:rFonts w:eastAsiaTheme="minorEastAsia"/>
      <w:kern w:val="0"/>
      <w:lang w:val="es-ES"/>
      <w14:ligatures w14:val="none"/>
    </w:rPr>
  </w:style>
  <w:style w:type="paragraph" w:styleId="Piedepgina">
    <w:name w:val="footer"/>
    <w:basedOn w:val="Normal"/>
    <w:link w:val="PiedepginaCar"/>
    <w:uiPriority w:val="99"/>
    <w:unhideWhenUsed/>
    <w:rsid w:val="007C2AD6"/>
    <w:pPr>
      <w:tabs>
        <w:tab w:val="center" w:pos="4419"/>
        <w:tab w:val="right" w:pos="8838"/>
      </w:tabs>
    </w:pPr>
  </w:style>
  <w:style w:type="character" w:customStyle="1" w:styleId="PiedepginaCar">
    <w:name w:val="Pie de página Car"/>
    <w:basedOn w:val="Fuentedeprrafopredeter"/>
    <w:link w:val="Piedepgina"/>
    <w:uiPriority w:val="99"/>
    <w:rsid w:val="007C2AD6"/>
    <w:rPr>
      <w:rFonts w:eastAsiaTheme="minorEastAsia"/>
      <w:kern w:val="0"/>
      <w:lang w:val="es-ES"/>
      <w14:ligatures w14:val="none"/>
    </w:rPr>
  </w:style>
  <w:style w:type="character" w:styleId="Hipervnculo">
    <w:name w:val="Hyperlink"/>
    <w:basedOn w:val="Fuentedeprrafopredeter"/>
    <w:uiPriority w:val="99"/>
    <w:unhideWhenUsed/>
    <w:rsid w:val="00301066"/>
    <w:rPr>
      <w:color w:val="0563C1" w:themeColor="hyperlink"/>
      <w:u w:val="single"/>
    </w:rPr>
  </w:style>
  <w:style w:type="character" w:styleId="Mencinsinresolver">
    <w:name w:val="Unresolved Mention"/>
    <w:basedOn w:val="Fuentedeprrafopredeter"/>
    <w:uiPriority w:val="99"/>
    <w:semiHidden/>
    <w:unhideWhenUsed/>
    <w:rsid w:val="00301066"/>
    <w:rPr>
      <w:color w:val="605E5C"/>
      <w:shd w:val="clear" w:color="auto" w:fill="E1DFDD"/>
    </w:rPr>
  </w:style>
  <w:style w:type="paragraph" w:styleId="Prrafodelista">
    <w:name w:val="List Paragraph"/>
    <w:basedOn w:val="Normal"/>
    <w:uiPriority w:val="34"/>
    <w:qFormat/>
    <w:rsid w:val="00675925"/>
    <w:pPr>
      <w:spacing w:after="160" w:line="259" w:lineRule="auto"/>
      <w:ind w:left="720"/>
      <w:contextualSpacing/>
    </w:pPr>
    <w:rPr>
      <w:rFonts w:eastAsiaTheme="minorHAnsi"/>
      <w:kern w:val="2"/>
      <w:sz w:val="22"/>
      <w:szCs w:val="22"/>
      <w:lang w:val="es-MX"/>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uelalibredeviolencia.sep.gob.mx/" TargetMode="External"/><Relationship Id="rId13" Type="http://schemas.openxmlformats.org/officeDocument/2006/relationships/hyperlink" Target="https://dgeiib.basica.sep.gob.mx/es/fondo-editorial/nueva-coleccion-180-titulos-20-lenguas-indigenas.ph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scuelalibredeviolencia.sep.gob.mx/" TargetMode="Externa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scuelalibredeviolencia.sep.gob.m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escuelalibredeviolencia.sep.gob.mx/"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escuelalibredeviolencia.sep.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6454</Words>
  <Characters>35499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Rocha González, Lucero del Carmen</cp:lastModifiedBy>
  <cp:revision>2</cp:revision>
  <cp:lastPrinted>2025-03-25T19:59:00Z</cp:lastPrinted>
  <dcterms:created xsi:type="dcterms:W3CDTF">2025-04-22T23:59:00Z</dcterms:created>
  <dcterms:modified xsi:type="dcterms:W3CDTF">2025-04-22T23:59:00Z</dcterms:modified>
</cp:coreProperties>
</file>