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3A6A3" w14:textId="77777777" w:rsidR="006A5506" w:rsidRPr="00E11E67" w:rsidRDefault="006A5506" w:rsidP="009B54EF">
      <w:pPr>
        <w:spacing w:before="240" w:line="276" w:lineRule="auto"/>
        <w:jc w:val="center"/>
        <w:rPr>
          <w:rFonts w:ascii="Times New Roman" w:hAnsi="Times New Roman" w:cs="Times New Roman"/>
          <w:b/>
          <w:sz w:val="24"/>
          <w:szCs w:val="24"/>
          <w:u w:val="single"/>
          <w:lang w:val="en-US"/>
        </w:rPr>
      </w:pPr>
      <w:r w:rsidRPr="00E11E67">
        <w:rPr>
          <w:rFonts w:ascii="Times New Roman" w:hAnsi="Times New Roman" w:cs="Times New Roman"/>
          <w:b/>
          <w:sz w:val="24"/>
          <w:szCs w:val="24"/>
          <w:u w:val="single"/>
          <w:lang w:val="en-US"/>
        </w:rPr>
        <w:t>ANNEX</w:t>
      </w:r>
    </w:p>
    <w:p w14:paraId="071A5100" w14:textId="589A976E" w:rsidR="00E11E67" w:rsidRPr="00E11E67" w:rsidRDefault="006A5506" w:rsidP="009B54EF">
      <w:pPr>
        <w:spacing w:before="240" w:line="276" w:lineRule="auto"/>
        <w:jc w:val="center"/>
        <w:rPr>
          <w:rFonts w:ascii="Times New Roman" w:hAnsi="Times New Roman" w:cs="Times New Roman"/>
          <w:b/>
          <w:sz w:val="24"/>
          <w:szCs w:val="24"/>
          <w:lang w:val="en-US"/>
        </w:rPr>
      </w:pPr>
      <w:r w:rsidRPr="00E11E67">
        <w:rPr>
          <w:rFonts w:ascii="Times New Roman" w:hAnsi="Times New Roman" w:cs="Times New Roman"/>
          <w:b/>
          <w:sz w:val="24"/>
          <w:szCs w:val="24"/>
          <w:lang w:val="en-US"/>
        </w:rPr>
        <w:t>BRAZIL</w:t>
      </w:r>
      <w:r w:rsidR="009B54EF">
        <w:rPr>
          <w:rFonts w:ascii="Times New Roman" w:hAnsi="Times New Roman" w:cs="Times New Roman"/>
          <w:b/>
          <w:sz w:val="24"/>
          <w:szCs w:val="24"/>
          <w:lang w:val="en-US"/>
        </w:rPr>
        <w:t xml:space="preserve">'S NATIONAL EVALUATION REPORT ON </w:t>
      </w:r>
    </w:p>
    <w:p w14:paraId="7533AFD7" w14:textId="56698409" w:rsidR="006A5506" w:rsidRPr="00E11E67" w:rsidRDefault="009B54EF" w:rsidP="009B54EF">
      <w:pPr>
        <w:spacing w:before="240" w:line="276" w:lineRule="auto"/>
        <w:jc w:val="center"/>
        <w:rPr>
          <w:rFonts w:ascii="Times New Roman" w:hAnsi="Times New Roman" w:cs="Times New Roman"/>
          <w:b/>
          <w:noProof/>
          <w:sz w:val="24"/>
          <w:szCs w:val="24"/>
          <w:lang w:val="en-US"/>
        </w:rPr>
      </w:pPr>
      <w:r>
        <w:rPr>
          <w:rFonts w:ascii="Times New Roman" w:hAnsi="Times New Roman" w:cs="Times New Roman"/>
          <w:b/>
          <w:noProof/>
          <w:sz w:val="24"/>
          <w:szCs w:val="24"/>
          <w:lang w:val="en-US"/>
        </w:rPr>
        <w:t xml:space="preserve">THE </w:t>
      </w:r>
      <w:r w:rsidR="00E11E67" w:rsidRPr="00E11E67">
        <w:rPr>
          <w:rFonts w:ascii="Times New Roman" w:hAnsi="Times New Roman" w:cs="Times New Roman"/>
          <w:b/>
          <w:noProof/>
          <w:sz w:val="24"/>
          <w:szCs w:val="24"/>
          <w:lang w:val="en-US"/>
        </w:rPr>
        <w:t>IMPLEM</w:t>
      </w:r>
      <w:r w:rsidR="00906DCF">
        <w:rPr>
          <w:rFonts w:ascii="Times New Roman" w:hAnsi="Times New Roman" w:cs="Times New Roman"/>
          <w:b/>
          <w:noProof/>
          <w:sz w:val="24"/>
          <w:szCs w:val="24"/>
          <w:lang w:val="en-US"/>
        </w:rPr>
        <w:t>E</w:t>
      </w:r>
      <w:r w:rsidR="00E11E67" w:rsidRPr="00E11E67">
        <w:rPr>
          <w:rFonts w:ascii="Times New Roman" w:hAnsi="Times New Roman" w:cs="Times New Roman"/>
          <w:b/>
          <w:noProof/>
          <w:sz w:val="24"/>
          <w:szCs w:val="24"/>
          <w:lang w:val="en-US"/>
        </w:rPr>
        <w:t>NTATION OF THE FOURTH PHASE OF THE WORLD PROGRAMME FOR HUMAN RIGHTS EDUCATION</w:t>
      </w:r>
    </w:p>
    <w:p w14:paraId="6D5E814F" w14:textId="77777777" w:rsidR="006A5506" w:rsidRPr="00E11E67" w:rsidRDefault="006A5506" w:rsidP="00E11E67">
      <w:pPr>
        <w:tabs>
          <w:tab w:val="num" w:pos="720"/>
        </w:tabs>
        <w:spacing w:before="100" w:beforeAutospacing="1" w:after="100" w:afterAutospacing="1" w:line="300" w:lineRule="atLeast"/>
        <w:ind w:left="720" w:hanging="360"/>
        <w:jc w:val="both"/>
        <w:rPr>
          <w:rFonts w:ascii="Times New Roman" w:hAnsi="Times New Roman" w:cs="Times New Roman"/>
          <w:sz w:val="24"/>
          <w:szCs w:val="24"/>
          <w:lang w:val="en-US"/>
        </w:rPr>
      </w:pPr>
    </w:p>
    <w:p w14:paraId="510BD85D" w14:textId="17C79876" w:rsidR="009B54EF" w:rsidRPr="009B54EF" w:rsidRDefault="009B54EF" w:rsidP="009B54EF">
      <w:pPr>
        <w:pStyle w:val="NormalWeb"/>
        <w:spacing w:line="300" w:lineRule="atLeast"/>
        <w:rPr>
          <w:b/>
          <w:bCs/>
          <w:color w:val="000000"/>
          <w:shd w:val="clear" w:color="auto" w:fill="FFFFFF"/>
          <w:lang w:val="en-US"/>
        </w:rPr>
      </w:pPr>
      <w:r w:rsidRPr="009B54EF">
        <w:rPr>
          <w:b/>
          <w:bCs/>
          <w:color w:val="000000"/>
          <w:shd w:val="clear" w:color="auto" w:fill="FFFFFF"/>
          <w:lang w:val="en-US"/>
        </w:rPr>
        <w:t>I</w:t>
      </w:r>
      <w:r>
        <w:rPr>
          <w:b/>
          <w:bCs/>
          <w:color w:val="000000"/>
          <w:shd w:val="clear" w:color="auto" w:fill="FFFFFF"/>
          <w:lang w:val="en-US"/>
        </w:rPr>
        <w:t xml:space="preserve"> - </w:t>
      </w:r>
      <w:r w:rsidRPr="009B54EF">
        <w:rPr>
          <w:b/>
          <w:bCs/>
          <w:color w:val="000000"/>
          <w:shd w:val="clear" w:color="auto" w:fill="FFFFFF"/>
          <w:lang w:val="en-US"/>
        </w:rPr>
        <w:t>Scope</w:t>
      </w:r>
    </w:p>
    <w:p w14:paraId="64C30A82" w14:textId="64FC785E" w:rsidR="006A5506" w:rsidRPr="006A5506" w:rsidRDefault="006A5506" w:rsidP="009B54EF">
      <w:pPr>
        <w:numPr>
          <w:ilvl w:val="0"/>
          <w:numId w:val="1"/>
        </w:numPr>
        <w:tabs>
          <w:tab w:val="clear" w:pos="720"/>
        </w:tabs>
        <w:spacing w:before="100" w:beforeAutospacing="1" w:after="100" w:afterAutospacing="1" w:line="300" w:lineRule="atLeast"/>
        <w:ind w:left="426" w:hanging="426"/>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b/>
          <w:bCs/>
          <w:sz w:val="24"/>
          <w:szCs w:val="24"/>
          <w:lang w:val="en-US" w:eastAsia="pt-BR"/>
        </w:rPr>
        <w:t>Develop/adopt Human Rights Education (HRE) and related policies and implementation measures</w:t>
      </w:r>
      <w:r w:rsidRPr="006A5506">
        <w:rPr>
          <w:rFonts w:ascii="Times New Roman" w:eastAsia="Times New Roman" w:hAnsi="Times New Roman" w:cs="Times New Roman"/>
          <w:sz w:val="24"/>
          <w:szCs w:val="24"/>
          <w:lang w:val="en-US" w:eastAsia="pt-BR"/>
        </w:rPr>
        <w:t>.</w:t>
      </w:r>
    </w:p>
    <w:p w14:paraId="2977138A" w14:textId="645B243E"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We inform that, from 2003 until early 2019, human rights education policy in Brazil was conducted by the federal government with the support of the National Committee for Human Rights Education - CNEDH, established by Ordinance No. 98, of July 9, 2003, and extinguished by Decree No. 9,759, of April 11, 2019, along with other federal public administration committees.</w:t>
      </w:r>
    </w:p>
    <w:p w14:paraId="583567B4"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From 2019 to 2023, the National Committee for Human Rights Education, responsible for the construction, elaboration, approval, and monitoring of the National Plan for Human Rights Education, had its actions interrupted. It was recreated only in 2023, through Decree No. 11,851, of December 26, which establishes the National Committee for Education and Culture in Human Rights, a consultative body aimed at advising the formulation, implementation, monitoring, and evaluation of public policies for education and culture in human rights.</w:t>
      </w:r>
    </w:p>
    <w:p w14:paraId="13D844AD"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In 2024, through Notice No. 3/2024, the Ministry of Human Rights and Citizenship - MDHC opened the selection process for entities to reactivate the National Committee for Education and Culture in Human Rights (CNECDH) for the biennium 2024-2025. Currently, the said Committee is tasked with updating the National Plan for Human Rights Education, launched in 2023. The work began on November 28, 2024, and the second meeting took place on February 17, 2025.</w:t>
      </w:r>
    </w:p>
    <w:p w14:paraId="6ACF63FB"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Brazil is a pioneer in developing policies and implementation measures related to Human Rights Education (HRE), through the National Human Rights Program (1996, 2002, and 2009), the National Plan for Human Rights Education (2003 and 2006), and the establishment of National Guidelines for Human Rights Education in formal education (2012) by the National Education Council.</w:t>
      </w:r>
    </w:p>
    <w:p w14:paraId="313B8ACC" w14:textId="00DAF3BB"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 xml:space="preserve">In the National Human Rights Program (PNDH-3), there is a specific axis on Education and Culture in Human Rights, where synergy between policies and strategies related to HRE is carried out. Among them, </w:t>
      </w:r>
      <w:r w:rsidR="00E813ED">
        <w:rPr>
          <w:rFonts w:ascii="Times New Roman" w:eastAsia="Times New Roman" w:hAnsi="Times New Roman" w:cs="Times New Roman"/>
          <w:sz w:val="24"/>
          <w:szCs w:val="24"/>
          <w:lang w:val="en-US" w:eastAsia="pt-BR"/>
        </w:rPr>
        <w:t>it is worth mentioning</w:t>
      </w:r>
      <w:r w:rsidRPr="006A5506">
        <w:rPr>
          <w:rFonts w:ascii="Times New Roman" w:eastAsia="Times New Roman" w:hAnsi="Times New Roman" w:cs="Times New Roman"/>
          <w:sz w:val="24"/>
          <w:szCs w:val="24"/>
          <w:lang w:val="en-US" w:eastAsia="pt-BR"/>
        </w:rPr>
        <w:t xml:space="preserve"> the example of Guideline 19 - Strengthening the principles of democracy and Human Rights in basic education systems, higher education institutions, and training institutions - Strategic Objective I:</w:t>
      </w:r>
    </w:p>
    <w:p w14:paraId="54487C44"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lastRenderedPageBreak/>
        <w:t>Inclusion of the theme of Education and Culture in Human Rights in basic education schools and training institutions - programmatic action c) Include, in educational programs, the right to the environment as a Human Right.</w:t>
      </w:r>
    </w:p>
    <w:p w14:paraId="7BD41377"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From 2023 onwards, relevant measures and policies for the realization of human rights education in Brazil were resumed:</w:t>
      </w:r>
    </w:p>
    <w:p w14:paraId="11FBC979" w14:textId="0C1F35A2"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 xml:space="preserve">a) The creation of the Special Advisory for Education and Culture in Human Rights, Environment, and Companies (AEDH) within the Ministry of Human Rights and Citizenship (MDHC) as a direct </w:t>
      </w:r>
      <w:r w:rsidR="00E813ED">
        <w:rPr>
          <w:rFonts w:ascii="Times New Roman" w:eastAsia="Times New Roman" w:hAnsi="Times New Roman" w:cs="Times New Roman"/>
          <w:sz w:val="24"/>
          <w:szCs w:val="24"/>
          <w:lang w:val="en-US" w:eastAsia="pt-BR"/>
        </w:rPr>
        <w:t>advisory</w:t>
      </w:r>
      <w:r w:rsidRPr="006A5506">
        <w:rPr>
          <w:rFonts w:ascii="Times New Roman" w:eastAsia="Times New Roman" w:hAnsi="Times New Roman" w:cs="Times New Roman"/>
          <w:sz w:val="24"/>
          <w:szCs w:val="24"/>
          <w:lang w:val="en-US" w:eastAsia="pt-BR"/>
        </w:rPr>
        <w:t xml:space="preserve"> body to the Minister of State for Human Rights and Citizenship. The area has, among its competencies, the implementation of the National Plan for Human Rights Education, coordinating and articulating, at the national level, the implementation of plans, programs, projects, and partnerships related to human rights education, and supporting actions related to the dialogue of human rights and environmental agendas, in coordination with other public or private bodies or entities;</w:t>
      </w:r>
    </w:p>
    <w:p w14:paraId="036CE993"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b) The recreation of the Secretariat for Continuing Education, Literacy for Youth and Adults, Diversity, and Inclusion in the Ministry of Education;</w:t>
      </w:r>
    </w:p>
    <w:p w14:paraId="04494BE0"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c) The recreation of the National Committee for Education and Culture in Human Rights, through Decree No. 11,851, of December 26, 2023;</w:t>
      </w:r>
    </w:p>
    <w:p w14:paraId="0AF08EF2"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d) The realization of consultations by the Ministry of Education, in partnership with UNESCO, for the evaluation and implementation of the National Guidelines for HRE in basic and higher education;</w:t>
      </w:r>
    </w:p>
    <w:p w14:paraId="49A880BA"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e) The beginning of the process of reviewing the National Plan for Human Rights Education, whose first version is from 2003;</w:t>
      </w:r>
    </w:p>
    <w:p w14:paraId="605F3CDB"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f) Resumption of the Human Rights Cinema Exhibition throughout the national territory;</w:t>
      </w:r>
    </w:p>
    <w:p w14:paraId="40AE7CDE"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g) The establishment of the Working Group to Combat Hate Speech and Extremism, in 2023, with the preparation of a report containing diagnosis and action recommendations.</w:t>
      </w:r>
    </w:p>
    <w:p w14:paraId="2C9B6643" w14:textId="28B7DB8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Within the Ministry of Education, since 2004, Human Rights Education actions have been developed by the Secretariat for Continuing Education, Literacy for Youth and Adults, Diversity, and Inclusion</w:t>
      </w:r>
      <w:r w:rsidR="00E813ED">
        <w:rPr>
          <w:rFonts w:ascii="Times New Roman" w:eastAsia="Times New Roman" w:hAnsi="Times New Roman" w:cs="Times New Roman"/>
          <w:sz w:val="24"/>
          <w:szCs w:val="24"/>
          <w:lang w:val="en-US" w:eastAsia="pt-BR"/>
        </w:rPr>
        <w:t xml:space="preserve"> (SECADI)</w:t>
      </w:r>
      <w:r w:rsidRPr="006A5506">
        <w:rPr>
          <w:rFonts w:ascii="Times New Roman" w:eastAsia="Times New Roman" w:hAnsi="Times New Roman" w:cs="Times New Roman"/>
          <w:sz w:val="24"/>
          <w:szCs w:val="24"/>
          <w:lang w:val="en-US" w:eastAsia="pt-BR"/>
        </w:rPr>
        <w:t>, which was extinguished by Decree No. 9,465, of January 2, 2019, and recreated by Decree No. 11,342/2023, with the following competencies provided in Art. 33:</w:t>
      </w:r>
    </w:p>
    <w:p w14:paraId="60AED182"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SECADI, through the General Coordination of Educational Policies in Human Rights, seeks to develop, in partnership with federal educational institutions, training actions aimed at education professionals for the implementation of human rights education actions in educational institutions.</w:t>
      </w:r>
    </w:p>
    <w:p w14:paraId="2DA858C5"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lastRenderedPageBreak/>
        <w:t>Based on the understanding that education is a fundamental right that opens the possibility of access to all other rights, the Human Rights Education actions developed by CGDH/SECADI/MEC have the following specific objectives:</w:t>
      </w:r>
    </w:p>
    <w:p w14:paraId="2E6250AA" w14:textId="77777777" w:rsidR="006A5506" w:rsidRPr="006A5506" w:rsidRDefault="006A5506" w:rsidP="00E11E67">
      <w:pPr>
        <w:numPr>
          <w:ilvl w:val="0"/>
          <w:numId w:val="2"/>
        </w:num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Expand the dissemination and implementation of Human Rights Education in educational institutions;</w:t>
      </w:r>
    </w:p>
    <w:p w14:paraId="0CBD4E19" w14:textId="77777777" w:rsidR="006A5506" w:rsidRPr="006A5506" w:rsidRDefault="006A5506" w:rsidP="00E11E67">
      <w:pPr>
        <w:numPr>
          <w:ilvl w:val="0"/>
          <w:numId w:val="2"/>
        </w:num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Promote actions, projects, and programs for the promotion of human rights, expansion of effectively participatory democratic processes, respect, and appreciation of diversity in educational institutions;</w:t>
      </w:r>
    </w:p>
    <w:p w14:paraId="5569BB5F" w14:textId="7BCA909E" w:rsidR="006A5506" w:rsidRPr="006A5506" w:rsidRDefault="006A5506" w:rsidP="00E11E67">
      <w:pPr>
        <w:numPr>
          <w:ilvl w:val="0"/>
          <w:numId w:val="2"/>
        </w:num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Disseminate plans, legislation, and relevant guidelines aimed at guaranteeing the rights of children and adolescents, girls, women, LGBTQIA+, refugees, and stateless persons; and raise awareness among education professionals regarding the role of educational institutions within the System for Guaranteeing the Rights of Children and Adolescents and the Social Protection Network, especially concerning the strengthening of intersectoral</w:t>
      </w:r>
      <w:r w:rsidR="00E813ED">
        <w:rPr>
          <w:rFonts w:ascii="Times New Roman" w:eastAsia="Times New Roman" w:hAnsi="Times New Roman" w:cs="Times New Roman"/>
          <w:sz w:val="24"/>
          <w:szCs w:val="24"/>
          <w:lang w:val="en-US" w:eastAsia="pt-BR"/>
        </w:rPr>
        <w:t xml:space="preserve"> collaboration</w:t>
      </w:r>
      <w:r w:rsidRPr="006A5506">
        <w:rPr>
          <w:rFonts w:ascii="Times New Roman" w:eastAsia="Times New Roman" w:hAnsi="Times New Roman" w:cs="Times New Roman"/>
          <w:sz w:val="24"/>
          <w:szCs w:val="24"/>
          <w:lang w:val="en-US" w:eastAsia="pt-BR"/>
        </w:rPr>
        <w:t>, prevention, and guidelines on referrals of rights violations to the protection network.</w:t>
      </w:r>
    </w:p>
    <w:p w14:paraId="5445FE62" w14:textId="77777777" w:rsidR="006A5506" w:rsidRPr="006A5506" w:rsidRDefault="006A5506" w:rsidP="009B54EF">
      <w:pPr>
        <w:numPr>
          <w:ilvl w:val="0"/>
          <w:numId w:val="1"/>
        </w:numPr>
        <w:tabs>
          <w:tab w:val="clear" w:pos="720"/>
        </w:tabs>
        <w:spacing w:before="100" w:beforeAutospacing="1" w:after="100" w:afterAutospacing="1" w:line="300" w:lineRule="atLeast"/>
        <w:ind w:left="426" w:hanging="426"/>
        <w:jc w:val="both"/>
        <w:rPr>
          <w:rFonts w:ascii="Times New Roman" w:eastAsia="Times New Roman" w:hAnsi="Times New Roman" w:cs="Times New Roman"/>
          <w:b/>
          <w:bCs/>
          <w:sz w:val="24"/>
          <w:szCs w:val="24"/>
          <w:lang w:val="en-US" w:eastAsia="pt-BR"/>
        </w:rPr>
      </w:pPr>
      <w:r w:rsidRPr="006A5506">
        <w:rPr>
          <w:rFonts w:ascii="Times New Roman" w:eastAsia="Times New Roman" w:hAnsi="Times New Roman" w:cs="Times New Roman"/>
          <w:b/>
          <w:bCs/>
          <w:sz w:val="24"/>
          <w:szCs w:val="24"/>
          <w:lang w:val="en-US" w:eastAsia="pt-BR"/>
        </w:rPr>
        <w:t>Develop/support the development/use of appropriate HRE content, methodologies, and materials.</w:t>
      </w:r>
    </w:p>
    <w:p w14:paraId="1C3CCB66"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Starting in 2023, courses were offered and resumed in the National Program for Continuing Education in Human Rights (PNEC-DH) on sensitive topics for youth, such as:</w:t>
      </w:r>
    </w:p>
    <w:p w14:paraId="17071420" w14:textId="77777777" w:rsidR="00E813ED"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 xml:space="preserve">a) Promotion and Defense of LGBTQIA+ Rights, suspended in 2019 and relaunched in 2023; </w:t>
      </w:r>
    </w:p>
    <w:p w14:paraId="4783C0FB" w14:textId="77777777" w:rsidR="00E813ED"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 xml:space="preserve">b) Women's Leadership: steps for women's political action in spaces of power and decision - launched in 2024; </w:t>
      </w:r>
    </w:p>
    <w:p w14:paraId="281BB1E0" w14:textId="77777777" w:rsidR="00E813ED"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 xml:space="preserve">c) Women in the World of Work - launched in 2024; </w:t>
      </w:r>
    </w:p>
    <w:p w14:paraId="5AEBE26C" w14:textId="77777777" w:rsidR="00E813ED"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 xml:space="preserve">d) Selection, hiring, and inclusion of people with disabilities in the world of work - launched in 2024; and </w:t>
      </w:r>
    </w:p>
    <w:p w14:paraId="6353BAB4" w14:textId="4983A8B4"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e) The contemporary concept of disability and the biopsychosocial model of disability - launched in 2024.</w:t>
      </w:r>
    </w:p>
    <w:p w14:paraId="1E2E8381" w14:textId="3A1E10E5"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In August 2024, the II Seminar on Human Rights Education and Democracy was held, with the theme Digital Citizenship. The content was broadcast live</w:t>
      </w:r>
      <w:r w:rsidR="00E813ED">
        <w:rPr>
          <w:rFonts w:ascii="Times New Roman" w:eastAsia="Times New Roman" w:hAnsi="Times New Roman" w:cs="Times New Roman"/>
          <w:sz w:val="24"/>
          <w:szCs w:val="24"/>
          <w:lang w:val="en-US" w:eastAsia="pt-BR"/>
        </w:rPr>
        <w:t xml:space="preserve"> and can be accessed on the following websites: </w:t>
      </w:r>
      <w:r w:rsidRPr="006A5506">
        <w:rPr>
          <w:rFonts w:ascii="Times New Roman" w:eastAsia="Times New Roman" w:hAnsi="Times New Roman" w:cs="Times New Roman"/>
          <w:sz w:val="24"/>
          <w:szCs w:val="24"/>
          <w:lang w:val="en-US" w:eastAsia="pt-BR"/>
        </w:rPr>
        <w:t>https://www.youtube.com/watch?v=rUzJyOm-yDQ and https://www.youtube.com/watch?v=z5PMghsc-H8.</w:t>
      </w:r>
    </w:p>
    <w:p w14:paraId="7977A5DB" w14:textId="73131E7F"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The Seminar on Human Rights Education and Democracy is one of the actions of the Ministry of Human Rights and Citizenship to promote listening</w:t>
      </w:r>
      <w:r w:rsidR="00346CE8">
        <w:rPr>
          <w:rFonts w:ascii="Times New Roman" w:eastAsia="Times New Roman" w:hAnsi="Times New Roman" w:cs="Times New Roman"/>
          <w:sz w:val="24"/>
          <w:szCs w:val="24"/>
          <w:lang w:val="en-US" w:eastAsia="pt-BR"/>
        </w:rPr>
        <w:t xml:space="preserve"> sessions</w:t>
      </w:r>
      <w:r w:rsidRPr="006A5506">
        <w:rPr>
          <w:rFonts w:ascii="Times New Roman" w:eastAsia="Times New Roman" w:hAnsi="Times New Roman" w:cs="Times New Roman"/>
          <w:sz w:val="24"/>
          <w:szCs w:val="24"/>
          <w:lang w:val="en-US" w:eastAsia="pt-BR"/>
        </w:rPr>
        <w:t xml:space="preserve">, debate, and propositional reflection on current topics and public policies involving education and culture in human rights in our country, promoting meetings and reflection between </w:t>
      </w:r>
      <w:r w:rsidRPr="006A5506">
        <w:rPr>
          <w:rFonts w:ascii="Times New Roman" w:eastAsia="Times New Roman" w:hAnsi="Times New Roman" w:cs="Times New Roman"/>
          <w:sz w:val="24"/>
          <w:szCs w:val="24"/>
          <w:lang w:val="en-US" w:eastAsia="pt-BR"/>
        </w:rPr>
        <w:lastRenderedPageBreak/>
        <w:t>governmental and non-governmental entities. It brought together actors from various fields, aggregating views from government specialists, researchers, teachers, civil society organizations, social movements, communicators, and content creators in the proposed discussions. This edition addressed the relationship between digital citizenship and Human Rights in the school environment and beyond, the use of screens by children and adolescents, the role of content creators in defending human rights, and shared responsibilities for building a culture of peace in the digital environment.</w:t>
      </w:r>
    </w:p>
    <w:p w14:paraId="7E22B306" w14:textId="541D2308"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The use of screens by children and adolescents was also the subject of a Working Group, established by the Secretariat of Social Communication of the Presidency of the Republic in 2023 with the participation of AEDH. The work of this group resulted in the publication Children, Adolescents, and Screens: Guide on the Use of Digital Devices</w:t>
      </w:r>
      <w:r w:rsidR="00346CE8">
        <w:rPr>
          <w:rFonts w:ascii="Times New Roman" w:eastAsia="Times New Roman" w:hAnsi="Times New Roman" w:cs="Times New Roman"/>
          <w:sz w:val="24"/>
          <w:szCs w:val="24"/>
          <w:lang w:val="en-US" w:eastAsia="pt-BR"/>
        </w:rPr>
        <w:t>,</w:t>
      </w:r>
      <w:r w:rsidRPr="006A5506">
        <w:rPr>
          <w:rFonts w:ascii="Times New Roman" w:eastAsia="Times New Roman" w:hAnsi="Times New Roman" w:cs="Times New Roman"/>
          <w:sz w:val="24"/>
          <w:szCs w:val="24"/>
          <w:lang w:val="en-US" w:eastAsia="pt-BR"/>
        </w:rPr>
        <w:t xml:space="preserve"> available at https://www.gov.br/secom/pt-br/assuntos/uso-de-telas-por-criancas-e-adolescentes/guia,</w:t>
      </w:r>
      <w:r w:rsidR="00346CE8">
        <w:rPr>
          <w:rFonts w:ascii="Times New Roman" w:eastAsia="Times New Roman" w:hAnsi="Times New Roman" w:cs="Times New Roman"/>
          <w:sz w:val="24"/>
          <w:szCs w:val="24"/>
          <w:lang w:val="en-US" w:eastAsia="pt-BR"/>
        </w:rPr>
        <w:t xml:space="preserve"> which was</w:t>
      </w:r>
      <w:r w:rsidRPr="006A5506">
        <w:rPr>
          <w:rFonts w:ascii="Times New Roman" w:eastAsia="Times New Roman" w:hAnsi="Times New Roman" w:cs="Times New Roman"/>
          <w:sz w:val="24"/>
          <w:szCs w:val="24"/>
          <w:lang w:val="en-US" w:eastAsia="pt-BR"/>
        </w:rPr>
        <w:t xml:space="preserve"> launched in March 2025, after work carried out in 2023 and 2024. Some of the topics addressed are the functioning of business models of digital platforms, the risks to which children and adolescents are exposed and possible mechanisms to mitigate these risks, the use of screens and devices in the school context, electronic games, and recommendations for the comprehensive protection of children and adolescents in the digital environment. It is worth noting that the methodology adopted in the preparation of the guide included the active participation of young people and adolescents, ensuring the </w:t>
      </w:r>
      <w:r w:rsidR="00346CE8">
        <w:rPr>
          <w:rFonts w:ascii="Times New Roman" w:eastAsia="Times New Roman" w:hAnsi="Times New Roman" w:cs="Times New Roman"/>
          <w:sz w:val="24"/>
          <w:szCs w:val="24"/>
          <w:lang w:val="en-US" w:eastAsia="pt-BR"/>
        </w:rPr>
        <w:t>active role</w:t>
      </w:r>
      <w:r w:rsidRPr="006A5506">
        <w:rPr>
          <w:rFonts w:ascii="Times New Roman" w:eastAsia="Times New Roman" w:hAnsi="Times New Roman" w:cs="Times New Roman"/>
          <w:sz w:val="24"/>
          <w:szCs w:val="24"/>
          <w:lang w:val="en-US" w:eastAsia="pt-BR"/>
        </w:rPr>
        <w:t xml:space="preserve"> of these rights holders in the process. From the Guide, brochures, campaigns, and training processes will be produced for children, youth, parents, educators, and other specific audiences.</w:t>
      </w:r>
    </w:p>
    <w:p w14:paraId="143ADFC0"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Finally, we mention the Human Rights Cinema Exhibition, an initiative created in 2006 and also resumed in 2023 to promote access to culture and expand the debate on fundamental rights through audiovisual means, organizing film screenings and training workshops. The last two editions, in 2023 and 2024, were planned by MDHC and carried out by the Federal Fluminense University. The Exhibition targets diverse audiences, including young people and adolescents, to contribute to the construction of a democratic and participatory society. Access to Brazilian cinematographic productions that address human rights strengthens critical reflection, stimulates dialogue, and encourages citizen participation. The efforts of the Ministry of Human Rights and Citizenship through the Exhibition aim to expand the understanding and defense of human rights on a national scale, both for the direct audience of screenings and workshops and for society in general.</w:t>
      </w:r>
    </w:p>
    <w:p w14:paraId="1A93D381" w14:textId="0D0B69E7" w:rsidR="006A5506" w:rsidRPr="00E11E67"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In 2024, the Exhibition achieved significant results, consolidating its relevance and impact. In total, the workshops had 526 participants, while the screenings attracted 11,422 spectators. These numbers demonstrate the initiative's reach and its potential for social transformation. These results reflect MDHC's commitment to democratizing access to cinema and culture, as well as fostering debates on human rights culture throughout the country.</w:t>
      </w:r>
    </w:p>
    <w:p w14:paraId="1ADA822D"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Within the Ministry of Education, from 2023 to 2024, the following actions were carried out aimed at training education professionals:</w:t>
      </w:r>
    </w:p>
    <w:p w14:paraId="4BC0CA18" w14:textId="77777777" w:rsidR="006A5506" w:rsidRPr="006A5506" w:rsidRDefault="006A5506" w:rsidP="00E11E67">
      <w:pPr>
        <w:numPr>
          <w:ilvl w:val="0"/>
          <w:numId w:val="4"/>
        </w:num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lastRenderedPageBreak/>
        <w:t>In 2024, a partnership was established with the Organization of Ibero-American States for Education, Science, and Culture - OEI and the Federal University of Uberlândia for the preparation and publication of six thematic notebooks on the role of schools in promoting and defending rights: 1) The role of schools in addressing sexual violence against children and adolescents; 2) The role of schools in addressing child labor; 3) The role of schools in the System for Guaranteeing the Rights of Children and Adolescents; 4) The role of schools in addressing misogyny and other violations of the rights of girls and women; 5) The role of schools in addressing violations of the rights of LGBTQIA+ individuals; and 6) The role of schools in addressing violations of the rights of refugees and stateless persons. The first notebook is already available on the platform here, and the others are under technical review for release in 2025.</w:t>
      </w:r>
    </w:p>
    <w:p w14:paraId="3E15DB14" w14:textId="77777777" w:rsidR="006A5506" w:rsidRPr="006A5506" w:rsidRDefault="006A5506" w:rsidP="00E11E67">
      <w:pPr>
        <w:numPr>
          <w:ilvl w:val="0"/>
          <w:numId w:val="4"/>
        </w:num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In 2023, a partnership was initiated with the Federal University of Uberlândia and the National Forum of Pro-Rectors and Extension of Brazilian Public Higher Education Institutions - Forproex, for the implementation of a 180-hour distance improvement course via the Moodle Platform, aimed at 5,412 education professionals working in Basic Education in the 27 Federation Units. The course was conducted in 2024 and covered topics related to Human Rights Education and Diversity, including issues related to the rights of children and adolescents and the strengthening of the Protective State of Rights.</w:t>
      </w:r>
    </w:p>
    <w:p w14:paraId="6782585E" w14:textId="7CD5DA38" w:rsidR="006A5506" w:rsidRPr="006A5506" w:rsidRDefault="006A5506" w:rsidP="00E11E67">
      <w:pPr>
        <w:numPr>
          <w:ilvl w:val="0"/>
          <w:numId w:val="4"/>
        </w:num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In 2024, a partnership was established with the Brazilian Network for Human Rights Education - ReBEDH to promote the implementation of extension and improvement courses, both in-person and semi-presential, for the training of 200 education professionals in 14 federal educational institutions: UFBA, UFES, IFG, UFMA, UFPE, UFFS-PR, UFPE, UFPI, UFRJ, UFRN, UFFS-SC, UNIFESP, IFRS, UFPB. All these courses have modules focused on promoting and defending the rights of children and adolescents.</w:t>
      </w:r>
    </w:p>
    <w:p w14:paraId="0E8500A4" w14:textId="77777777" w:rsidR="006A5506" w:rsidRPr="006A5506" w:rsidRDefault="006A5506" w:rsidP="00E11E67">
      <w:pPr>
        <w:numPr>
          <w:ilvl w:val="0"/>
          <w:numId w:val="4"/>
        </w:num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In addition to training courses aimed at basic education teachers, in 2024 the General Coordination of Educational Policies in Human Rights developed a project in partnership with the Federal University of Goiás (UFG) for the production of 54 podcasts, 54 videocasts, and 540 "pills" of 1 to 3 minutes in the area of human rights education. The productions are scheduled to be released in 2025.</w:t>
      </w:r>
    </w:p>
    <w:p w14:paraId="17114A5D" w14:textId="77777777" w:rsidR="006A5506" w:rsidRPr="006A5506" w:rsidRDefault="006A5506" w:rsidP="009B54EF">
      <w:pPr>
        <w:numPr>
          <w:ilvl w:val="0"/>
          <w:numId w:val="1"/>
        </w:numPr>
        <w:tabs>
          <w:tab w:val="clear" w:pos="720"/>
        </w:tabs>
        <w:spacing w:before="100" w:beforeAutospacing="1" w:after="100" w:afterAutospacing="1" w:line="300" w:lineRule="atLeast"/>
        <w:ind w:left="426" w:hanging="426"/>
        <w:jc w:val="both"/>
        <w:rPr>
          <w:rFonts w:ascii="Times New Roman" w:eastAsia="Times New Roman" w:hAnsi="Times New Roman" w:cs="Times New Roman"/>
          <w:b/>
          <w:bCs/>
          <w:sz w:val="24"/>
          <w:szCs w:val="24"/>
          <w:lang w:val="en-US" w:eastAsia="pt-BR"/>
        </w:rPr>
      </w:pPr>
      <w:r w:rsidRPr="006A5506">
        <w:rPr>
          <w:rFonts w:ascii="Times New Roman" w:eastAsia="Times New Roman" w:hAnsi="Times New Roman" w:cs="Times New Roman"/>
          <w:b/>
          <w:bCs/>
          <w:sz w:val="24"/>
          <w:szCs w:val="24"/>
          <w:lang w:val="en-US" w:eastAsia="pt-BR"/>
        </w:rPr>
        <w:t>Ensure/support human rights training for youth educators.</w:t>
      </w:r>
    </w:p>
    <w:p w14:paraId="0D5E7F58"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The National Program for Continuing Education in Human Rights (PNEC-DH) has had good results in terms of enrollment numbers with a young audience and offers a variety of courses that address sensitive topics for socially vulnerable groups.</w:t>
      </w:r>
    </w:p>
    <w:p w14:paraId="7D48173A"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 xml:space="preserve">The training stage for educators of the Human Rights Cinema Exhibition for the use of audiovisuals in human rights education in the 2023 and 2024 editions is also an example of support for the training of young educators for the promotion and defense of human rights. It is worth noting that the training was offered in the form of workshops, using audiovisual language as a tool to promote the fundamental principles of human rights. </w:t>
      </w:r>
      <w:r w:rsidRPr="006A5506">
        <w:rPr>
          <w:rFonts w:ascii="Times New Roman" w:eastAsia="Times New Roman" w:hAnsi="Times New Roman" w:cs="Times New Roman"/>
          <w:sz w:val="24"/>
          <w:szCs w:val="24"/>
          <w:lang w:val="en-US" w:eastAsia="pt-BR"/>
        </w:rPr>
        <w:lastRenderedPageBreak/>
        <w:t>This approach contributes to the formation of human rights multipliers, promoting critical reflections and revealing perspectives on the subject.</w:t>
      </w:r>
    </w:p>
    <w:p w14:paraId="51AFF81E" w14:textId="77777777" w:rsidR="006A5506" w:rsidRPr="006A5506" w:rsidRDefault="006A5506" w:rsidP="009B54EF">
      <w:pPr>
        <w:numPr>
          <w:ilvl w:val="0"/>
          <w:numId w:val="1"/>
        </w:numPr>
        <w:tabs>
          <w:tab w:val="clear" w:pos="720"/>
        </w:tabs>
        <w:spacing w:before="100" w:beforeAutospacing="1" w:after="100" w:afterAutospacing="1" w:line="300" w:lineRule="atLeast"/>
        <w:ind w:left="426" w:hanging="426"/>
        <w:jc w:val="both"/>
        <w:rPr>
          <w:rFonts w:ascii="Times New Roman" w:eastAsia="Times New Roman" w:hAnsi="Times New Roman" w:cs="Times New Roman"/>
          <w:b/>
          <w:bCs/>
          <w:sz w:val="24"/>
          <w:szCs w:val="24"/>
          <w:lang w:val="en-US" w:eastAsia="pt-BR"/>
        </w:rPr>
      </w:pPr>
      <w:r w:rsidRPr="006A5506">
        <w:rPr>
          <w:rFonts w:ascii="Times New Roman" w:eastAsia="Times New Roman" w:hAnsi="Times New Roman" w:cs="Times New Roman"/>
          <w:b/>
          <w:bCs/>
          <w:sz w:val="24"/>
          <w:szCs w:val="24"/>
          <w:lang w:val="en-US" w:eastAsia="pt-BR"/>
        </w:rPr>
        <w:t>Promote favorable environments.</w:t>
      </w:r>
    </w:p>
    <w:p w14:paraId="66CE6E0A" w14:textId="0492EDA9"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 xml:space="preserve">In 2023, the Working Group to Combat Hate Speech of the Ministry of Human Rights and Citizenship (MDHC) presented, in its final report, a diagnosis of the main manifestations of hate and extremism to be addressed, including extremist acts against schools, educational institutions, and teachers, and violence resulting from hate speech, misogyny, and violence against women, racism against </w:t>
      </w:r>
      <w:r w:rsidR="00346CE8">
        <w:rPr>
          <w:rFonts w:ascii="Times New Roman" w:eastAsia="Times New Roman" w:hAnsi="Times New Roman" w:cs="Times New Roman"/>
          <w:sz w:val="24"/>
          <w:szCs w:val="24"/>
          <w:lang w:val="en-US" w:eastAsia="pt-BR"/>
        </w:rPr>
        <w:t>Afro-descendants</w:t>
      </w:r>
      <w:r w:rsidRPr="006A5506">
        <w:rPr>
          <w:rFonts w:ascii="Times New Roman" w:eastAsia="Times New Roman" w:hAnsi="Times New Roman" w:cs="Times New Roman"/>
          <w:sz w:val="24"/>
          <w:szCs w:val="24"/>
          <w:lang w:val="en-US" w:eastAsia="pt-BR"/>
        </w:rPr>
        <w:t xml:space="preserve"> and indigenous people, hate and violence against the LGBTQIA+ population, and the identification of young people as the generational group most vulnerable to the contagion of extremism, along with elderly people. The report also recognized the intimidation of education professionals as part of the growth of hate speech in the country. Human Rights Education is one of the fields of recommended action in the report, which suggests expanding actions beyond formal education spaces to groups and civil society organizations.</w:t>
      </w:r>
    </w:p>
    <w:p w14:paraId="186058FE"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The work of preparing the guide Children, Adolescents, and Screens: Guide on the Use of Digital Devices presents content for the protection and defense of this audience in the digital environment.</w:t>
      </w:r>
    </w:p>
    <w:p w14:paraId="4342B634" w14:textId="77777777" w:rsidR="006A5506" w:rsidRPr="006A5506" w:rsidRDefault="006A5506" w:rsidP="009B54EF">
      <w:pPr>
        <w:pStyle w:val="NormalWeb"/>
        <w:spacing w:line="300" w:lineRule="atLeast"/>
        <w:rPr>
          <w:b/>
          <w:bCs/>
          <w:color w:val="000000"/>
          <w:shd w:val="clear" w:color="auto" w:fill="FFFFFF"/>
          <w:lang w:val="en-US"/>
        </w:rPr>
      </w:pPr>
      <w:r w:rsidRPr="006A5506">
        <w:rPr>
          <w:b/>
          <w:bCs/>
          <w:color w:val="000000"/>
          <w:shd w:val="clear" w:color="auto" w:fill="FFFFFF"/>
          <w:lang w:val="en-US"/>
        </w:rPr>
        <w:t>II. Additional information for inclusion in national evaluation reports. National evaluation reports can also include general developments in HRE and other related information, including:</w:t>
      </w:r>
    </w:p>
    <w:p w14:paraId="7154CFFD" w14:textId="77777777" w:rsidR="006A5506" w:rsidRPr="006A5506" w:rsidRDefault="006A5506" w:rsidP="009B54EF">
      <w:pPr>
        <w:numPr>
          <w:ilvl w:val="0"/>
          <w:numId w:val="17"/>
        </w:numPr>
        <w:tabs>
          <w:tab w:val="clear" w:pos="720"/>
        </w:tabs>
        <w:spacing w:before="100" w:beforeAutospacing="1" w:after="100" w:afterAutospacing="1" w:line="300" w:lineRule="atLeast"/>
        <w:ind w:left="284"/>
        <w:jc w:val="both"/>
        <w:rPr>
          <w:rFonts w:ascii="Times New Roman" w:eastAsia="Times New Roman" w:hAnsi="Times New Roman" w:cs="Times New Roman"/>
          <w:b/>
          <w:bCs/>
          <w:sz w:val="24"/>
          <w:szCs w:val="24"/>
          <w:lang w:val="en-US" w:eastAsia="pt-BR"/>
        </w:rPr>
      </w:pPr>
      <w:r w:rsidRPr="006A5506">
        <w:rPr>
          <w:rFonts w:ascii="Times New Roman" w:eastAsia="Times New Roman" w:hAnsi="Times New Roman" w:cs="Times New Roman"/>
          <w:b/>
          <w:bCs/>
          <w:sz w:val="24"/>
          <w:szCs w:val="24"/>
          <w:lang w:val="en-US" w:eastAsia="pt-BR"/>
        </w:rPr>
        <w:t>The adoption of national policies and/or strategic documents, such as a National Action Plan for HRE or related laws:</w:t>
      </w:r>
    </w:p>
    <w:p w14:paraId="5DBC1AB7" w14:textId="77777777" w:rsidR="006A5506" w:rsidRPr="006A5506" w:rsidRDefault="006A5506" w:rsidP="00E11E67">
      <w:pPr>
        <w:numPr>
          <w:ilvl w:val="0"/>
          <w:numId w:val="8"/>
        </w:num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National Human Rights Program (1996, 2002, and 2009);</w:t>
      </w:r>
    </w:p>
    <w:p w14:paraId="1459B76C" w14:textId="77777777" w:rsidR="006A5506" w:rsidRPr="006A5506" w:rsidRDefault="006A5506" w:rsidP="00E11E67">
      <w:pPr>
        <w:numPr>
          <w:ilvl w:val="0"/>
          <w:numId w:val="8"/>
        </w:num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National Plan for Human Rights Education (2003 and 2006);</w:t>
      </w:r>
    </w:p>
    <w:p w14:paraId="50DE7503" w14:textId="77777777" w:rsidR="006A5506" w:rsidRPr="006A5506" w:rsidRDefault="006A5506" w:rsidP="00E11E67">
      <w:pPr>
        <w:numPr>
          <w:ilvl w:val="0"/>
          <w:numId w:val="8"/>
        </w:num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National Guidelines for Human Rights Education (2012).</w:t>
      </w:r>
    </w:p>
    <w:p w14:paraId="013BD893" w14:textId="77777777" w:rsidR="006A5506" w:rsidRPr="006A5506" w:rsidRDefault="006A5506" w:rsidP="009B54EF">
      <w:pPr>
        <w:numPr>
          <w:ilvl w:val="0"/>
          <w:numId w:val="17"/>
        </w:numPr>
        <w:tabs>
          <w:tab w:val="clear" w:pos="720"/>
        </w:tabs>
        <w:spacing w:before="100" w:beforeAutospacing="1" w:after="100" w:afterAutospacing="1" w:line="300" w:lineRule="atLeast"/>
        <w:ind w:left="284"/>
        <w:jc w:val="both"/>
        <w:rPr>
          <w:rFonts w:ascii="Times New Roman" w:eastAsia="Times New Roman" w:hAnsi="Times New Roman" w:cs="Times New Roman"/>
          <w:b/>
          <w:bCs/>
          <w:sz w:val="24"/>
          <w:szCs w:val="24"/>
          <w:lang w:val="en-US" w:eastAsia="pt-BR"/>
        </w:rPr>
      </w:pPr>
      <w:r w:rsidRPr="006A5506">
        <w:rPr>
          <w:rFonts w:ascii="Times New Roman" w:eastAsia="Times New Roman" w:hAnsi="Times New Roman" w:cs="Times New Roman"/>
          <w:b/>
          <w:bCs/>
          <w:sz w:val="24"/>
          <w:szCs w:val="24"/>
          <w:lang w:val="en-US" w:eastAsia="pt-BR"/>
        </w:rPr>
        <w:t>Any progress or initiative in the area of HRE in the country, which does not have a specific focus on youth or addresses other specific audiences:</w:t>
      </w:r>
    </w:p>
    <w:p w14:paraId="6FF022C4"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Maintenance of the National Program for Continuing Education in Human Rights (PNEC-DH), which showed significant growth in enrollment numbers from 2023 compared to previous periods and increased course offerings. PNEC-DH is intended for the entire society, and its courses are designed for broad audiences, including public servants, managers, human rights counselors, and people interested in the various topics addressed.</w:t>
      </w:r>
    </w:p>
    <w:p w14:paraId="6A72AF37" w14:textId="77777777" w:rsidR="006A5506" w:rsidRPr="006A5506" w:rsidRDefault="006A5506" w:rsidP="009B54EF">
      <w:pPr>
        <w:numPr>
          <w:ilvl w:val="0"/>
          <w:numId w:val="17"/>
        </w:numPr>
        <w:tabs>
          <w:tab w:val="clear" w:pos="720"/>
        </w:tabs>
        <w:spacing w:before="100" w:beforeAutospacing="1" w:after="100" w:afterAutospacing="1" w:line="300" w:lineRule="atLeast"/>
        <w:ind w:left="284"/>
        <w:jc w:val="both"/>
        <w:rPr>
          <w:rFonts w:ascii="Times New Roman" w:eastAsia="Times New Roman" w:hAnsi="Times New Roman" w:cs="Times New Roman"/>
          <w:b/>
          <w:bCs/>
          <w:sz w:val="24"/>
          <w:szCs w:val="24"/>
          <w:lang w:val="en-US" w:eastAsia="pt-BR"/>
        </w:rPr>
      </w:pPr>
      <w:r w:rsidRPr="006A5506">
        <w:rPr>
          <w:rFonts w:ascii="Times New Roman" w:eastAsia="Times New Roman" w:hAnsi="Times New Roman" w:cs="Times New Roman"/>
          <w:b/>
          <w:bCs/>
          <w:sz w:val="24"/>
          <w:szCs w:val="24"/>
          <w:lang w:val="en-US" w:eastAsia="pt-BR"/>
        </w:rPr>
        <w:t>Main challenges for advancing HRE, both in areas covered by the action plan for the fourth phase and beyond, and opportunities to overcome them:</w:t>
      </w:r>
    </w:p>
    <w:p w14:paraId="4CB8B9A8" w14:textId="3E946DD4"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The</w:t>
      </w:r>
      <w:r w:rsidR="009A141A">
        <w:rPr>
          <w:rFonts w:ascii="Times New Roman" w:eastAsia="Times New Roman" w:hAnsi="Times New Roman" w:cs="Times New Roman"/>
          <w:sz w:val="24"/>
          <w:szCs w:val="24"/>
          <w:lang w:val="en-US" w:eastAsia="pt-BR"/>
        </w:rPr>
        <w:t xml:space="preserve"> first part of the</w:t>
      </w:r>
      <w:r w:rsidRPr="006A5506">
        <w:rPr>
          <w:rFonts w:ascii="Times New Roman" w:eastAsia="Times New Roman" w:hAnsi="Times New Roman" w:cs="Times New Roman"/>
          <w:sz w:val="24"/>
          <w:szCs w:val="24"/>
          <w:lang w:val="en-US" w:eastAsia="pt-BR"/>
        </w:rPr>
        <w:t xml:space="preserve"> period 2020-2024 in Brazil demonstrated how the rise </w:t>
      </w:r>
      <w:r w:rsidR="009A141A">
        <w:rPr>
          <w:rFonts w:ascii="Times New Roman" w:eastAsia="Times New Roman" w:hAnsi="Times New Roman" w:cs="Times New Roman"/>
          <w:sz w:val="24"/>
          <w:szCs w:val="24"/>
          <w:lang w:val="en-US" w:eastAsia="pt-BR"/>
        </w:rPr>
        <w:t xml:space="preserve">to power </w:t>
      </w:r>
      <w:r w:rsidRPr="006A5506">
        <w:rPr>
          <w:rFonts w:ascii="Times New Roman" w:eastAsia="Times New Roman" w:hAnsi="Times New Roman" w:cs="Times New Roman"/>
          <w:sz w:val="24"/>
          <w:szCs w:val="24"/>
          <w:lang w:val="en-US" w:eastAsia="pt-BR"/>
        </w:rPr>
        <w:t xml:space="preserve">of a specific government can represent a setback in HRE policies, in the context of general </w:t>
      </w:r>
      <w:r w:rsidRPr="006A5506">
        <w:rPr>
          <w:rFonts w:ascii="Times New Roman" w:eastAsia="Times New Roman" w:hAnsi="Times New Roman" w:cs="Times New Roman"/>
          <w:sz w:val="24"/>
          <w:szCs w:val="24"/>
          <w:lang w:val="en-US" w:eastAsia="pt-BR"/>
        </w:rPr>
        <w:lastRenderedPageBreak/>
        <w:t>setbacks in the Human Rights agenda, demobilizing practices in favor of promoting, protecting, and defending human rights and attacking social attitudes and practices that express the culture of human rights. Strengthening democracy and social participation, as well as resorting to popular education methodologies and the use of art, such as cinema, are ways to overcome the consequences of such a period and rebuild and strengthen the HRE agenda.</w:t>
      </w:r>
    </w:p>
    <w:p w14:paraId="65B7325A"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Another challenge for advancing HRE is the construction of safe digital environments for youth, as discussed by the Screens Working Group and measures presented in the guide produced in this collegiate instance.</w:t>
      </w:r>
    </w:p>
    <w:p w14:paraId="40139C1C"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Finally, an analysis by the Institute of Applied Economic Research (IPEA), a public foundation that provides technical support to the Brazilian government for the formulation of public policies, regarding Sustainable Development Goal (SDG) 4 (Ensure inclusive and equitable quality education and promote lifelong learning opportunities for all), detailing the content of target 4.7 (regarding ensuring that all learners acquire the knowledge and skills needed to promote sustainable development, including, among others, through education for sustainable development and sustainable lifestyles, human rights, gender equality, promotion of a culture of peace and non-violence, global citizenship, and appreciation of cultural diversity and the contribution of culture to sustainable development), identified that this target is not provided for in the National Education Plan but can be met by inserting the content into the National Common Curricular Base. IPEA also identifies teacher training and teaching materials as allies in achieving education for understanding the right to the environment as a Human Right.</w:t>
      </w:r>
    </w:p>
    <w:p w14:paraId="4B58A9D9" w14:textId="5E59732B" w:rsidR="006A5506" w:rsidRPr="006A5506" w:rsidRDefault="006A5506" w:rsidP="009B54EF">
      <w:pPr>
        <w:numPr>
          <w:ilvl w:val="0"/>
          <w:numId w:val="17"/>
        </w:numPr>
        <w:tabs>
          <w:tab w:val="clear" w:pos="720"/>
        </w:tabs>
        <w:spacing w:before="100" w:beforeAutospacing="1" w:after="100" w:afterAutospacing="1" w:line="300" w:lineRule="atLeast"/>
        <w:ind w:left="284"/>
        <w:jc w:val="both"/>
        <w:rPr>
          <w:rFonts w:ascii="Times New Roman" w:eastAsia="Times New Roman" w:hAnsi="Times New Roman" w:cs="Times New Roman"/>
          <w:b/>
          <w:bCs/>
          <w:sz w:val="24"/>
          <w:szCs w:val="24"/>
          <w:lang w:val="en-US" w:eastAsia="pt-BR"/>
        </w:rPr>
      </w:pPr>
      <w:r w:rsidRPr="006A5506">
        <w:rPr>
          <w:rFonts w:ascii="Times New Roman" w:eastAsia="Times New Roman" w:hAnsi="Times New Roman" w:cs="Times New Roman"/>
          <w:b/>
          <w:bCs/>
          <w:sz w:val="24"/>
          <w:szCs w:val="24"/>
          <w:lang w:val="en-US" w:eastAsia="pt-BR"/>
        </w:rPr>
        <w:t>Efforts undertaken to disseminate information about the World Program</w:t>
      </w:r>
      <w:r w:rsidR="009A141A">
        <w:rPr>
          <w:rFonts w:ascii="Times New Roman" w:eastAsia="Times New Roman" w:hAnsi="Times New Roman" w:cs="Times New Roman"/>
          <w:b/>
          <w:bCs/>
          <w:sz w:val="24"/>
          <w:szCs w:val="24"/>
          <w:lang w:val="en-US" w:eastAsia="pt-BR"/>
        </w:rPr>
        <w:t>me</w:t>
      </w:r>
      <w:r w:rsidRPr="006A5506">
        <w:rPr>
          <w:rFonts w:ascii="Times New Roman" w:eastAsia="Times New Roman" w:hAnsi="Times New Roman" w:cs="Times New Roman"/>
          <w:b/>
          <w:bCs/>
          <w:sz w:val="24"/>
          <w:szCs w:val="24"/>
          <w:lang w:val="en-US" w:eastAsia="pt-BR"/>
        </w:rPr>
        <w:t xml:space="preserve"> in the country:</w:t>
      </w:r>
    </w:p>
    <w:p w14:paraId="2378D535" w14:textId="6AEBC89D" w:rsidR="006A5506" w:rsidRPr="00E11E67"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sidRPr="006A5506">
        <w:rPr>
          <w:rFonts w:ascii="Times New Roman" w:eastAsia="Times New Roman" w:hAnsi="Times New Roman" w:cs="Times New Roman"/>
          <w:sz w:val="24"/>
          <w:szCs w:val="24"/>
          <w:lang w:val="en-US" w:eastAsia="pt-BR"/>
        </w:rPr>
        <w:t>Resumption of dialogue with civil society through the recreation of the National Committee for Education and Culture in Human Rights (Decree No. 11,851, of December 26, 2023) and the annual holding of the Seminar on Human Rights Education and Democracy.</w:t>
      </w:r>
    </w:p>
    <w:p w14:paraId="695BB794" w14:textId="77777777" w:rsidR="006A5506" w:rsidRPr="006A5506" w:rsidRDefault="006A5506" w:rsidP="009B54EF">
      <w:pPr>
        <w:numPr>
          <w:ilvl w:val="0"/>
          <w:numId w:val="17"/>
        </w:numPr>
        <w:tabs>
          <w:tab w:val="clear" w:pos="720"/>
        </w:tabs>
        <w:spacing w:before="100" w:beforeAutospacing="1" w:after="100" w:afterAutospacing="1" w:line="300" w:lineRule="atLeast"/>
        <w:ind w:left="284"/>
        <w:jc w:val="both"/>
        <w:rPr>
          <w:rFonts w:ascii="Times New Roman" w:eastAsia="Times New Roman" w:hAnsi="Times New Roman" w:cs="Times New Roman"/>
          <w:b/>
          <w:bCs/>
          <w:sz w:val="24"/>
          <w:szCs w:val="24"/>
          <w:lang w:val="en-US" w:eastAsia="pt-BR"/>
        </w:rPr>
      </w:pPr>
      <w:r w:rsidRPr="006A5506">
        <w:rPr>
          <w:rFonts w:ascii="Times New Roman" w:eastAsia="Times New Roman" w:hAnsi="Times New Roman" w:cs="Times New Roman"/>
          <w:b/>
          <w:bCs/>
          <w:sz w:val="24"/>
          <w:szCs w:val="24"/>
          <w:lang w:val="en-US" w:eastAsia="pt-BR"/>
        </w:rPr>
        <w:t>Any relevant supplementary documentation, including existing information reported to United Nations human rights bodies and mechanisms or other intergovernmental organizations, which can be attached to the report:</w:t>
      </w:r>
    </w:p>
    <w:p w14:paraId="7E9E884C" w14:textId="3C1CAB3E" w:rsidR="006A5506" w:rsidRPr="006A5506" w:rsidRDefault="009A141A"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Pr>
          <w:rFonts w:ascii="Times New Roman" w:eastAsia="Times New Roman" w:hAnsi="Times New Roman" w:cs="Times New Roman"/>
          <w:sz w:val="24"/>
          <w:szCs w:val="24"/>
          <w:lang w:val="en-US" w:eastAsia="pt-BR"/>
        </w:rPr>
        <w:t xml:space="preserve">- </w:t>
      </w:r>
      <w:r w:rsidR="006A5506" w:rsidRPr="006A5506">
        <w:rPr>
          <w:rFonts w:ascii="Times New Roman" w:eastAsia="Times New Roman" w:hAnsi="Times New Roman" w:cs="Times New Roman"/>
          <w:sz w:val="24"/>
          <w:szCs w:val="24"/>
          <w:lang w:val="en-US" w:eastAsia="pt-BR"/>
        </w:rPr>
        <w:t>National Human Rights Program - PNDH-3:</w:t>
      </w:r>
    </w:p>
    <w:p w14:paraId="22DFBC27" w14:textId="15A1BCD1"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hyperlink r:id="rId5" w:history="1">
        <w:r w:rsidRPr="006A5506">
          <w:rPr>
            <w:rFonts w:ascii="Times New Roman" w:eastAsia="Times New Roman" w:hAnsi="Times New Roman" w:cs="Times New Roman"/>
            <w:color w:val="464FEB"/>
            <w:sz w:val="24"/>
            <w:szCs w:val="24"/>
            <w:lang w:val="en-US" w:eastAsia="pt-BR"/>
          </w:rPr>
          <w:t>https://www.planalto.gov.br/ccivil</w:t>
        </w:r>
        <w:r w:rsidRPr="006A5506">
          <w:rPr>
            <w:rFonts w:ascii="Times New Roman" w:eastAsia="Times New Roman" w:hAnsi="Times New Roman" w:cs="Times New Roman"/>
            <w:i/>
            <w:iCs/>
            <w:color w:val="464FEB"/>
            <w:sz w:val="24"/>
            <w:szCs w:val="24"/>
            <w:lang w:val="en-US" w:eastAsia="pt-BR"/>
          </w:rPr>
          <w:t>03/</w:t>
        </w:r>
        <w:r w:rsidRPr="006A5506">
          <w:rPr>
            <w:rFonts w:ascii="Times New Roman" w:eastAsia="Times New Roman" w:hAnsi="Times New Roman" w:cs="Times New Roman"/>
            <w:color w:val="464FEB"/>
            <w:sz w:val="24"/>
            <w:szCs w:val="24"/>
            <w:lang w:val="en-US" w:eastAsia="pt-BR"/>
          </w:rPr>
          <w:t>ato2007-2010/2009/decreto/d7037.htm</w:t>
        </w:r>
      </w:hyperlink>
      <w:r w:rsidRPr="006A5506">
        <w:rPr>
          <w:rFonts w:ascii="Times New Roman" w:eastAsia="Times New Roman" w:hAnsi="Times New Roman" w:cs="Times New Roman"/>
          <w:sz w:val="24"/>
          <w:szCs w:val="24"/>
          <w:lang w:val="en-US" w:eastAsia="pt-BR"/>
        </w:rPr>
        <w:t xml:space="preserve"> </w:t>
      </w:r>
    </w:p>
    <w:p w14:paraId="7C41F769" w14:textId="2D3398FA" w:rsidR="006A5506" w:rsidRPr="006A5506" w:rsidRDefault="009A141A"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Pr>
          <w:rFonts w:ascii="Times New Roman" w:eastAsia="Times New Roman" w:hAnsi="Times New Roman" w:cs="Times New Roman"/>
          <w:sz w:val="24"/>
          <w:szCs w:val="24"/>
          <w:lang w:val="en-US" w:eastAsia="pt-BR"/>
        </w:rPr>
        <w:t xml:space="preserve">- </w:t>
      </w:r>
      <w:r w:rsidR="006A5506" w:rsidRPr="006A5506">
        <w:rPr>
          <w:rFonts w:ascii="Times New Roman" w:eastAsia="Times New Roman" w:hAnsi="Times New Roman" w:cs="Times New Roman"/>
          <w:sz w:val="24"/>
          <w:szCs w:val="24"/>
          <w:lang w:val="en-US" w:eastAsia="pt-BR"/>
        </w:rPr>
        <w:t>National Plan for Human Rights Education:</w:t>
      </w:r>
    </w:p>
    <w:p w14:paraId="09BD6FC8" w14:textId="78D566C1"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hyperlink r:id="rId6" w:history="1">
        <w:r w:rsidRPr="006A5506">
          <w:rPr>
            <w:rFonts w:ascii="Times New Roman" w:eastAsia="Times New Roman" w:hAnsi="Times New Roman" w:cs="Times New Roman"/>
            <w:color w:val="464FEB"/>
            <w:sz w:val="24"/>
            <w:szCs w:val="24"/>
            <w:lang w:val="en-US" w:eastAsia="pt-BR"/>
          </w:rPr>
          <w:t>https://www.gov.br/mdh/pt-br/navegue-por-temas/educacao-em-direitos-humanos/plano-nacional-de-educacao-em-direitos-humanos</w:t>
        </w:r>
      </w:hyperlink>
      <w:r w:rsidRPr="006A5506">
        <w:rPr>
          <w:rFonts w:ascii="Times New Roman" w:eastAsia="Times New Roman" w:hAnsi="Times New Roman" w:cs="Times New Roman"/>
          <w:sz w:val="24"/>
          <w:szCs w:val="24"/>
          <w:lang w:val="en-US" w:eastAsia="pt-BR"/>
        </w:rPr>
        <w:t xml:space="preserve"> </w:t>
      </w:r>
    </w:p>
    <w:p w14:paraId="43761037" w14:textId="6DAEF39A" w:rsidR="006A5506" w:rsidRPr="006A5506" w:rsidRDefault="009A141A"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Pr>
          <w:rFonts w:ascii="Times New Roman" w:eastAsia="Times New Roman" w:hAnsi="Times New Roman" w:cs="Times New Roman"/>
          <w:sz w:val="24"/>
          <w:szCs w:val="24"/>
          <w:lang w:val="en-US" w:eastAsia="pt-BR"/>
        </w:rPr>
        <w:t xml:space="preserve">- </w:t>
      </w:r>
      <w:r w:rsidR="006A5506" w:rsidRPr="006A5506">
        <w:rPr>
          <w:rFonts w:ascii="Times New Roman" w:eastAsia="Times New Roman" w:hAnsi="Times New Roman" w:cs="Times New Roman"/>
          <w:sz w:val="24"/>
          <w:szCs w:val="24"/>
          <w:lang w:val="en-US" w:eastAsia="pt-BR"/>
        </w:rPr>
        <w:t>National Guidelines for Human Rights Education:</w:t>
      </w:r>
    </w:p>
    <w:p w14:paraId="2358EF8A" w14:textId="2DD3E93C"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hyperlink r:id="rId7" w:history="1">
        <w:r w:rsidRPr="006A5506">
          <w:rPr>
            <w:rFonts w:ascii="Times New Roman" w:eastAsia="Times New Roman" w:hAnsi="Times New Roman" w:cs="Times New Roman"/>
            <w:color w:val="464FEB"/>
            <w:sz w:val="24"/>
            <w:szCs w:val="24"/>
            <w:lang w:val="en-US" w:eastAsia="pt-BR"/>
          </w:rPr>
          <w:t>https://www.gov.br/mdh/pt-br/navegue-por-temas/educacao-em-direitos-humanos/diretrizes-nacionais-para-a-educacao-em-direitos-humanos</w:t>
        </w:r>
      </w:hyperlink>
      <w:r w:rsidRPr="006A5506">
        <w:rPr>
          <w:rFonts w:ascii="Times New Roman" w:eastAsia="Times New Roman" w:hAnsi="Times New Roman" w:cs="Times New Roman"/>
          <w:sz w:val="24"/>
          <w:szCs w:val="24"/>
          <w:lang w:val="en-US" w:eastAsia="pt-BR"/>
        </w:rPr>
        <w:t xml:space="preserve"> </w:t>
      </w:r>
    </w:p>
    <w:p w14:paraId="25EA47A4" w14:textId="66E9928D" w:rsidR="006A5506" w:rsidRPr="006A5506" w:rsidRDefault="009A141A"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Pr>
          <w:rFonts w:ascii="Times New Roman" w:eastAsia="Times New Roman" w:hAnsi="Times New Roman" w:cs="Times New Roman"/>
          <w:sz w:val="24"/>
          <w:szCs w:val="24"/>
          <w:lang w:val="en-US" w:eastAsia="pt-BR"/>
        </w:rPr>
        <w:t xml:space="preserve">- </w:t>
      </w:r>
      <w:r w:rsidR="006A5506" w:rsidRPr="006A5506">
        <w:rPr>
          <w:rFonts w:ascii="Times New Roman" w:eastAsia="Times New Roman" w:hAnsi="Times New Roman" w:cs="Times New Roman"/>
          <w:sz w:val="24"/>
          <w:szCs w:val="24"/>
          <w:lang w:val="en-US" w:eastAsia="pt-BR"/>
        </w:rPr>
        <w:t>Report of recommendations for addressing hate speech and extremism in Brazil:</w:t>
      </w:r>
    </w:p>
    <w:p w14:paraId="27CB357F" w14:textId="35A764A9"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hyperlink r:id="rId8" w:history="1">
        <w:r w:rsidRPr="006A5506">
          <w:rPr>
            <w:rFonts w:ascii="Times New Roman" w:eastAsia="Times New Roman" w:hAnsi="Times New Roman" w:cs="Times New Roman"/>
            <w:color w:val="464FEB"/>
            <w:sz w:val="24"/>
            <w:szCs w:val="24"/>
            <w:lang w:val="en-US" w:eastAsia="pt-BR"/>
          </w:rPr>
          <w:t>https://www.gov.br/mdh/pt-br/assuntos/noticias/2023/julho/mdhc-entrega-relatorio-com-propostas-para-enfrentar-o-discurso-de-odio-e-o-extremismo-no-brasil/RelatrioGTdioeExtremismosDigital_30.06.23.pdf</w:t>
        </w:r>
      </w:hyperlink>
      <w:r w:rsidRPr="006A5506">
        <w:rPr>
          <w:rFonts w:ascii="Times New Roman" w:eastAsia="Times New Roman" w:hAnsi="Times New Roman" w:cs="Times New Roman"/>
          <w:sz w:val="24"/>
          <w:szCs w:val="24"/>
          <w:lang w:val="en-US" w:eastAsia="pt-BR"/>
        </w:rPr>
        <w:t xml:space="preserve"> </w:t>
      </w:r>
    </w:p>
    <w:p w14:paraId="39D01796" w14:textId="2ED3FD1B" w:rsidR="006A5506" w:rsidRPr="006A5506" w:rsidRDefault="009A141A"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r>
        <w:rPr>
          <w:rFonts w:ascii="Times New Roman" w:eastAsia="Times New Roman" w:hAnsi="Times New Roman" w:cs="Times New Roman"/>
          <w:sz w:val="24"/>
          <w:szCs w:val="24"/>
          <w:lang w:val="en-US" w:eastAsia="pt-BR"/>
        </w:rPr>
        <w:t xml:space="preserve">- </w:t>
      </w:r>
      <w:r w:rsidR="006A5506" w:rsidRPr="006A5506">
        <w:rPr>
          <w:rFonts w:ascii="Times New Roman" w:eastAsia="Times New Roman" w:hAnsi="Times New Roman" w:cs="Times New Roman"/>
          <w:sz w:val="24"/>
          <w:szCs w:val="24"/>
          <w:lang w:val="en-US" w:eastAsia="pt-BR"/>
        </w:rPr>
        <w:t>Children, Adolescents, and Screens: Guide on the Use of Digital Devices:</w:t>
      </w:r>
    </w:p>
    <w:p w14:paraId="7F25B625" w14:textId="71CD7445"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hyperlink r:id="rId9" w:history="1">
        <w:r w:rsidRPr="006A5506">
          <w:rPr>
            <w:rFonts w:ascii="Times New Roman" w:eastAsia="Times New Roman" w:hAnsi="Times New Roman" w:cs="Times New Roman"/>
            <w:color w:val="464FEB"/>
            <w:sz w:val="24"/>
            <w:szCs w:val="24"/>
            <w:lang w:val="en-US" w:eastAsia="pt-BR"/>
          </w:rPr>
          <w:t>https://www.gov.br/secom/pt-br/assuntos/uso-de-telas-por-criancas-e-adolescentes/guia</w:t>
        </w:r>
      </w:hyperlink>
      <w:r w:rsidRPr="006A5506">
        <w:rPr>
          <w:rFonts w:ascii="Times New Roman" w:eastAsia="Times New Roman" w:hAnsi="Times New Roman" w:cs="Times New Roman"/>
          <w:sz w:val="24"/>
          <w:szCs w:val="24"/>
          <w:lang w:val="en-US" w:eastAsia="pt-BR"/>
        </w:rPr>
        <w:t xml:space="preserve"> </w:t>
      </w:r>
    </w:p>
    <w:p w14:paraId="64C9B5C8" w14:textId="77777777" w:rsidR="006A5506" w:rsidRPr="006A5506" w:rsidRDefault="006A5506" w:rsidP="009B54EF">
      <w:pPr>
        <w:numPr>
          <w:ilvl w:val="0"/>
          <w:numId w:val="17"/>
        </w:numPr>
        <w:tabs>
          <w:tab w:val="clear" w:pos="720"/>
        </w:tabs>
        <w:spacing w:before="100" w:beforeAutospacing="1" w:after="100" w:afterAutospacing="1" w:line="300" w:lineRule="atLeast"/>
        <w:ind w:left="284"/>
        <w:jc w:val="both"/>
        <w:rPr>
          <w:rFonts w:ascii="Times New Roman" w:eastAsia="Times New Roman" w:hAnsi="Times New Roman" w:cs="Times New Roman"/>
          <w:b/>
          <w:bCs/>
          <w:sz w:val="24"/>
          <w:szCs w:val="24"/>
          <w:lang w:val="en-US" w:eastAsia="pt-BR"/>
        </w:rPr>
      </w:pPr>
      <w:r w:rsidRPr="006A5506">
        <w:rPr>
          <w:rFonts w:ascii="Times New Roman" w:eastAsia="Times New Roman" w:hAnsi="Times New Roman" w:cs="Times New Roman"/>
          <w:b/>
          <w:bCs/>
          <w:sz w:val="24"/>
          <w:szCs w:val="24"/>
          <w:lang w:val="en-US" w:eastAsia="pt-BR"/>
        </w:rPr>
        <w:t>Information about the institution/department responsible for preparing the report, including contact details:</w:t>
      </w:r>
    </w:p>
    <w:p w14:paraId="7AC6C1F8" w14:textId="77777777" w:rsidR="009A141A" w:rsidRPr="009A141A" w:rsidRDefault="006A5506" w:rsidP="009A141A">
      <w:pPr>
        <w:pStyle w:val="SemEspaamento"/>
        <w:rPr>
          <w:rFonts w:ascii="Times New Roman" w:hAnsi="Times New Roman" w:cs="Times New Roman"/>
          <w:sz w:val="24"/>
          <w:szCs w:val="24"/>
          <w:lang w:val="en-US" w:eastAsia="pt-BR"/>
        </w:rPr>
      </w:pPr>
      <w:r w:rsidRPr="009A141A">
        <w:rPr>
          <w:rFonts w:ascii="Times New Roman" w:hAnsi="Times New Roman" w:cs="Times New Roman"/>
          <w:sz w:val="24"/>
          <w:szCs w:val="24"/>
          <w:lang w:val="en-US" w:eastAsia="pt-BR"/>
        </w:rPr>
        <w:t xml:space="preserve">Special Advisory for Education and Culture in Human Rights, Environment, and Companies </w:t>
      </w:r>
    </w:p>
    <w:p w14:paraId="2371C058" w14:textId="77777777" w:rsidR="009A141A" w:rsidRPr="009A141A" w:rsidRDefault="009A141A" w:rsidP="009A141A">
      <w:pPr>
        <w:pStyle w:val="SemEspaamento"/>
        <w:rPr>
          <w:rFonts w:ascii="Times New Roman" w:hAnsi="Times New Roman" w:cs="Times New Roman"/>
          <w:sz w:val="24"/>
          <w:szCs w:val="24"/>
          <w:lang w:val="en-US" w:eastAsia="pt-BR"/>
        </w:rPr>
      </w:pPr>
      <w:r w:rsidRPr="009A141A">
        <w:rPr>
          <w:rFonts w:ascii="Times New Roman" w:hAnsi="Times New Roman" w:cs="Times New Roman"/>
          <w:sz w:val="24"/>
          <w:szCs w:val="24"/>
          <w:lang w:val="en-US" w:eastAsia="pt-BR"/>
        </w:rPr>
        <w:t xml:space="preserve">Ms. </w:t>
      </w:r>
      <w:r w:rsidR="006A5506" w:rsidRPr="009A141A">
        <w:rPr>
          <w:rFonts w:ascii="Times New Roman" w:hAnsi="Times New Roman" w:cs="Times New Roman"/>
          <w:sz w:val="24"/>
          <w:szCs w:val="24"/>
          <w:lang w:val="en-US" w:eastAsia="pt-BR"/>
        </w:rPr>
        <w:t xml:space="preserve">Wilma de Nazaré Baía Coelho </w:t>
      </w:r>
    </w:p>
    <w:p w14:paraId="786D24DD" w14:textId="77777777" w:rsidR="009A141A" w:rsidRPr="009A141A" w:rsidRDefault="006A5506" w:rsidP="009A141A">
      <w:pPr>
        <w:pStyle w:val="SemEspaamento"/>
        <w:rPr>
          <w:rFonts w:ascii="Times New Roman" w:hAnsi="Times New Roman" w:cs="Times New Roman"/>
          <w:sz w:val="24"/>
          <w:szCs w:val="24"/>
          <w:lang w:val="en-US" w:eastAsia="pt-BR"/>
        </w:rPr>
      </w:pPr>
      <w:r w:rsidRPr="009A141A">
        <w:rPr>
          <w:rFonts w:ascii="Times New Roman" w:hAnsi="Times New Roman" w:cs="Times New Roman"/>
          <w:sz w:val="24"/>
          <w:szCs w:val="24"/>
          <w:lang w:val="en-US" w:eastAsia="pt-BR"/>
        </w:rPr>
        <w:t xml:space="preserve">Head of Special Advisory </w:t>
      </w:r>
    </w:p>
    <w:p w14:paraId="294F9BBD" w14:textId="5F772256" w:rsidR="006A5506" w:rsidRPr="009A141A" w:rsidRDefault="006A5506" w:rsidP="009A141A">
      <w:pPr>
        <w:pStyle w:val="SemEspaamento"/>
        <w:rPr>
          <w:rFonts w:ascii="Times New Roman" w:hAnsi="Times New Roman" w:cs="Times New Roman"/>
          <w:sz w:val="24"/>
          <w:szCs w:val="24"/>
          <w:lang w:val="en-US" w:eastAsia="pt-BR"/>
        </w:rPr>
      </w:pPr>
      <w:r w:rsidRPr="009A141A">
        <w:rPr>
          <w:rFonts w:ascii="Times New Roman" w:hAnsi="Times New Roman" w:cs="Times New Roman"/>
          <w:sz w:val="24"/>
          <w:szCs w:val="24"/>
          <w:lang w:val="en-US" w:eastAsia="pt-BR"/>
        </w:rPr>
        <w:t xml:space="preserve">aedh@mdh.gov.br </w:t>
      </w:r>
    </w:p>
    <w:p w14:paraId="5E6921C2"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p>
    <w:p w14:paraId="75A78767" w14:textId="77777777" w:rsidR="006A5506" w:rsidRPr="006A5506" w:rsidRDefault="006A5506" w:rsidP="00E11E67">
      <w:pPr>
        <w:spacing w:before="100" w:beforeAutospacing="1" w:after="100" w:afterAutospacing="1" w:line="300" w:lineRule="atLeast"/>
        <w:jc w:val="both"/>
        <w:rPr>
          <w:rFonts w:ascii="Times New Roman" w:eastAsia="Times New Roman" w:hAnsi="Times New Roman" w:cs="Times New Roman"/>
          <w:sz w:val="24"/>
          <w:szCs w:val="24"/>
          <w:lang w:val="en-US" w:eastAsia="pt-BR"/>
        </w:rPr>
      </w:pPr>
    </w:p>
    <w:p w14:paraId="4F1B1310" w14:textId="77777777" w:rsidR="006A5506" w:rsidRPr="00E11E67" w:rsidRDefault="006A5506" w:rsidP="00E11E67">
      <w:pPr>
        <w:jc w:val="both"/>
        <w:rPr>
          <w:rFonts w:ascii="Times New Roman" w:hAnsi="Times New Roman" w:cs="Times New Roman"/>
          <w:sz w:val="24"/>
          <w:szCs w:val="24"/>
          <w:lang w:val="en-US"/>
        </w:rPr>
      </w:pPr>
    </w:p>
    <w:sectPr w:rsidR="006A5506" w:rsidRPr="00E11E6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4078D"/>
    <w:multiLevelType w:val="multilevel"/>
    <w:tmpl w:val="33F0C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10715E"/>
    <w:multiLevelType w:val="multilevel"/>
    <w:tmpl w:val="D7649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121B05"/>
    <w:multiLevelType w:val="multilevel"/>
    <w:tmpl w:val="692EA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B161E3"/>
    <w:multiLevelType w:val="multilevel"/>
    <w:tmpl w:val="33F0C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124BC1"/>
    <w:multiLevelType w:val="multilevel"/>
    <w:tmpl w:val="C3DC5A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3C331B"/>
    <w:multiLevelType w:val="multilevel"/>
    <w:tmpl w:val="7D605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911683"/>
    <w:multiLevelType w:val="multilevel"/>
    <w:tmpl w:val="97C287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D0792B"/>
    <w:multiLevelType w:val="multilevel"/>
    <w:tmpl w:val="903A77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733BD3"/>
    <w:multiLevelType w:val="multilevel"/>
    <w:tmpl w:val="92786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D320A7"/>
    <w:multiLevelType w:val="multilevel"/>
    <w:tmpl w:val="DBCCA8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F8475B"/>
    <w:multiLevelType w:val="multilevel"/>
    <w:tmpl w:val="33F0C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146033"/>
    <w:multiLevelType w:val="multilevel"/>
    <w:tmpl w:val="3C1443D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614011D6"/>
    <w:multiLevelType w:val="multilevel"/>
    <w:tmpl w:val="008A2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A00CA6"/>
    <w:multiLevelType w:val="multilevel"/>
    <w:tmpl w:val="A57892BC"/>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776F39CC"/>
    <w:multiLevelType w:val="multilevel"/>
    <w:tmpl w:val="33F0C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D5F7218"/>
    <w:multiLevelType w:val="multilevel"/>
    <w:tmpl w:val="9F003CA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F134F58"/>
    <w:multiLevelType w:val="multilevel"/>
    <w:tmpl w:val="49BC2C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3"/>
  </w:num>
  <w:num w:numId="4">
    <w:abstractNumId w:val="12"/>
  </w:num>
  <w:num w:numId="5">
    <w:abstractNumId w:val="6"/>
  </w:num>
  <w:num w:numId="6">
    <w:abstractNumId w:val="16"/>
  </w:num>
  <w:num w:numId="7">
    <w:abstractNumId w:val="8"/>
  </w:num>
  <w:num w:numId="8">
    <w:abstractNumId w:val="5"/>
  </w:num>
  <w:num w:numId="9">
    <w:abstractNumId w:val="1"/>
  </w:num>
  <w:num w:numId="10">
    <w:abstractNumId w:val="7"/>
  </w:num>
  <w:num w:numId="11">
    <w:abstractNumId w:val="4"/>
  </w:num>
  <w:num w:numId="12">
    <w:abstractNumId w:val="9"/>
  </w:num>
  <w:num w:numId="13">
    <w:abstractNumId w:val="15"/>
  </w:num>
  <w:num w:numId="14">
    <w:abstractNumId w:val="0"/>
  </w:num>
  <w:num w:numId="15">
    <w:abstractNumId w:val="14"/>
  </w:num>
  <w:num w:numId="16">
    <w:abstractNumId w:val="11"/>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506"/>
    <w:rsid w:val="000F020D"/>
    <w:rsid w:val="00346CE8"/>
    <w:rsid w:val="004070D4"/>
    <w:rsid w:val="004428E3"/>
    <w:rsid w:val="00633C1C"/>
    <w:rsid w:val="006A5506"/>
    <w:rsid w:val="007B358A"/>
    <w:rsid w:val="00906DCF"/>
    <w:rsid w:val="009A141A"/>
    <w:rsid w:val="009B54EF"/>
    <w:rsid w:val="00A21E6C"/>
    <w:rsid w:val="00B032BC"/>
    <w:rsid w:val="00D665B4"/>
    <w:rsid w:val="00E11E67"/>
    <w:rsid w:val="00E813ED"/>
    <w:rsid w:val="00FA7656"/>
    <w:rsid w:val="00FC146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535C3"/>
  <w15:chartTrackingRefBased/>
  <w15:docId w15:val="{15D5B962-BE2E-45C3-8561-7D90135D0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6A550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CdigoHTML">
    <w:name w:val="HTML Code"/>
    <w:basedOn w:val="Fontepargpadro"/>
    <w:uiPriority w:val="99"/>
    <w:semiHidden/>
    <w:unhideWhenUsed/>
    <w:rsid w:val="006A5506"/>
    <w:rPr>
      <w:rFonts w:ascii="Courier New" w:eastAsia="Times New Roman" w:hAnsi="Courier New" w:cs="Courier New"/>
      <w:sz w:val="20"/>
      <w:szCs w:val="20"/>
    </w:rPr>
  </w:style>
  <w:style w:type="character" w:styleId="Hyperlink">
    <w:name w:val="Hyperlink"/>
    <w:basedOn w:val="Fontepargpadro"/>
    <w:uiPriority w:val="99"/>
    <w:semiHidden/>
    <w:unhideWhenUsed/>
    <w:rsid w:val="006A5506"/>
    <w:rPr>
      <w:strike w:val="0"/>
      <w:dstrike w:val="0"/>
      <w:color w:val="464FEB"/>
      <w:u w:val="none"/>
      <w:effect w:val="none"/>
    </w:rPr>
  </w:style>
  <w:style w:type="character" w:styleId="nfase">
    <w:name w:val="Emphasis"/>
    <w:basedOn w:val="Fontepargpadro"/>
    <w:uiPriority w:val="20"/>
    <w:qFormat/>
    <w:rsid w:val="006A5506"/>
    <w:rPr>
      <w:i/>
      <w:iCs/>
    </w:rPr>
  </w:style>
  <w:style w:type="paragraph" w:styleId="SemEspaamento">
    <w:name w:val="No Spacing"/>
    <w:uiPriority w:val="1"/>
    <w:qFormat/>
    <w:rsid w:val="009A14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36320">
      <w:bodyDiv w:val="1"/>
      <w:marLeft w:val="0"/>
      <w:marRight w:val="0"/>
      <w:marTop w:val="0"/>
      <w:marBottom w:val="0"/>
      <w:divBdr>
        <w:top w:val="none" w:sz="0" w:space="0" w:color="auto"/>
        <w:left w:val="none" w:sz="0" w:space="0" w:color="auto"/>
        <w:bottom w:val="none" w:sz="0" w:space="0" w:color="auto"/>
        <w:right w:val="none" w:sz="0" w:space="0" w:color="auto"/>
      </w:divBdr>
      <w:divsChild>
        <w:div w:id="732578841">
          <w:marLeft w:val="0"/>
          <w:marRight w:val="0"/>
          <w:marTop w:val="0"/>
          <w:marBottom w:val="0"/>
          <w:divBdr>
            <w:top w:val="none" w:sz="0" w:space="0" w:color="auto"/>
            <w:left w:val="none" w:sz="0" w:space="0" w:color="auto"/>
            <w:bottom w:val="none" w:sz="0" w:space="0" w:color="auto"/>
            <w:right w:val="none" w:sz="0" w:space="0" w:color="auto"/>
          </w:divBdr>
        </w:div>
      </w:divsChild>
    </w:div>
    <w:div w:id="1219784108">
      <w:bodyDiv w:val="1"/>
      <w:marLeft w:val="0"/>
      <w:marRight w:val="0"/>
      <w:marTop w:val="0"/>
      <w:marBottom w:val="0"/>
      <w:divBdr>
        <w:top w:val="none" w:sz="0" w:space="0" w:color="auto"/>
        <w:left w:val="none" w:sz="0" w:space="0" w:color="auto"/>
        <w:bottom w:val="none" w:sz="0" w:space="0" w:color="auto"/>
        <w:right w:val="none" w:sz="0" w:space="0" w:color="auto"/>
      </w:divBdr>
      <w:divsChild>
        <w:div w:id="1633906894">
          <w:marLeft w:val="0"/>
          <w:marRight w:val="0"/>
          <w:marTop w:val="0"/>
          <w:marBottom w:val="0"/>
          <w:divBdr>
            <w:top w:val="none" w:sz="0" w:space="0" w:color="auto"/>
            <w:left w:val="none" w:sz="0" w:space="0" w:color="auto"/>
            <w:bottom w:val="none" w:sz="0" w:space="0" w:color="auto"/>
            <w:right w:val="none" w:sz="0" w:space="0" w:color="auto"/>
          </w:divBdr>
        </w:div>
      </w:divsChild>
    </w:div>
    <w:div w:id="1325401326">
      <w:bodyDiv w:val="1"/>
      <w:marLeft w:val="0"/>
      <w:marRight w:val="0"/>
      <w:marTop w:val="0"/>
      <w:marBottom w:val="0"/>
      <w:divBdr>
        <w:top w:val="none" w:sz="0" w:space="0" w:color="auto"/>
        <w:left w:val="none" w:sz="0" w:space="0" w:color="auto"/>
        <w:bottom w:val="none" w:sz="0" w:space="0" w:color="auto"/>
        <w:right w:val="none" w:sz="0" w:space="0" w:color="auto"/>
      </w:divBdr>
      <w:divsChild>
        <w:div w:id="1543516590">
          <w:marLeft w:val="0"/>
          <w:marRight w:val="0"/>
          <w:marTop w:val="0"/>
          <w:marBottom w:val="0"/>
          <w:divBdr>
            <w:top w:val="none" w:sz="0" w:space="0" w:color="auto"/>
            <w:left w:val="none" w:sz="0" w:space="0" w:color="auto"/>
            <w:bottom w:val="none" w:sz="0" w:space="0" w:color="auto"/>
            <w:right w:val="none" w:sz="0" w:space="0" w:color="auto"/>
          </w:divBdr>
        </w:div>
        <w:div w:id="1760708989">
          <w:marLeft w:val="0"/>
          <w:marRight w:val="0"/>
          <w:marTop w:val="0"/>
          <w:marBottom w:val="0"/>
          <w:divBdr>
            <w:top w:val="none" w:sz="0" w:space="0" w:color="auto"/>
            <w:left w:val="none" w:sz="0" w:space="0" w:color="auto"/>
            <w:bottom w:val="none" w:sz="0" w:space="0" w:color="auto"/>
            <w:right w:val="none" w:sz="0" w:space="0" w:color="auto"/>
          </w:divBdr>
        </w:div>
        <w:div w:id="1751929330">
          <w:marLeft w:val="0"/>
          <w:marRight w:val="0"/>
          <w:marTop w:val="0"/>
          <w:marBottom w:val="0"/>
          <w:divBdr>
            <w:top w:val="none" w:sz="0" w:space="0" w:color="auto"/>
            <w:left w:val="none" w:sz="0" w:space="0" w:color="auto"/>
            <w:bottom w:val="none" w:sz="0" w:space="0" w:color="auto"/>
            <w:right w:val="none" w:sz="0" w:space="0" w:color="auto"/>
          </w:divBdr>
          <w:divsChild>
            <w:div w:id="1615939243">
              <w:marLeft w:val="0"/>
              <w:marRight w:val="0"/>
              <w:marTop w:val="0"/>
              <w:marBottom w:val="0"/>
              <w:divBdr>
                <w:top w:val="none" w:sz="0" w:space="0" w:color="auto"/>
                <w:left w:val="none" w:sz="0" w:space="0" w:color="auto"/>
                <w:bottom w:val="none" w:sz="0" w:space="0" w:color="auto"/>
                <w:right w:val="none" w:sz="0" w:space="0" w:color="auto"/>
              </w:divBdr>
            </w:div>
            <w:div w:id="701976040">
              <w:marLeft w:val="0"/>
              <w:marRight w:val="0"/>
              <w:marTop w:val="0"/>
              <w:marBottom w:val="0"/>
              <w:divBdr>
                <w:top w:val="none" w:sz="0" w:space="0" w:color="auto"/>
                <w:left w:val="none" w:sz="0" w:space="0" w:color="auto"/>
                <w:bottom w:val="none" w:sz="0" w:space="0" w:color="auto"/>
                <w:right w:val="none" w:sz="0" w:space="0" w:color="auto"/>
              </w:divBdr>
            </w:div>
            <w:div w:id="1394501509">
              <w:marLeft w:val="0"/>
              <w:marRight w:val="0"/>
              <w:marTop w:val="0"/>
              <w:marBottom w:val="0"/>
              <w:divBdr>
                <w:top w:val="none" w:sz="0" w:space="0" w:color="auto"/>
                <w:left w:val="none" w:sz="0" w:space="0" w:color="auto"/>
                <w:bottom w:val="none" w:sz="0" w:space="0" w:color="auto"/>
                <w:right w:val="none" w:sz="0" w:space="0" w:color="auto"/>
              </w:divBdr>
            </w:div>
            <w:div w:id="2085057106">
              <w:marLeft w:val="0"/>
              <w:marRight w:val="0"/>
              <w:marTop w:val="0"/>
              <w:marBottom w:val="0"/>
              <w:divBdr>
                <w:top w:val="none" w:sz="0" w:space="0" w:color="auto"/>
                <w:left w:val="none" w:sz="0" w:space="0" w:color="auto"/>
                <w:bottom w:val="none" w:sz="0" w:space="0" w:color="auto"/>
                <w:right w:val="none" w:sz="0" w:space="0" w:color="auto"/>
              </w:divBdr>
            </w:div>
            <w:div w:id="1690259551">
              <w:marLeft w:val="0"/>
              <w:marRight w:val="0"/>
              <w:marTop w:val="0"/>
              <w:marBottom w:val="0"/>
              <w:divBdr>
                <w:top w:val="none" w:sz="0" w:space="0" w:color="auto"/>
                <w:left w:val="none" w:sz="0" w:space="0" w:color="auto"/>
                <w:bottom w:val="none" w:sz="0" w:space="0" w:color="auto"/>
                <w:right w:val="none" w:sz="0" w:space="0" w:color="auto"/>
              </w:divBdr>
            </w:div>
            <w:div w:id="158625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80464">
      <w:bodyDiv w:val="1"/>
      <w:marLeft w:val="0"/>
      <w:marRight w:val="0"/>
      <w:marTop w:val="0"/>
      <w:marBottom w:val="0"/>
      <w:divBdr>
        <w:top w:val="none" w:sz="0" w:space="0" w:color="auto"/>
        <w:left w:val="none" w:sz="0" w:space="0" w:color="auto"/>
        <w:bottom w:val="none" w:sz="0" w:space="0" w:color="auto"/>
        <w:right w:val="none" w:sz="0" w:space="0" w:color="auto"/>
      </w:divBdr>
      <w:divsChild>
        <w:div w:id="472915559">
          <w:marLeft w:val="0"/>
          <w:marRight w:val="0"/>
          <w:marTop w:val="0"/>
          <w:marBottom w:val="0"/>
          <w:divBdr>
            <w:top w:val="none" w:sz="0" w:space="0" w:color="auto"/>
            <w:left w:val="none" w:sz="0" w:space="0" w:color="auto"/>
            <w:bottom w:val="none" w:sz="0" w:space="0" w:color="auto"/>
            <w:right w:val="none" w:sz="0" w:space="0" w:color="auto"/>
          </w:divBdr>
        </w:div>
      </w:divsChild>
    </w:div>
    <w:div w:id="2135979694">
      <w:bodyDiv w:val="1"/>
      <w:marLeft w:val="0"/>
      <w:marRight w:val="0"/>
      <w:marTop w:val="0"/>
      <w:marBottom w:val="0"/>
      <w:divBdr>
        <w:top w:val="none" w:sz="0" w:space="0" w:color="auto"/>
        <w:left w:val="none" w:sz="0" w:space="0" w:color="auto"/>
        <w:bottom w:val="none" w:sz="0" w:space="0" w:color="auto"/>
        <w:right w:val="none" w:sz="0" w:space="0" w:color="auto"/>
      </w:divBdr>
      <w:divsChild>
        <w:div w:id="1670012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br/mdh/pt-br/assuntos/noticias/2023/julho/mdhc-entrega-relatorio-com-propostas-para-enfrentar-o-discurso-de-odio-e-o-extremismo-no-brasil"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gov.br/mdh/pt-br/navegue-por-temas/educacao-em-direitos-humanos/diretrizes-nacionais-para-a-educacao-em-direitos-humanos"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br/mdh/pt-br/navegue-por-temas/educacao-em-direitos-humanos/plano-nacional-de-educacao-em-direitos-humanos" TargetMode="External"/><Relationship Id="rId11" Type="http://schemas.openxmlformats.org/officeDocument/2006/relationships/theme" Target="theme/theme1.xml"/><Relationship Id="rId5" Type="http://schemas.openxmlformats.org/officeDocument/2006/relationships/hyperlink" Target="https://www.planalto.gov.br/ccivil_03/_ato2007-2010/2009/decreto/d7037.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br/secom/pt-br/assuntos/uso-de-telas-por-criancas-e-adolescentes/guia" TargetMode="External"/><Relationship Id="rId14" Type="http://schemas.openxmlformats.org/officeDocument/2006/relationships/customXml" Target="../customXml/item3.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5" ma:contentTypeDescription="Create a new document." ma:contentTypeScope="" ma:versionID="a3d50dd9e5b29879580d6fca86047c1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779f39b9323bac717c8fd6ed50f06aa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Category xmlns="d42e65b2-cf21-49c1-b27d-d23f90380c0e">States</Category>
    <Filename xmlns="d42e65b2-cf21-49c1-b27d-d23f90380c0e" xsi:nil="true"/>
    <Doctype xmlns="d42e65b2-cf21-49c1-b27d-d23f90380c0e">input</Doctype>
    <Contributor xmlns="d42e65b2-cf21-49c1-b27d-d23f90380c0e">Brazil</Contributor>
  </documentManagement>
</p:properties>
</file>

<file path=customXml/itemProps1.xml><?xml version="1.0" encoding="utf-8"?>
<ds:datastoreItem xmlns:ds="http://schemas.openxmlformats.org/officeDocument/2006/customXml" ds:itemID="{958D6F01-DD28-49BE-AE0D-1990E503818B}"/>
</file>

<file path=customXml/itemProps2.xml><?xml version="1.0" encoding="utf-8"?>
<ds:datastoreItem xmlns:ds="http://schemas.openxmlformats.org/officeDocument/2006/customXml" ds:itemID="{17BB2878-C01D-497D-8C45-96E0016651A2}"/>
</file>

<file path=customXml/itemProps3.xml><?xml version="1.0" encoding="utf-8"?>
<ds:datastoreItem xmlns:ds="http://schemas.openxmlformats.org/officeDocument/2006/customXml" ds:itemID="{1F87D797-2449-493C-A4B8-BA0C2A9C8237}"/>
</file>

<file path=docProps/app.xml><?xml version="1.0" encoding="utf-8"?>
<Properties xmlns="http://schemas.openxmlformats.org/officeDocument/2006/extended-properties" xmlns:vt="http://schemas.openxmlformats.org/officeDocument/2006/docPropsVTypes">
  <Template>Normal</Template>
  <TotalTime>52</TotalTime>
  <Pages>8</Pages>
  <Words>3240</Words>
  <Characters>17499</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Ciro Marques Russo</dc:creator>
  <cp:keywords/>
  <dc:description/>
  <cp:lastModifiedBy>Ciro Marques Russo</cp:lastModifiedBy>
  <cp:revision>5</cp:revision>
  <dcterms:created xsi:type="dcterms:W3CDTF">2025-04-14T08:34:00Z</dcterms:created>
  <dcterms:modified xsi:type="dcterms:W3CDTF">2025-04-14T10:01:00Z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Order">
    <vt:r8>3281600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