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418C0" w14:textId="6D2CE5CE" w:rsidR="00201399" w:rsidRDefault="00F71201" w:rsidP="00507EE9">
      <w:pPr>
        <w:pStyle w:val="Heading1"/>
        <w:tabs>
          <w:tab w:val="left" w:pos="426"/>
        </w:tabs>
        <w:snapToGrid w:val="0"/>
        <w:spacing w:before="0" w:after="240" w:line="240" w:lineRule="auto"/>
        <w:jc w:val="center"/>
        <w:rPr>
          <w:rFonts w:ascii="Roboto" w:eastAsia="Roboto" w:hAnsi="Roboto" w:cs="Roboto"/>
          <w:color w:val="0D1C7F"/>
          <w:sz w:val="36"/>
          <w:szCs w:val="36"/>
        </w:rPr>
      </w:pPr>
      <w:r>
        <w:rPr>
          <w:rFonts w:ascii="Roboto" w:eastAsia="Roboto" w:hAnsi="Roboto" w:cs="Roboto"/>
          <w:noProof/>
          <w:color w:val="0D1C7F"/>
          <w:sz w:val="36"/>
          <w:szCs w:val="36"/>
        </w:rPr>
        <w:drawing>
          <wp:inline distT="0" distB="0" distL="0" distR="0" wp14:anchorId="226BB36F" wp14:editId="7879E56A">
            <wp:extent cx="2875472" cy="1441592"/>
            <wp:effectExtent l="0" t="0" r="0" b="0"/>
            <wp:docPr id="1266808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7653" cy="1452712"/>
                    </a:xfrm>
                    <a:prstGeom prst="rect">
                      <a:avLst/>
                    </a:prstGeom>
                    <a:noFill/>
                  </pic:spPr>
                </pic:pic>
              </a:graphicData>
            </a:graphic>
          </wp:inline>
        </w:drawing>
      </w:r>
    </w:p>
    <w:p w14:paraId="552AEC19" w14:textId="77777777" w:rsidR="007B31EA" w:rsidRPr="007B31EA" w:rsidRDefault="1DB9BE91" w:rsidP="00507EE9">
      <w:pPr>
        <w:tabs>
          <w:tab w:val="left" w:pos="426"/>
        </w:tabs>
        <w:snapToGrid w:val="0"/>
        <w:spacing w:after="240" w:line="240" w:lineRule="auto"/>
        <w:jc w:val="center"/>
        <w:rPr>
          <w:rFonts w:ascii="Roboto" w:eastAsia="Calibri" w:hAnsi="Roboto" w:cs="Arial"/>
          <w:color w:val="0070C0"/>
          <w:kern w:val="2"/>
          <w:sz w:val="22"/>
          <w:szCs w:val="22"/>
          <w:lang w:eastAsia="en-US"/>
        </w:rPr>
      </w:pPr>
      <w:r w:rsidRPr="4C889FDD">
        <w:rPr>
          <w:rFonts w:ascii="Roboto" w:eastAsia="Roboto" w:hAnsi="Roboto" w:cs="Roboto"/>
          <w:color w:val="0D1C7F"/>
          <w:sz w:val="36"/>
          <w:szCs w:val="36"/>
        </w:rPr>
        <w:t xml:space="preserve"> </w:t>
      </w:r>
      <w:r w:rsidR="007B31EA" w:rsidRPr="007B31EA">
        <w:rPr>
          <w:rFonts w:ascii="Roboto" w:eastAsia="Calibri" w:hAnsi="Roboto" w:cs="Arial"/>
          <w:color w:val="0070C0"/>
          <w:kern w:val="2"/>
          <w:sz w:val="22"/>
          <w:szCs w:val="22"/>
          <w:lang w:eastAsia="en-US"/>
        </w:rPr>
        <w:t xml:space="preserve">African Disability Forum, Arab Organization of Persons with Disabilities, ASEAN Disability Forum, Down Syndrome International, European Disability Forum, Inclusion International, International Federation of Hard of Hearing People, </w:t>
      </w:r>
      <w:r w:rsidR="007B31EA" w:rsidRPr="007B31EA">
        <w:rPr>
          <w:rFonts w:ascii="Roboto" w:eastAsia="Calibri" w:hAnsi="Roboto" w:cs="Arial"/>
          <w:bCs/>
          <w:color w:val="0070C0"/>
          <w:kern w:val="2"/>
          <w:sz w:val="22"/>
          <w:szCs w:val="22"/>
          <w:lang w:eastAsia="en-US"/>
        </w:rPr>
        <w:t>International Federation for Spina Bifida and Hydrocephalus</w:t>
      </w:r>
      <w:r w:rsidR="007B31EA" w:rsidRPr="007B31EA">
        <w:rPr>
          <w:rFonts w:ascii="Roboto" w:eastAsia="Calibri" w:hAnsi="Roboto" w:cs="Arial"/>
          <w:color w:val="0070C0"/>
          <w:kern w:val="2"/>
          <w:sz w:val="22"/>
          <w:szCs w:val="22"/>
          <w:lang w:eastAsia="en-US"/>
        </w:rPr>
        <w:t>, Latin American Network of Non-Governmental Organizations of Persons with Disabilities and their Families, Pacific Disability Forum, World Blind Union, World Federation of the Deaf, World Federation of the DeafBlind, World Network of Users and Survivors of Psychiatry</w:t>
      </w:r>
    </w:p>
    <w:p w14:paraId="57CDA946" w14:textId="41D4ECCC" w:rsidR="00201399" w:rsidRDefault="1DB9BE91" w:rsidP="00507EE9">
      <w:pPr>
        <w:tabs>
          <w:tab w:val="left" w:pos="426"/>
        </w:tabs>
        <w:snapToGrid w:val="0"/>
        <w:spacing w:after="240" w:line="240" w:lineRule="auto"/>
        <w:rPr>
          <w:rFonts w:ascii="Roboto" w:eastAsia="Roboto" w:hAnsi="Roboto" w:cs="Roboto"/>
        </w:rPr>
      </w:pPr>
      <w:r w:rsidRPr="4C889FDD">
        <w:rPr>
          <w:rFonts w:ascii="Roboto" w:eastAsia="Roboto" w:hAnsi="Roboto" w:cs="Roboto"/>
        </w:rPr>
        <w:t xml:space="preserve"> </w:t>
      </w:r>
    </w:p>
    <w:p w14:paraId="00B460E5" w14:textId="77777777" w:rsidR="00EA0E80" w:rsidRPr="00EA0E80" w:rsidRDefault="00EA0E80" w:rsidP="00507EE9">
      <w:pPr>
        <w:tabs>
          <w:tab w:val="left" w:pos="426"/>
        </w:tabs>
        <w:snapToGrid w:val="0"/>
        <w:spacing w:after="240" w:line="240" w:lineRule="auto"/>
      </w:pPr>
    </w:p>
    <w:p w14:paraId="711CDC1C" w14:textId="13102E9A" w:rsidR="00201399" w:rsidRPr="007B31EA" w:rsidRDefault="1DB9BE91" w:rsidP="00507EE9">
      <w:pPr>
        <w:tabs>
          <w:tab w:val="left" w:pos="426"/>
        </w:tabs>
        <w:snapToGrid w:val="0"/>
        <w:spacing w:after="240" w:line="240" w:lineRule="auto"/>
        <w:jc w:val="center"/>
        <w:rPr>
          <w:rFonts w:ascii="Roboto" w:eastAsia="Roboto" w:hAnsi="Roboto" w:cs="Roboto"/>
          <w:b/>
          <w:bCs/>
          <w:sz w:val="32"/>
          <w:szCs w:val="32"/>
          <w:lang w:val="en-GB"/>
        </w:rPr>
      </w:pPr>
      <w:r w:rsidRPr="007B31EA">
        <w:rPr>
          <w:rFonts w:ascii="Roboto" w:eastAsia="Roboto" w:hAnsi="Roboto" w:cs="Roboto"/>
          <w:b/>
          <w:bCs/>
          <w:sz w:val="32"/>
          <w:szCs w:val="32"/>
        </w:rPr>
        <w:t>IDA submission on</w:t>
      </w:r>
      <w:r w:rsidRPr="007B31EA">
        <w:rPr>
          <w:rFonts w:ascii="Roboto" w:eastAsia="Roboto" w:hAnsi="Roboto" w:cs="Roboto"/>
          <w:sz w:val="32"/>
          <w:szCs w:val="32"/>
        </w:rPr>
        <w:t xml:space="preserve"> </w:t>
      </w:r>
      <w:r w:rsidRPr="007B31EA">
        <w:rPr>
          <w:rFonts w:ascii="Roboto" w:eastAsia="Roboto" w:hAnsi="Roboto" w:cs="Roboto"/>
          <w:b/>
          <w:bCs/>
          <w:sz w:val="32"/>
          <w:szCs w:val="32"/>
          <w:lang w:val="en-GB"/>
        </w:rPr>
        <w:t>CERD-CMW Joint General Comment/Recommendation on Obligations of State Parties on Public Policies for Addressing and Eradicating Xenophobia and its impact on the rights of migrants their families, and other non-citizens affected by racial discrimination</w:t>
      </w:r>
    </w:p>
    <w:p w14:paraId="0A7B9945" w14:textId="77777777" w:rsidR="00EA0E80" w:rsidRDefault="00EA0E80" w:rsidP="00507EE9">
      <w:pPr>
        <w:tabs>
          <w:tab w:val="left" w:pos="426"/>
        </w:tabs>
        <w:snapToGrid w:val="0"/>
        <w:spacing w:after="240" w:line="240" w:lineRule="auto"/>
      </w:pPr>
    </w:p>
    <w:p w14:paraId="1FA8003A" w14:textId="0B1D672C" w:rsidR="00EA0E80" w:rsidRDefault="00A6123D" w:rsidP="00507EE9">
      <w:pPr>
        <w:tabs>
          <w:tab w:val="left" w:pos="426"/>
        </w:tabs>
        <w:snapToGrid w:val="0"/>
        <w:spacing w:after="240" w:line="240" w:lineRule="auto"/>
        <w:jc w:val="center"/>
        <w:rPr>
          <w:rFonts w:ascii="Roboto" w:eastAsia="Roboto" w:hAnsi="Roboto" w:cs="Roboto"/>
          <w:b/>
          <w:bCs/>
          <w:sz w:val="32"/>
          <w:szCs w:val="32"/>
        </w:rPr>
      </w:pPr>
      <w:r w:rsidRPr="007B31EA">
        <w:rPr>
          <w:rFonts w:ascii="Roboto" w:eastAsia="Roboto" w:hAnsi="Roboto" w:cs="Roboto"/>
          <w:b/>
          <w:bCs/>
          <w:sz w:val="32"/>
          <w:szCs w:val="32"/>
        </w:rPr>
        <w:t xml:space="preserve">April </w:t>
      </w:r>
      <w:r w:rsidR="1DB9BE91" w:rsidRPr="007B31EA">
        <w:rPr>
          <w:rFonts w:ascii="Roboto" w:eastAsia="Roboto" w:hAnsi="Roboto" w:cs="Roboto"/>
          <w:b/>
          <w:bCs/>
          <w:sz w:val="32"/>
          <w:szCs w:val="32"/>
        </w:rPr>
        <w:t>2024</w:t>
      </w:r>
    </w:p>
    <w:p w14:paraId="0084D31B" w14:textId="77777777" w:rsidR="00EA0E80" w:rsidRDefault="00EA0E80" w:rsidP="00507EE9">
      <w:pPr>
        <w:tabs>
          <w:tab w:val="left" w:pos="426"/>
        </w:tabs>
        <w:snapToGrid w:val="0"/>
        <w:spacing w:after="240" w:line="240" w:lineRule="auto"/>
        <w:jc w:val="center"/>
        <w:rPr>
          <w:rFonts w:ascii="Roboto" w:eastAsia="Roboto" w:hAnsi="Roboto" w:cs="Roboto"/>
          <w:b/>
          <w:bCs/>
          <w:sz w:val="32"/>
          <w:szCs w:val="32"/>
        </w:rPr>
      </w:pPr>
    </w:p>
    <w:p w14:paraId="5F6AF5C2" w14:textId="77777777" w:rsidR="00AF5F2E" w:rsidRPr="00AF5F2E" w:rsidRDefault="00AF5F2E" w:rsidP="00507EE9">
      <w:pPr>
        <w:tabs>
          <w:tab w:val="left" w:pos="284"/>
          <w:tab w:val="left" w:pos="426"/>
        </w:tabs>
        <w:snapToGrid w:val="0"/>
        <w:spacing w:after="240" w:line="240" w:lineRule="auto"/>
        <w:jc w:val="both"/>
        <w:rPr>
          <w:rFonts w:ascii="Roboto" w:eastAsia="Roboto" w:hAnsi="Roboto" w:cs="Roboto"/>
          <w:lang w:val="en-GB"/>
        </w:rPr>
      </w:pPr>
    </w:p>
    <w:p w14:paraId="61C9507B" w14:textId="77777777" w:rsidR="00AF5F2E" w:rsidRPr="00AF5F2E" w:rsidRDefault="00AF5F2E" w:rsidP="00507EE9">
      <w:pPr>
        <w:tabs>
          <w:tab w:val="left" w:pos="284"/>
          <w:tab w:val="left" w:pos="426"/>
        </w:tabs>
        <w:snapToGrid w:val="0"/>
        <w:spacing w:after="240" w:line="240" w:lineRule="auto"/>
        <w:jc w:val="both"/>
        <w:rPr>
          <w:rFonts w:ascii="Roboto" w:eastAsia="Roboto" w:hAnsi="Roboto" w:cs="Roboto"/>
          <w:lang w:val="en-GB"/>
        </w:rPr>
      </w:pPr>
    </w:p>
    <w:p w14:paraId="63DD1284" w14:textId="2562FE7A" w:rsidR="00EA0E80" w:rsidRPr="00AF5F2E" w:rsidRDefault="00EA0E80" w:rsidP="00507EE9">
      <w:pPr>
        <w:tabs>
          <w:tab w:val="left" w:pos="284"/>
          <w:tab w:val="left" w:pos="426"/>
        </w:tabs>
        <w:snapToGrid w:val="0"/>
        <w:spacing w:after="240" w:line="240" w:lineRule="auto"/>
        <w:jc w:val="both"/>
        <w:rPr>
          <w:rFonts w:ascii="Roboto" w:eastAsia="Roboto" w:hAnsi="Roboto" w:cs="Roboto"/>
          <w:lang w:val="en-GB"/>
        </w:rPr>
      </w:pPr>
      <w:r w:rsidRPr="00AF5F2E">
        <w:rPr>
          <w:rFonts w:ascii="Roboto" w:eastAsia="Roboto" w:hAnsi="Roboto" w:cs="Roboto"/>
          <w:lang w:val="en-GB"/>
        </w:rPr>
        <w:t xml:space="preserve">The International Disability Alliance (IDA) is a unique, international network of eight global and six regional organisations of persons with disabilities (OPDs). Each IDA member represents </w:t>
      </w:r>
      <w:proofErr w:type="gramStart"/>
      <w:r w:rsidRPr="00AF5F2E">
        <w:rPr>
          <w:rFonts w:ascii="Roboto" w:eastAsia="Roboto" w:hAnsi="Roboto" w:cs="Roboto"/>
          <w:lang w:val="en-GB"/>
        </w:rPr>
        <w:t>a large number of</w:t>
      </w:r>
      <w:proofErr w:type="gramEnd"/>
      <w:r w:rsidRPr="00AF5F2E">
        <w:rPr>
          <w:rFonts w:ascii="Roboto" w:eastAsia="Roboto" w:hAnsi="Roboto" w:cs="Roboto"/>
          <w:lang w:val="en-GB"/>
        </w:rPr>
        <w:t xml:space="preserve"> national OPDs, covering the whole range of disability constituencies. IDA thus represents the collective global voice of persons with disabilities counting among the more than 1 billion persons with disabilities worldwide, the world’s largest –and most frequently overlooked – minority group. IDA’s mission is to advance the human rights of persons with disabilities as a united voice of OPDs utilising the Convention on the Rights of Persons with Disabilities (CRPD) and other human rights instruments. </w:t>
      </w:r>
    </w:p>
    <w:p w14:paraId="051322F7" w14:textId="331C3D2D" w:rsidR="00A6123D" w:rsidRPr="00EA0E80" w:rsidRDefault="00A6123D" w:rsidP="00507EE9">
      <w:pPr>
        <w:tabs>
          <w:tab w:val="left" w:pos="426"/>
        </w:tabs>
        <w:snapToGrid w:val="0"/>
        <w:spacing w:after="240" w:line="240" w:lineRule="auto"/>
        <w:jc w:val="both"/>
        <w:rPr>
          <w:rFonts w:ascii="Roboto" w:eastAsia="Roboto" w:hAnsi="Roboto" w:cs="Roboto"/>
          <w:sz w:val="32"/>
          <w:szCs w:val="32"/>
          <w:lang w:val="en-GB"/>
        </w:rPr>
      </w:pPr>
    </w:p>
    <w:p w14:paraId="7A6A2451" w14:textId="08888D48" w:rsidR="00201399" w:rsidRDefault="1DB9BE91" w:rsidP="00A30D4A">
      <w:pPr>
        <w:pStyle w:val="Heading2"/>
      </w:pPr>
      <w:r w:rsidRPr="4C889FDD">
        <w:rPr>
          <w:rFonts w:ascii="Times New Roman" w:eastAsia="Times New Roman" w:hAnsi="Times New Roman" w:cs="Times New Roman"/>
          <w:sz w:val="14"/>
          <w:szCs w:val="14"/>
        </w:rPr>
        <w:t xml:space="preserve">     </w:t>
      </w:r>
      <w:r w:rsidRPr="4C889FDD">
        <w:t>I.</w:t>
      </w:r>
      <w:r w:rsidRPr="00D6259E">
        <w:t xml:space="preserve">  INTRODUCTION</w:t>
      </w:r>
    </w:p>
    <w:p w14:paraId="1F603E97" w14:textId="54ABCD9F" w:rsidR="00EA0E80" w:rsidRPr="00EA0E80" w:rsidRDefault="1DB9BE91"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CH"/>
        </w:rPr>
      </w:pPr>
      <w:r w:rsidRPr="00120D10">
        <w:rPr>
          <w:rFonts w:ascii="Roboto" w:eastAsia="Roboto" w:hAnsi="Roboto" w:cs="Roboto"/>
          <w:lang w:val="en-GB"/>
        </w:rPr>
        <w:t>IDA appreciates the initiative by th</w:t>
      </w:r>
      <w:r w:rsidR="46F8DD1B" w:rsidRPr="00120D10">
        <w:rPr>
          <w:rFonts w:ascii="Roboto" w:eastAsia="Roboto" w:hAnsi="Roboto" w:cs="Roboto"/>
          <w:lang w:val="en-GB"/>
        </w:rPr>
        <w:t>e</w:t>
      </w:r>
      <w:r w:rsidRPr="001F7D47">
        <w:rPr>
          <w:rFonts w:ascii="Roboto" w:eastAsia="Roboto" w:hAnsi="Roboto" w:cs="Roboto"/>
          <w:lang w:val="en-GB"/>
        </w:rPr>
        <w:t xml:space="preserve"> </w:t>
      </w:r>
      <w:r w:rsidR="00B37DA5" w:rsidRPr="001F7D47">
        <w:rPr>
          <w:rFonts w:ascii="Roboto" w:eastAsia="Roboto" w:hAnsi="Roboto" w:cs="Roboto"/>
          <w:lang w:val="en-GB"/>
        </w:rPr>
        <w:t>Committee on the Elimination of Racial Discrimination</w:t>
      </w:r>
      <w:r w:rsidR="001153C4">
        <w:rPr>
          <w:rFonts w:ascii="Roboto" w:eastAsia="Roboto" w:hAnsi="Roboto" w:cs="Roboto"/>
          <w:lang w:val="en-GB"/>
        </w:rPr>
        <w:t xml:space="preserve"> (CERD Committee)</w:t>
      </w:r>
      <w:r w:rsidR="00B37DA5" w:rsidRPr="001F7D47">
        <w:rPr>
          <w:rFonts w:ascii="Roboto" w:eastAsia="Roboto" w:hAnsi="Roboto" w:cs="Roboto"/>
          <w:lang w:val="en-GB"/>
        </w:rPr>
        <w:t xml:space="preserve"> and the </w:t>
      </w:r>
      <w:r w:rsidR="00EA0E80" w:rsidRPr="00EA0E80">
        <w:rPr>
          <w:rFonts w:ascii="Roboto" w:eastAsia="Roboto" w:hAnsi="Roboto" w:cs="Roboto"/>
          <w:lang w:val="en-CH"/>
        </w:rPr>
        <w:t>Committee on the Protection of the Rights of All Migrant Workers and Members of Their Families</w:t>
      </w:r>
      <w:r w:rsidR="00EA0E80" w:rsidRPr="00EA0E80">
        <w:rPr>
          <w:rFonts w:ascii="Roboto" w:eastAsia="Roboto" w:hAnsi="Roboto" w:cs="Roboto"/>
          <w:lang w:val="en-GB"/>
        </w:rPr>
        <w:t xml:space="preserve"> (CMWF </w:t>
      </w:r>
      <w:proofErr w:type="gramStart"/>
      <w:r w:rsidR="00EA0E80" w:rsidRPr="00EA0E80">
        <w:rPr>
          <w:rFonts w:ascii="Roboto" w:eastAsia="Roboto" w:hAnsi="Roboto" w:cs="Roboto"/>
          <w:lang w:val="en-GB"/>
        </w:rPr>
        <w:t xml:space="preserve">Committee) </w:t>
      </w:r>
      <w:r w:rsidR="00B37DA5" w:rsidRPr="00EA0E80">
        <w:rPr>
          <w:rFonts w:ascii="Roboto" w:eastAsia="Roboto" w:hAnsi="Roboto" w:cs="Roboto"/>
          <w:lang w:val="en-GB"/>
        </w:rPr>
        <w:t xml:space="preserve"> to</w:t>
      </w:r>
      <w:proofErr w:type="gramEnd"/>
      <w:r w:rsidR="00B37DA5" w:rsidRPr="00EA0E80">
        <w:rPr>
          <w:rFonts w:ascii="Roboto" w:eastAsia="Roboto" w:hAnsi="Roboto" w:cs="Roboto"/>
          <w:lang w:val="en-GB"/>
        </w:rPr>
        <w:t xml:space="preserve"> develop a Joint General Comment/Recommendation on Obligations of State Parties on Public Policies for Addressing and Eradicating Xenophobia and its impact on the rights of migrants their families, and other non-citizens affected by racial discrimination.</w:t>
      </w:r>
    </w:p>
    <w:p w14:paraId="31AABA28" w14:textId="45C477C5" w:rsidR="17B3E375" w:rsidRPr="001C4A67" w:rsidRDefault="1DB9BE91"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sidRPr="00B37DA5">
        <w:rPr>
          <w:rFonts w:ascii="Roboto" w:eastAsia="Roboto" w:hAnsi="Roboto" w:cs="Roboto"/>
          <w:lang w:val="en-GB"/>
        </w:rPr>
        <w:t xml:space="preserve"> </w:t>
      </w:r>
      <w:r w:rsidR="00B37DA5">
        <w:rPr>
          <w:rFonts w:ascii="Roboto" w:eastAsia="Roboto" w:hAnsi="Roboto" w:cs="Roboto"/>
          <w:lang w:val="en-GB"/>
        </w:rPr>
        <w:t>T</w:t>
      </w:r>
      <w:r w:rsidRPr="00B37DA5">
        <w:rPr>
          <w:rFonts w:ascii="Roboto" w:eastAsia="Roboto" w:hAnsi="Roboto" w:cs="Roboto"/>
          <w:lang w:val="en-GB"/>
        </w:rPr>
        <w:t>his submission tackles issues impacting migrants with disabilities</w:t>
      </w:r>
      <w:r w:rsidR="001C4A67">
        <w:rPr>
          <w:rFonts w:ascii="Roboto" w:eastAsia="Roboto" w:hAnsi="Roboto" w:cs="Roboto"/>
          <w:lang w:val="en-GB"/>
        </w:rPr>
        <w:t xml:space="preserve"> and their families</w:t>
      </w:r>
      <w:r w:rsidRPr="00B37DA5">
        <w:rPr>
          <w:rFonts w:ascii="Roboto" w:eastAsia="Roboto" w:hAnsi="Roboto" w:cs="Roboto"/>
          <w:lang w:val="en-GB"/>
        </w:rPr>
        <w:t xml:space="preserve"> and advances human rights standards developed by the Committee on the Rights of Persons with Disabilities (</w:t>
      </w:r>
      <w:r w:rsidRPr="001F7D47">
        <w:rPr>
          <w:rFonts w:ascii="Roboto" w:eastAsia="Roboto" w:hAnsi="Roboto" w:cs="Roboto"/>
          <w:lang w:val="en-GB"/>
        </w:rPr>
        <w:t xml:space="preserve">hereinafter </w:t>
      </w:r>
      <w:r w:rsidRPr="00B37DA5">
        <w:rPr>
          <w:rFonts w:ascii="Roboto" w:eastAsia="Roboto" w:hAnsi="Roboto" w:cs="Roboto"/>
          <w:lang w:val="en-GB"/>
        </w:rPr>
        <w:t>“the CRPD Committee”) under the Convention on the Rights of Persons with Disabilities (</w:t>
      </w:r>
      <w:r w:rsidRPr="001F7D47">
        <w:rPr>
          <w:rFonts w:ascii="Roboto" w:eastAsia="Roboto" w:hAnsi="Roboto" w:cs="Roboto"/>
          <w:lang w:val="en-GB"/>
        </w:rPr>
        <w:t xml:space="preserve">hereinafter </w:t>
      </w:r>
      <w:r w:rsidRPr="00B37DA5">
        <w:rPr>
          <w:rFonts w:ascii="Roboto" w:eastAsia="Roboto" w:hAnsi="Roboto" w:cs="Roboto"/>
          <w:lang w:val="en-GB"/>
        </w:rPr>
        <w:t xml:space="preserve">“CRPD”). </w:t>
      </w:r>
    </w:p>
    <w:p w14:paraId="60CB2D72" w14:textId="322AA395" w:rsidR="00DF7BB2" w:rsidRDefault="4B1315BA" w:rsidP="00A30D4A">
      <w:pPr>
        <w:pStyle w:val="Heading2"/>
      </w:pPr>
      <w:r w:rsidRPr="17B3E375">
        <w:t xml:space="preserve">II. </w:t>
      </w:r>
      <w:r w:rsidR="003D7C24">
        <w:t xml:space="preserve"> </w:t>
      </w:r>
      <w:r w:rsidR="770869E1" w:rsidRPr="17B3E375">
        <w:t>ABLEISM</w:t>
      </w:r>
      <w:r w:rsidR="00DF7BB2">
        <w:t>,</w:t>
      </w:r>
      <w:r w:rsidR="00E66D41">
        <w:t xml:space="preserve"> </w:t>
      </w:r>
      <w:r w:rsidR="002D013B">
        <w:t xml:space="preserve">XENOPHOBIA AND </w:t>
      </w:r>
      <w:r w:rsidR="002D013B" w:rsidRPr="00E66D41">
        <w:t>RACIAL DISCRIMINATION</w:t>
      </w:r>
      <w:r w:rsidR="00DF7BB2">
        <w:t xml:space="preserve"> INTERSECTING IN</w:t>
      </w:r>
      <w:r w:rsidR="00DF7BB2" w:rsidRPr="00DF7BB2">
        <w:t xml:space="preserve"> </w:t>
      </w:r>
      <w:r w:rsidR="00DF7BB2" w:rsidRPr="00E66D41">
        <w:t>LAWS, POLICIES AND PRACTICES</w:t>
      </w:r>
      <w:r w:rsidR="00DF7BB2">
        <w:t xml:space="preserve"> CONTRARY TO THE RIGHTS OF MIGRANTS WITH DISABILITIES, INCLUDING HATES CRIMES</w:t>
      </w:r>
    </w:p>
    <w:p w14:paraId="20DBD358" w14:textId="0592EA3E" w:rsidR="00BF7C4B" w:rsidRDefault="00CD6830"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lang w:val="en-GB"/>
        </w:rPr>
        <w:t>Persons with disabilities constitute 1.</w:t>
      </w:r>
      <w:r w:rsidR="00EC176B">
        <w:rPr>
          <w:rFonts w:ascii="Roboto" w:eastAsia="Roboto" w:hAnsi="Roboto" w:cs="Roboto"/>
          <w:lang w:val="en-GB"/>
        </w:rPr>
        <w:t>3</w:t>
      </w:r>
      <w:r>
        <w:rPr>
          <w:rFonts w:ascii="Roboto" w:eastAsia="Roboto" w:hAnsi="Roboto" w:cs="Roboto"/>
          <w:lang w:val="en-GB"/>
        </w:rPr>
        <w:t xml:space="preserve"> billion of the world population. Persons with disabilities “</w:t>
      </w:r>
      <w:r w:rsidRPr="00DF7BB2">
        <w:rPr>
          <w:rFonts w:ascii="Roboto" w:eastAsia="Roboto" w:hAnsi="Roboto" w:cs="Roboto"/>
          <w:lang w:val="en-GB"/>
        </w:rPr>
        <w:t>include those who have long-term physical, mental, intellectual or sensory impairments which in interaction with various barriers may hinder their full and effective participation in society on an equal basis with others</w:t>
      </w:r>
      <w:r w:rsidR="00AF5F2E" w:rsidRPr="00DF7BB2">
        <w:rPr>
          <w:rFonts w:ascii="Roboto" w:eastAsia="Roboto" w:hAnsi="Roboto" w:cs="Roboto"/>
          <w:lang w:val="en-GB"/>
        </w:rPr>
        <w:t>,</w:t>
      </w:r>
      <w:r w:rsidRPr="00DF7BB2">
        <w:rPr>
          <w:rFonts w:ascii="Roboto" w:eastAsia="Roboto" w:hAnsi="Roboto" w:cs="Roboto"/>
          <w:lang w:val="en-GB"/>
        </w:rPr>
        <w:t>”</w:t>
      </w:r>
      <w:r w:rsidR="00BF7C4B" w:rsidRPr="00D5724F">
        <w:rPr>
          <w:vertAlign w:val="superscript"/>
        </w:rPr>
        <w:endnoteReference w:id="1"/>
      </w:r>
      <w:r w:rsidR="00BF7C4B" w:rsidRPr="00DF7BB2">
        <w:rPr>
          <w:rFonts w:ascii="Roboto" w:eastAsia="Roboto" w:hAnsi="Roboto" w:cs="Roboto"/>
          <w:lang w:val="en-GB"/>
        </w:rPr>
        <w:t xml:space="preserve"> and thus they are highly diverse and heterogeneous group. Disability </w:t>
      </w:r>
      <w:proofErr w:type="gramStart"/>
      <w:r w:rsidR="00BF7C4B" w:rsidRPr="00DF7BB2">
        <w:rPr>
          <w:rFonts w:ascii="Roboto" w:eastAsia="Roboto" w:hAnsi="Roboto" w:cs="Roboto"/>
          <w:lang w:val="en-GB"/>
        </w:rPr>
        <w:t>intersect</w:t>
      </w:r>
      <w:proofErr w:type="gramEnd"/>
      <w:r w:rsidR="00BF7C4B" w:rsidRPr="00DF7BB2">
        <w:rPr>
          <w:rFonts w:ascii="Roboto" w:eastAsia="Roboto" w:hAnsi="Roboto" w:cs="Roboto"/>
          <w:lang w:val="en-GB"/>
        </w:rPr>
        <w:t xml:space="preserve"> with other identities including based on sex, gender, race, origin, ethnicity, nationality, among migrant status, among others. </w:t>
      </w:r>
    </w:p>
    <w:p w14:paraId="279559D2" w14:textId="52F6885B" w:rsidR="00BF7C4B"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lang w:val="en-GB"/>
        </w:rPr>
        <w:t>Traditional models such as the charity and medical model of disability have reduced persons with disabilities to their impairments and did not considered them as right holders.</w:t>
      </w:r>
      <w:r>
        <w:rPr>
          <w:rStyle w:val="EndnoteReference"/>
          <w:rFonts w:ascii="Roboto" w:eastAsia="Roboto" w:hAnsi="Roboto" w:cs="Roboto"/>
          <w:lang w:val="en-GB"/>
        </w:rPr>
        <w:endnoteReference w:id="2"/>
      </w:r>
      <w:r>
        <w:rPr>
          <w:rFonts w:ascii="Roboto" w:eastAsia="Roboto" w:hAnsi="Roboto" w:cs="Roboto"/>
          <w:lang w:val="en-GB"/>
        </w:rPr>
        <w:t xml:space="preserve"> The adoption of the CRPD in 2006 brought a major shift to a social and human rights model, which </w:t>
      </w:r>
      <w:r w:rsidRPr="009F664E">
        <w:rPr>
          <w:rFonts w:ascii="Roboto" w:eastAsia="Roboto" w:hAnsi="Roboto" w:cs="Roboto"/>
        </w:rPr>
        <w:t xml:space="preserve">recognizes that </w:t>
      </w:r>
      <w:r>
        <w:rPr>
          <w:rFonts w:ascii="Roboto" w:eastAsia="Roboto" w:hAnsi="Roboto" w:cs="Roboto"/>
        </w:rPr>
        <w:t>“</w:t>
      </w:r>
      <w:r w:rsidRPr="009F664E">
        <w:rPr>
          <w:rFonts w:ascii="Roboto" w:eastAsia="Roboto" w:hAnsi="Roboto" w:cs="Roboto"/>
        </w:rPr>
        <w:t xml:space="preserve">disability is a social construct and impairments must not be taken as a legitimate ground for the denial or restriction of </w:t>
      </w:r>
      <w:r>
        <w:rPr>
          <w:rFonts w:ascii="Roboto" w:eastAsia="Roboto" w:hAnsi="Roboto" w:cs="Roboto"/>
        </w:rPr>
        <w:t>human rights.”</w:t>
      </w:r>
      <w:r>
        <w:rPr>
          <w:rStyle w:val="EndnoteReference"/>
          <w:rFonts w:ascii="Roboto" w:eastAsia="Roboto" w:hAnsi="Roboto" w:cs="Roboto"/>
          <w:lang w:val="en-GB"/>
        </w:rPr>
        <w:endnoteReference w:id="3"/>
      </w:r>
    </w:p>
    <w:p w14:paraId="4E6B458F" w14:textId="40F58826" w:rsidR="00BF7C4B" w:rsidRPr="00AE5AA0"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rPr>
      </w:pPr>
      <w:r>
        <w:rPr>
          <w:rFonts w:ascii="Roboto" w:eastAsia="Roboto" w:hAnsi="Roboto" w:cs="Roboto"/>
          <w:lang w:val="en-GB"/>
        </w:rPr>
        <w:t>T</w:t>
      </w:r>
      <w:r w:rsidRPr="17B3E375">
        <w:rPr>
          <w:rFonts w:ascii="Roboto" w:eastAsia="Roboto" w:hAnsi="Roboto" w:cs="Roboto"/>
          <w:lang w:val="en-GB"/>
        </w:rPr>
        <w:t xml:space="preserve">he CRPD Committee has consistently </w:t>
      </w:r>
      <w:r>
        <w:rPr>
          <w:rFonts w:ascii="Roboto" w:eastAsia="Roboto" w:hAnsi="Roboto" w:cs="Roboto"/>
          <w:lang w:val="en-GB"/>
        </w:rPr>
        <w:t>recommended</w:t>
      </w:r>
      <w:r w:rsidRPr="17B3E375">
        <w:rPr>
          <w:rFonts w:ascii="Roboto" w:eastAsia="Roboto" w:hAnsi="Roboto" w:cs="Roboto"/>
          <w:lang w:val="en-GB"/>
        </w:rPr>
        <w:t xml:space="preserve"> States </w:t>
      </w:r>
      <w:r>
        <w:rPr>
          <w:rFonts w:ascii="Roboto" w:eastAsia="Roboto" w:hAnsi="Roboto" w:cs="Roboto"/>
          <w:lang w:val="en-GB"/>
        </w:rPr>
        <w:t>to</w:t>
      </w:r>
      <w:r w:rsidRPr="17B3E375">
        <w:rPr>
          <w:rFonts w:ascii="Roboto" w:eastAsia="Roboto" w:hAnsi="Roboto" w:cs="Roboto"/>
          <w:lang w:val="en-GB"/>
        </w:rPr>
        <w:t xml:space="preserve"> </w:t>
      </w:r>
      <w:r>
        <w:rPr>
          <w:rFonts w:ascii="Roboto" w:eastAsia="Roboto" w:hAnsi="Roboto" w:cs="Roboto"/>
          <w:lang w:val="en-GB"/>
        </w:rPr>
        <w:t>move away from</w:t>
      </w:r>
      <w:r w:rsidRPr="17B3E375">
        <w:rPr>
          <w:rFonts w:ascii="Roboto" w:eastAsia="Roboto" w:hAnsi="Roboto" w:cs="Roboto"/>
          <w:lang w:val="en-GB"/>
        </w:rPr>
        <w:t xml:space="preserve"> </w:t>
      </w:r>
      <w:r>
        <w:rPr>
          <w:rFonts w:ascii="Roboto" w:eastAsia="Roboto" w:hAnsi="Roboto" w:cs="Roboto"/>
          <w:lang w:val="en-GB"/>
        </w:rPr>
        <w:t xml:space="preserve">the medical model of disability and its derived </w:t>
      </w:r>
      <w:r w:rsidRPr="17B3E375">
        <w:rPr>
          <w:rFonts w:ascii="Roboto" w:eastAsia="Roboto" w:hAnsi="Roboto" w:cs="Roboto"/>
          <w:lang w:val="en-GB"/>
        </w:rPr>
        <w:t>practices that promote ableism result</w:t>
      </w:r>
      <w:r>
        <w:rPr>
          <w:rFonts w:ascii="Roboto" w:eastAsia="Roboto" w:hAnsi="Roboto" w:cs="Roboto"/>
          <w:lang w:val="en-GB"/>
        </w:rPr>
        <w:t>ing</w:t>
      </w:r>
      <w:r w:rsidRPr="17B3E375">
        <w:rPr>
          <w:rFonts w:ascii="Roboto" w:eastAsia="Roboto" w:hAnsi="Roboto" w:cs="Roboto"/>
          <w:lang w:val="en-GB"/>
        </w:rPr>
        <w:t xml:space="preserve"> </w:t>
      </w:r>
      <w:r>
        <w:rPr>
          <w:rFonts w:ascii="Roboto" w:eastAsia="Roboto" w:hAnsi="Roboto" w:cs="Roboto"/>
          <w:lang w:val="en-GB"/>
        </w:rPr>
        <w:t>in disability-based discrimination. These practices include the use of negative and derogatory terms that portray persons with disabilities as inferior and not 'able' to live a meaningful life, such as ‘imbecile’, ‘unsound mind’, ‘crippled’, ‘retarded’ and ‘insane’, among others.</w:t>
      </w:r>
      <w:r>
        <w:rPr>
          <w:rStyle w:val="EndnoteReference"/>
          <w:rFonts w:ascii="Roboto" w:eastAsia="Roboto" w:hAnsi="Roboto" w:cs="Roboto"/>
          <w:lang w:val="en-GB"/>
        </w:rPr>
        <w:endnoteReference w:id="4"/>
      </w:r>
      <w:r>
        <w:rPr>
          <w:rFonts w:ascii="Roboto" w:eastAsia="Roboto" w:hAnsi="Roboto" w:cs="Roboto"/>
          <w:lang w:val="en-GB"/>
        </w:rPr>
        <w:t xml:space="preserve"> Ableism underlies legislations and regulations which discriminate based on disability. </w:t>
      </w:r>
      <w:r w:rsidRPr="00AE5AA0">
        <w:rPr>
          <w:rFonts w:ascii="Roboto" w:eastAsia="Roboto" w:hAnsi="Roboto" w:cs="Roboto"/>
          <w:lang w:val="en-GB"/>
        </w:rPr>
        <w:t xml:space="preserve">For </w:t>
      </w:r>
      <w:r>
        <w:rPr>
          <w:rFonts w:ascii="Roboto" w:eastAsia="Roboto" w:hAnsi="Roboto" w:cs="Roboto"/>
          <w:lang w:val="en-GB"/>
        </w:rPr>
        <w:t>example</w:t>
      </w:r>
      <w:r w:rsidRPr="00AE5AA0">
        <w:rPr>
          <w:rFonts w:ascii="Roboto" w:eastAsia="Roboto" w:hAnsi="Roboto" w:cs="Roboto"/>
          <w:lang w:val="en-GB"/>
        </w:rPr>
        <w:t>, the CRPD Committee noted with concern Bahrain's “</w:t>
      </w:r>
      <w:r w:rsidRPr="00AE5AA0">
        <w:rPr>
          <w:rFonts w:ascii="Roboto" w:eastAsia="Roboto" w:hAnsi="Roboto" w:cs="Roboto"/>
        </w:rPr>
        <w:t>adoption of provisions based on ableism, especially in the Civil Service Law, articles (11) and (25), as well as in the Civil Code and the Penal Code” where words such as ‘able’ and ‘fit’ were used in the legislation</w:t>
      </w:r>
      <w:r>
        <w:rPr>
          <w:rFonts w:ascii="Roboto" w:eastAsia="Roboto" w:hAnsi="Roboto" w:cs="Roboto"/>
        </w:rPr>
        <w:t>, leading to exclusion of persons with disabilities</w:t>
      </w:r>
      <w:r w:rsidRPr="00AE5AA0">
        <w:rPr>
          <w:rFonts w:ascii="Roboto" w:eastAsia="Roboto" w:hAnsi="Roboto" w:cs="Roboto"/>
        </w:rPr>
        <w:t>.</w:t>
      </w:r>
      <w:r>
        <w:rPr>
          <w:rStyle w:val="EndnoteReference"/>
          <w:rFonts w:ascii="Roboto" w:eastAsia="Roboto" w:hAnsi="Roboto" w:cs="Roboto"/>
        </w:rPr>
        <w:endnoteReference w:id="5"/>
      </w:r>
      <w:r w:rsidRPr="00AE5AA0">
        <w:rPr>
          <w:rFonts w:ascii="Roboto" w:eastAsia="Roboto" w:hAnsi="Roboto" w:cs="Roboto"/>
        </w:rPr>
        <w:t xml:space="preserve"> </w:t>
      </w:r>
    </w:p>
    <w:p w14:paraId="40E47418" w14:textId="465C4726" w:rsidR="00BF7C4B" w:rsidRPr="00A6123D"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lang w:val="en-GB"/>
        </w:rPr>
        <w:t xml:space="preserve"> </w:t>
      </w:r>
      <w:r w:rsidRPr="000246FA">
        <w:rPr>
          <w:rFonts w:ascii="Roboto" w:eastAsia="Roboto" w:hAnsi="Roboto" w:cs="Roboto"/>
          <w:b/>
          <w:bCs/>
          <w:lang w:val="en-GB"/>
        </w:rPr>
        <w:t>Ableism</w:t>
      </w:r>
      <w:r>
        <w:rPr>
          <w:rFonts w:ascii="Roboto" w:eastAsia="Roboto" w:hAnsi="Roboto" w:cs="Roboto"/>
          <w:lang w:val="en-GB"/>
        </w:rPr>
        <w:t xml:space="preserve"> has been defined as “</w:t>
      </w:r>
      <w:r w:rsidRPr="00B970AA">
        <w:rPr>
          <w:rFonts w:ascii="Roboto" w:eastAsia="Roboto" w:hAnsi="Roboto" w:cs="Roboto"/>
        </w:rPr>
        <w:t xml:space="preserve">a value system that considers certain typical characteristics of body and mind as essential for living a life of value. Based on strict </w:t>
      </w:r>
      <w:r w:rsidRPr="00B970AA">
        <w:rPr>
          <w:rFonts w:ascii="Roboto" w:eastAsia="Roboto" w:hAnsi="Roboto" w:cs="Roboto"/>
        </w:rPr>
        <w:lastRenderedPageBreak/>
        <w:t>standards of appearance, functioning</w:t>
      </w:r>
      <w:r>
        <w:rPr>
          <w:rFonts w:ascii="Roboto" w:eastAsia="Roboto" w:hAnsi="Roboto" w:cs="Roboto"/>
        </w:rPr>
        <w:t>,</w:t>
      </w:r>
      <w:r w:rsidRPr="00B970AA">
        <w:rPr>
          <w:rFonts w:ascii="Roboto" w:eastAsia="Roboto" w:hAnsi="Roboto" w:cs="Roboto"/>
        </w:rPr>
        <w:t xml:space="preserve"> and </w:t>
      </w:r>
      <w:r>
        <w:rPr>
          <w:rFonts w:ascii="Roboto" w:eastAsia="Roboto" w:hAnsi="Roboto" w:cs="Roboto"/>
        </w:rPr>
        <w:t>behavior</w:t>
      </w:r>
      <w:r w:rsidRPr="00B970AA">
        <w:rPr>
          <w:rFonts w:ascii="Roboto" w:eastAsia="Roboto" w:hAnsi="Roboto" w:cs="Roboto"/>
        </w:rPr>
        <w:t>, ableist ways of thinking consider the disability experience as a misfortune that leads to suffering and disadvantage and invariably devalues human life</w:t>
      </w:r>
      <w:r>
        <w:rPr>
          <w:rFonts w:ascii="Roboto" w:eastAsia="Roboto" w:hAnsi="Roboto" w:cs="Roboto"/>
        </w:rPr>
        <w:t>”</w:t>
      </w:r>
      <w:r w:rsidRPr="00B970AA">
        <w:rPr>
          <w:rFonts w:ascii="Roboto" w:eastAsia="Roboto" w:hAnsi="Roboto" w:cs="Roboto"/>
        </w:rPr>
        <w:t>.</w:t>
      </w:r>
      <w:r>
        <w:rPr>
          <w:rStyle w:val="EndnoteReference"/>
          <w:rFonts w:ascii="Roboto" w:eastAsia="Roboto" w:hAnsi="Roboto" w:cs="Roboto"/>
          <w:lang w:val="en-GB"/>
        </w:rPr>
        <w:endnoteReference w:id="6"/>
      </w:r>
      <w:r>
        <w:rPr>
          <w:rFonts w:ascii="Roboto" w:eastAsia="Roboto" w:hAnsi="Roboto" w:cs="Roboto"/>
        </w:rPr>
        <w:t xml:space="preserve"> Ableism leads </w:t>
      </w:r>
      <w:r w:rsidRPr="004766D5">
        <w:rPr>
          <w:rFonts w:ascii="Roboto" w:eastAsia="Roboto" w:hAnsi="Roboto" w:cs="Roboto"/>
        </w:rPr>
        <w:t>to social prejudice, discrimination against</w:t>
      </w:r>
      <w:r>
        <w:rPr>
          <w:rFonts w:ascii="Roboto" w:eastAsia="Roboto" w:hAnsi="Roboto" w:cs="Roboto"/>
        </w:rPr>
        <w:t>,</w:t>
      </w:r>
      <w:r w:rsidRPr="004766D5">
        <w:rPr>
          <w:rFonts w:ascii="Roboto" w:eastAsia="Roboto" w:hAnsi="Roboto" w:cs="Roboto"/>
        </w:rPr>
        <w:t xml:space="preserve"> and oppression of persons with disabilities, as it informs legislation, policies</w:t>
      </w:r>
      <w:r>
        <w:rPr>
          <w:rFonts w:ascii="Roboto" w:eastAsia="Roboto" w:hAnsi="Roboto" w:cs="Roboto"/>
        </w:rPr>
        <w:t>,</w:t>
      </w:r>
      <w:r w:rsidRPr="004766D5">
        <w:rPr>
          <w:rFonts w:ascii="Roboto" w:eastAsia="Roboto" w:hAnsi="Roboto" w:cs="Roboto"/>
        </w:rPr>
        <w:t xml:space="preserve"> and practices.</w:t>
      </w:r>
      <w:r>
        <w:rPr>
          <w:rStyle w:val="EndnoteReference"/>
          <w:rFonts w:ascii="Roboto" w:eastAsia="Roboto" w:hAnsi="Roboto" w:cs="Roboto"/>
          <w:lang w:val="en-GB"/>
        </w:rPr>
        <w:endnoteReference w:id="7"/>
      </w:r>
      <w:r w:rsidRPr="00096ADF">
        <w:t xml:space="preserve"> </w:t>
      </w:r>
      <w:r w:rsidRPr="00096ADF">
        <w:rPr>
          <w:rFonts w:ascii="Roboto" w:eastAsia="Roboto" w:hAnsi="Roboto" w:cs="Roboto"/>
        </w:rPr>
        <w:t>Ableism considers persons with disabilities as being less worthy of respect and consideration, less able to contribute and participate, and of less inherent value than others.</w:t>
      </w:r>
      <w:r>
        <w:rPr>
          <w:rStyle w:val="EndnoteReference"/>
          <w:rFonts w:ascii="Roboto" w:eastAsia="Roboto" w:hAnsi="Roboto" w:cs="Roboto"/>
          <w:lang w:val="en-GB"/>
        </w:rPr>
        <w:endnoteReference w:id="8"/>
      </w:r>
    </w:p>
    <w:p w14:paraId="1C5039F0" w14:textId="77777777" w:rsidR="00BF7C4B" w:rsidRPr="00515D16"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 xml:space="preserve">The intersection of </w:t>
      </w:r>
      <w:r w:rsidRPr="003E3B06">
        <w:rPr>
          <w:rFonts w:ascii="Roboto" w:eastAsia="Roboto" w:hAnsi="Roboto" w:cs="Roboto"/>
          <w:b/>
          <w:bCs/>
        </w:rPr>
        <w:t>racism, xenophobia and ableism</w:t>
      </w:r>
      <w:r>
        <w:rPr>
          <w:rFonts w:ascii="Roboto" w:eastAsia="Roboto" w:hAnsi="Roboto" w:cs="Roboto"/>
        </w:rPr>
        <w:t xml:space="preserve"> leads to hate speech and crimes. and discriminatory restrictions of the rights of migrants with disabilities, including the health requirement in legislation preventing them access to Visas for immigration and restrictions in accessing social services in the recipient State.</w:t>
      </w:r>
    </w:p>
    <w:p w14:paraId="4F937C6F" w14:textId="035522FF" w:rsidR="00BF7C4B" w:rsidRPr="00515D16" w:rsidRDefault="00BF7C4B" w:rsidP="00515D16">
      <w:pPr>
        <w:pStyle w:val="Heading3"/>
      </w:pPr>
      <w:r w:rsidRPr="00515D16">
        <w:t xml:space="preserve">a) Hate speech and crimes against migrants with disabilities </w:t>
      </w:r>
    </w:p>
    <w:p w14:paraId="03B2ED60" w14:textId="13DE3B3E" w:rsidR="00BF7C4B" w:rsidRPr="00DA3A78"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T</w:t>
      </w:r>
      <w:r w:rsidRPr="00DA3A78">
        <w:rPr>
          <w:rFonts w:ascii="Roboto" w:eastAsia="Roboto" w:hAnsi="Roboto" w:cs="Roboto"/>
        </w:rPr>
        <w:t>he rise of racist and xenophobic speech and violence against racial and other minorities, and against refugees and migrants in particular</w:t>
      </w:r>
      <w:r>
        <w:rPr>
          <w:rFonts w:ascii="Roboto" w:eastAsia="Roboto" w:hAnsi="Roboto" w:cs="Roboto"/>
        </w:rPr>
        <w:t xml:space="preserve">, noted by </w:t>
      </w:r>
      <w:r w:rsidRPr="005B10A1">
        <w:rPr>
          <w:rFonts w:ascii="Roboto" w:eastAsia="Roboto" w:hAnsi="Roboto" w:cs="Roboto"/>
        </w:rPr>
        <w:t>Special Rapporteur on contemporary forms of racism, racial discrimination, xenophobia</w:t>
      </w:r>
      <w:r>
        <w:rPr>
          <w:rFonts w:ascii="Roboto" w:eastAsia="Roboto" w:hAnsi="Roboto" w:cs="Roboto"/>
        </w:rPr>
        <w:t>,</w:t>
      </w:r>
      <w:r w:rsidRPr="005B10A1">
        <w:rPr>
          <w:rFonts w:ascii="Roboto" w:eastAsia="Roboto" w:hAnsi="Roboto" w:cs="Roboto"/>
        </w:rPr>
        <w:t xml:space="preserve"> and related intolerance</w:t>
      </w:r>
      <w:r>
        <w:rPr>
          <w:rFonts w:ascii="Roboto" w:eastAsia="Roboto" w:hAnsi="Roboto" w:cs="Roboto"/>
        </w:rPr>
        <w:t xml:space="preserve"> (the Special Rapporteur),</w:t>
      </w:r>
      <w:r w:rsidRPr="00DA3A78">
        <w:rPr>
          <w:rFonts w:ascii="Roboto" w:eastAsia="Roboto" w:hAnsi="Roboto" w:cs="Roboto"/>
          <w:vertAlign w:val="superscript"/>
          <w:lang w:val="en-GB"/>
        </w:rPr>
        <w:endnoteReference w:id="9"/>
      </w:r>
      <w:r>
        <w:rPr>
          <w:rFonts w:ascii="Roboto" w:eastAsia="Roboto" w:hAnsi="Roboto" w:cs="Roboto"/>
        </w:rPr>
        <w:t xml:space="preserve"> fosters increased restrictions and violations of rights, in law and in practice, under the prejudice and assumption that persons with disabilities would be unproductive and a cost and a burden for the recipient country.</w:t>
      </w:r>
    </w:p>
    <w:p w14:paraId="294740F0" w14:textId="23052603" w:rsidR="00BF7C4B" w:rsidRPr="00DA3A78"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W</w:t>
      </w:r>
      <w:r w:rsidRPr="003730D2">
        <w:rPr>
          <w:rFonts w:ascii="Roboto" w:eastAsia="Roboto" w:hAnsi="Roboto" w:cs="Roboto"/>
        </w:rPr>
        <w:t xml:space="preserve">hile </w:t>
      </w:r>
      <w:r>
        <w:rPr>
          <w:rFonts w:ascii="Roboto" w:eastAsia="Roboto" w:hAnsi="Roboto" w:cs="Roboto"/>
        </w:rPr>
        <w:t>analyzing</w:t>
      </w:r>
      <w:r w:rsidRPr="003730D2">
        <w:rPr>
          <w:rFonts w:ascii="Roboto" w:eastAsia="Roboto" w:hAnsi="Roboto" w:cs="Roboto"/>
        </w:rPr>
        <w:t xml:space="preserve"> contemporary </w:t>
      </w:r>
      <w:bookmarkStart w:id="0" w:name="_Hlk164266328"/>
      <w:r w:rsidRPr="003730D2">
        <w:rPr>
          <w:rFonts w:ascii="Roboto" w:eastAsia="Roboto" w:hAnsi="Roboto" w:cs="Roboto"/>
        </w:rPr>
        <w:t>drivers and manifestations of racial discrimination in citizenship, nationality</w:t>
      </w:r>
      <w:r>
        <w:rPr>
          <w:rFonts w:ascii="Roboto" w:eastAsia="Roboto" w:hAnsi="Roboto" w:cs="Roboto"/>
        </w:rPr>
        <w:t>,</w:t>
      </w:r>
      <w:r w:rsidRPr="003730D2">
        <w:rPr>
          <w:rFonts w:ascii="Roboto" w:eastAsia="Roboto" w:hAnsi="Roboto" w:cs="Roboto"/>
        </w:rPr>
        <w:t xml:space="preserve"> and immigration laws, policies</w:t>
      </w:r>
      <w:r>
        <w:rPr>
          <w:rFonts w:ascii="Roboto" w:eastAsia="Roboto" w:hAnsi="Roboto" w:cs="Roboto"/>
        </w:rPr>
        <w:t>,</w:t>
      </w:r>
      <w:r w:rsidRPr="003730D2">
        <w:rPr>
          <w:rFonts w:ascii="Roboto" w:eastAsia="Roboto" w:hAnsi="Roboto" w:cs="Roboto"/>
        </w:rPr>
        <w:t xml:space="preserve"> and practices</w:t>
      </w:r>
      <w:r>
        <w:rPr>
          <w:rFonts w:ascii="Roboto" w:eastAsia="Roboto" w:hAnsi="Roboto" w:cs="Roboto"/>
        </w:rPr>
        <w:t>, t</w:t>
      </w:r>
      <w:r w:rsidRPr="003730D2">
        <w:rPr>
          <w:rFonts w:ascii="Roboto" w:eastAsia="Roboto" w:hAnsi="Roboto" w:cs="Roboto"/>
        </w:rPr>
        <w:t xml:space="preserve">he </w:t>
      </w:r>
      <w:r w:rsidRPr="005B10A1">
        <w:rPr>
          <w:rFonts w:ascii="Roboto" w:eastAsia="Roboto" w:hAnsi="Roboto" w:cs="Roboto"/>
        </w:rPr>
        <w:t>Special Rapporteur</w:t>
      </w:r>
      <w:r w:rsidRPr="003730D2">
        <w:rPr>
          <w:rFonts w:ascii="Roboto" w:eastAsia="Roboto" w:hAnsi="Roboto" w:cs="Roboto"/>
        </w:rPr>
        <w:t xml:space="preserve"> </w:t>
      </w:r>
      <w:bookmarkEnd w:id="0"/>
      <w:r>
        <w:rPr>
          <w:rFonts w:ascii="Roboto" w:eastAsia="Roboto" w:hAnsi="Roboto" w:cs="Roboto"/>
        </w:rPr>
        <w:t xml:space="preserve">identifies three major drivers: </w:t>
      </w:r>
      <w:r>
        <w:rPr>
          <w:rFonts w:ascii="Roboto" w:eastAsia="Roboto" w:hAnsi="Roboto" w:cs="Roboto"/>
          <w:b/>
          <w:bCs/>
        </w:rPr>
        <w:t>E</w:t>
      </w:r>
      <w:r w:rsidRPr="003E3B06">
        <w:rPr>
          <w:rFonts w:ascii="Roboto" w:eastAsia="Roboto" w:hAnsi="Roboto" w:cs="Roboto"/>
          <w:b/>
          <w:bCs/>
        </w:rPr>
        <w:t>thno-nationalism</w:t>
      </w:r>
      <w:r>
        <w:rPr>
          <w:rFonts w:ascii="Roboto" w:eastAsia="Roboto" w:hAnsi="Roboto" w:cs="Roboto"/>
        </w:rPr>
        <w:t xml:space="preserve">, </w:t>
      </w:r>
      <w:r w:rsidRPr="003E3B06">
        <w:rPr>
          <w:rFonts w:ascii="Roboto" w:eastAsia="Roboto" w:hAnsi="Roboto" w:cs="Roboto"/>
          <w:b/>
          <w:bCs/>
        </w:rPr>
        <w:t>national security and anxiety</w:t>
      </w:r>
      <w:r>
        <w:rPr>
          <w:rFonts w:ascii="Roboto" w:eastAsia="Roboto" w:hAnsi="Roboto" w:cs="Roboto"/>
        </w:rPr>
        <w:t xml:space="preserve"> and </w:t>
      </w:r>
      <w:r w:rsidRPr="003E3B06">
        <w:rPr>
          <w:rFonts w:ascii="Roboto" w:eastAsia="Roboto" w:hAnsi="Roboto" w:cs="Roboto"/>
          <w:b/>
          <w:bCs/>
        </w:rPr>
        <w:t>economic scapegoating of non-citizens.</w:t>
      </w:r>
      <w:r>
        <w:rPr>
          <w:rFonts w:ascii="Roboto" w:eastAsia="Roboto" w:hAnsi="Roboto" w:cs="Roboto"/>
        </w:rPr>
        <w:t xml:space="preserve"> </w:t>
      </w:r>
      <w:r w:rsidRPr="00DA3A78">
        <w:rPr>
          <w:rFonts w:ascii="Roboto" w:eastAsia="Roboto" w:hAnsi="Roboto" w:cs="Roboto"/>
        </w:rPr>
        <w:t>All these approaches affect migrants with disabilities uniquely and disproportionately</w:t>
      </w:r>
      <w:r>
        <w:rPr>
          <w:rFonts w:ascii="Roboto" w:eastAsia="Roboto" w:hAnsi="Roboto" w:cs="Roboto"/>
        </w:rPr>
        <w:t>, due the prejudice identified above (para. 7)</w:t>
      </w:r>
      <w:r w:rsidRPr="00DA3A78">
        <w:rPr>
          <w:rFonts w:ascii="Roboto" w:eastAsia="Roboto" w:hAnsi="Roboto" w:cs="Roboto"/>
        </w:rPr>
        <w:t>. Indeed</w:t>
      </w:r>
      <w:r>
        <w:rPr>
          <w:rFonts w:ascii="Roboto" w:eastAsia="Roboto" w:hAnsi="Roboto" w:cs="Roboto"/>
        </w:rPr>
        <w:t>,</w:t>
      </w:r>
      <w:r w:rsidRPr="00DA3A78">
        <w:rPr>
          <w:rFonts w:ascii="Roboto" w:eastAsia="Roboto" w:hAnsi="Roboto" w:cs="Roboto"/>
        </w:rPr>
        <w:t xml:space="preserve"> the Special Rapporteur notes that the </w:t>
      </w:r>
      <w:r w:rsidRPr="00DA3A78">
        <w:rPr>
          <w:rFonts w:ascii="Roboto" w:eastAsia="Roboto" w:hAnsi="Roboto" w:cs="Roboto"/>
          <w:b/>
          <w:bCs/>
        </w:rPr>
        <w:t>“</w:t>
      </w:r>
      <w:r w:rsidRPr="0090128A">
        <w:rPr>
          <w:rFonts w:ascii="Roboto" w:eastAsia="Roboto" w:hAnsi="Roboto" w:cs="Roboto"/>
        </w:rPr>
        <w:t xml:space="preserve">rise of populist nationalism and right-wing extremism has delivered a devastating blow to racial equality, </w:t>
      </w:r>
      <w:r w:rsidRPr="00DA3A78">
        <w:rPr>
          <w:rFonts w:ascii="Roboto" w:eastAsia="Roboto" w:hAnsi="Roboto" w:cs="Roboto"/>
          <w:b/>
          <w:bCs/>
        </w:rPr>
        <w:t>especially in the global North with persons with disabilities among other groups bearing the greatest brunt</w:t>
      </w:r>
      <w:r>
        <w:rPr>
          <w:rFonts w:ascii="Roboto" w:eastAsia="Roboto" w:hAnsi="Roboto" w:cs="Roboto"/>
          <w:b/>
          <w:bCs/>
        </w:rPr>
        <w:t>."</w:t>
      </w:r>
      <w:r w:rsidRPr="003730D2">
        <w:rPr>
          <w:rFonts w:ascii="Roboto" w:eastAsia="Roboto" w:hAnsi="Roboto" w:cs="Roboto"/>
          <w:vertAlign w:val="superscript"/>
          <w:lang w:val="en-GB"/>
        </w:rPr>
        <w:endnoteReference w:id="10"/>
      </w:r>
      <w:r w:rsidRPr="00DA3A78">
        <w:rPr>
          <w:rFonts w:ascii="Roboto" w:eastAsia="Roboto" w:hAnsi="Roboto" w:cs="Roboto"/>
        </w:rPr>
        <w:t xml:space="preserve"> </w:t>
      </w:r>
    </w:p>
    <w:p w14:paraId="532AFCE0" w14:textId="77777777" w:rsidR="00BF7C4B" w:rsidRPr="00DF7BB2"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 xml:space="preserve">Migrants with disabilities have been targeted in different countries and assaulted </w:t>
      </w:r>
      <w:proofErr w:type="gramStart"/>
      <w:r>
        <w:rPr>
          <w:rFonts w:ascii="Roboto" w:eastAsia="Roboto" w:hAnsi="Roboto" w:cs="Roboto"/>
        </w:rPr>
        <w:t>on the basis of</w:t>
      </w:r>
      <w:proofErr w:type="gramEnd"/>
      <w:r>
        <w:rPr>
          <w:rFonts w:ascii="Roboto" w:eastAsia="Roboto" w:hAnsi="Roboto" w:cs="Roboto"/>
        </w:rPr>
        <w:t xml:space="preserve"> their origin, ethnic group, and disability. In 2019, </w:t>
      </w:r>
      <w:r w:rsidRPr="00B50AB0">
        <w:rPr>
          <w:rFonts w:ascii="Roboto" w:eastAsia="Roboto" w:hAnsi="Roboto" w:cs="Roboto"/>
        </w:rPr>
        <w:t>21 hate crimes against persons with disabilities were reported</w:t>
      </w:r>
      <w:r>
        <w:rPr>
          <w:rFonts w:ascii="Roboto" w:eastAsia="Roboto" w:hAnsi="Roboto" w:cs="Roboto"/>
        </w:rPr>
        <w:t xml:space="preserve"> across Europe.</w:t>
      </w:r>
      <w:r>
        <w:rPr>
          <w:rStyle w:val="EndnoteReference"/>
          <w:rFonts w:ascii="Roboto" w:eastAsia="Roboto" w:hAnsi="Roboto" w:cs="Roboto"/>
          <w:lang w:val="en-GB"/>
        </w:rPr>
        <w:endnoteReference w:id="11"/>
      </w:r>
      <w:r>
        <w:rPr>
          <w:rFonts w:ascii="Roboto" w:eastAsia="Roboto" w:hAnsi="Roboto" w:cs="Roboto"/>
        </w:rPr>
        <w:t xml:space="preserve"> As documented by </w:t>
      </w:r>
      <w:r w:rsidRPr="00DF7BB2">
        <w:rPr>
          <w:rFonts w:ascii="Roboto" w:eastAsia="Roboto" w:hAnsi="Roboto" w:cs="Roboto"/>
        </w:rPr>
        <w:t xml:space="preserve">the </w:t>
      </w:r>
      <w:hyperlink r:id="rId9" w:history="1">
        <w:r w:rsidRPr="00DF7BB2">
          <w:rPr>
            <w:rStyle w:val="Hyperlink"/>
            <w:rFonts w:ascii="Roboto" w:eastAsia="Roboto" w:hAnsi="Roboto" w:cs="Roboto"/>
          </w:rPr>
          <w:t>European Disability Forum (EDF)</w:t>
        </w:r>
      </w:hyperlink>
      <w:r>
        <w:rPr>
          <w:rFonts w:ascii="Roboto" w:eastAsia="Roboto" w:hAnsi="Roboto" w:cs="Roboto"/>
        </w:rPr>
        <w:t>, persons with disabilities received threats on online platforms, and were subjected to racist insults and/or the properties where they lived were destroyed.</w:t>
      </w:r>
      <w:r>
        <w:rPr>
          <w:rStyle w:val="EndnoteReference"/>
          <w:rFonts w:ascii="Roboto" w:eastAsia="Roboto" w:hAnsi="Roboto" w:cs="Roboto"/>
        </w:rPr>
        <w:endnoteReference w:id="12"/>
      </w:r>
      <w:r>
        <w:rPr>
          <w:rFonts w:ascii="Roboto" w:eastAsia="Roboto" w:hAnsi="Roboto" w:cs="Roboto"/>
        </w:rPr>
        <w:t xml:space="preserve"> In Austria, an Afghan </w:t>
      </w:r>
      <w:r w:rsidRPr="00B50AB0">
        <w:rPr>
          <w:rFonts w:ascii="Roboto" w:eastAsia="Roboto" w:hAnsi="Roboto" w:cs="Roboto"/>
        </w:rPr>
        <w:t>man with disabilities was subjected to racist insults and physically assaulted by police at a police station</w:t>
      </w:r>
      <w:r>
        <w:rPr>
          <w:rFonts w:ascii="Roboto" w:eastAsia="Roboto" w:hAnsi="Roboto" w:cs="Roboto"/>
        </w:rPr>
        <w:t>.</w:t>
      </w:r>
      <w:r>
        <w:rPr>
          <w:rStyle w:val="EndnoteReference"/>
          <w:rFonts w:ascii="Roboto" w:eastAsia="Roboto" w:hAnsi="Roboto" w:cs="Roboto"/>
        </w:rPr>
        <w:endnoteReference w:id="13"/>
      </w:r>
      <w:r>
        <w:rPr>
          <w:rFonts w:ascii="Roboto" w:eastAsia="Roboto" w:hAnsi="Roboto" w:cs="Roboto"/>
        </w:rPr>
        <w:t xml:space="preserve"> In Germany a Libyan</w:t>
      </w:r>
      <w:r w:rsidRPr="00482EB6">
        <w:rPr>
          <w:rFonts w:ascii="Roboto" w:eastAsia="Roboto" w:hAnsi="Roboto" w:cs="Roboto"/>
        </w:rPr>
        <w:t xml:space="preserve"> male</w:t>
      </w:r>
      <w:r>
        <w:rPr>
          <w:rFonts w:ascii="Roboto" w:eastAsia="Roboto" w:hAnsi="Roboto" w:cs="Roboto"/>
        </w:rPr>
        <w:t xml:space="preserve"> wheelchair user and an</w:t>
      </w:r>
      <w:r w:rsidRPr="00482EB6">
        <w:rPr>
          <w:rFonts w:ascii="Roboto" w:eastAsia="Roboto" w:hAnsi="Roboto" w:cs="Roboto"/>
        </w:rPr>
        <w:t xml:space="preserve"> asylum seeker was subjected to anti-Arab insults, repeatedly punched in the face and, after falling out of his wheelchair, was repeatedly kicked while lying on the ground by a group. </w:t>
      </w:r>
      <w:r w:rsidRPr="003E3B06">
        <w:rPr>
          <w:rFonts w:ascii="Roboto" w:eastAsia="Roboto" w:hAnsi="Roboto" w:cs="Roboto"/>
        </w:rPr>
        <w:t xml:space="preserve">The main perpetrator, who has a far-right background and had been implicated in previous racist attacks, was prosecuted for a racist and </w:t>
      </w:r>
      <w:r w:rsidRPr="00482EB6">
        <w:rPr>
          <w:rFonts w:ascii="Roboto" w:eastAsia="Roboto" w:hAnsi="Roboto" w:cs="Roboto"/>
        </w:rPr>
        <w:t>disablist</w:t>
      </w:r>
      <w:r w:rsidRPr="003E3B06">
        <w:rPr>
          <w:rFonts w:ascii="Roboto" w:eastAsia="Roboto" w:hAnsi="Roboto" w:cs="Roboto"/>
        </w:rPr>
        <w:t xml:space="preserve"> hate crime.</w:t>
      </w:r>
      <w:r>
        <w:rPr>
          <w:rStyle w:val="EndnoteReference"/>
          <w:rFonts w:ascii="Roboto" w:eastAsia="Roboto" w:hAnsi="Roboto" w:cs="Roboto"/>
        </w:rPr>
        <w:endnoteReference w:id="14"/>
      </w:r>
      <w:r>
        <w:rPr>
          <w:rFonts w:ascii="Roboto" w:eastAsia="Roboto" w:hAnsi="Roboto" w:cs="Roboto"/>
        </w:rPr>
        <w:t xml:space="preserve"> </w:t>
      </w:r>
    </w:p>
    <w:p w14:paraId="4031D2E6" w14:textId="3EB8D0B1" w:rsidR="00BF7C4B" w:rsidRPr="00515D16"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 xml:space="preserve">In Italy, a </w:t>
      </w:r>
      <w:r w:rsidRPr="00482EB6">
        <w:rPr>
          <w:rFonts w:ascii="Roboto" w:eastAsia="Roboto" w:hAnsi="Roboto" w:cs="Roboto"/>
        </w:rPr>
        <w:t xml:space="preserve">man of Moroccan descent who </w:t>
      </w:r>
      <w:r>
        <w:rPr>
          <w:rFonts w:ascii="Roboto" w:eastAsia="Roboto" w:hAnsi="Roboto" w:cs="Roboto"/>
        </w:rPr>
        <w:t xml:space="preserve">is </w:t>
      </w:r>
      <w:r w:rsidRPr="00482EB6">
        <w:rPr>
          <w:rFonts w:ascii="Roboto" w:eastAsia="Roboto" w:hAnsi="Roboto" w:cs="Roboto"/>
        </w:rPr>
        <w:t>wheelchair</w:t>
      </w:r>
      <w:r>
        <w:rPr>
          <w:rFonts w:ascii="Roboto" w:eastAsia="Roboto" w:hAnsi="Roboto" w:cs="Roboto"/>
        </w:rPr>
        <w:t xml:space="preserve"> user</w:t>
      </w:r>
      <w:r w:rsidRPr="00482EB6">
        <w:rPr>
          <w:rFonts w:ascii="Roboto" w:eastAsia="Roboto" w:hAnsi="Roboto" w:cs="Roboto"/>
        </w:rPr>
        <w:t xml:space="preserve"> was subjected to racist, xenophobic, and disablist insults and spat at by other passengers on a tram. The </w:t>
      </w:r>
      <w:r w:rsidRPr="00482EB6">
        <w:rPr>
          <w:rFonts w:ascii="Roboto" w:eastAsia="Roboto" w:hAnsi="Roboto" w:cs="Roboto"/>
        </w:rPr>
        <w:lastRenderedPageBreak/>
        <w:t>perpetrators accused the victim of delaying the tram's departure while he fixed his wheelchair in place, as required by law.</w:t>
      </w:r>
      <w:r>
        <w:rPr>
          <w:rStyle w:val="EndnoteReference"/>
          <w:rFonts w:ascii="Roboto" w:eastAsia="Roboto" w:hAnsi="Roboto" w:cs="Roboto"/>
          <w:lang w:val="en-GB"/>
        </w:rPr>
        <w:endnoteReference w:id="15"/>
      </w:r>
      <w:r>
        <w:rPr>
          <w:rFonts w:ascii="Roboto" w:eastAsia="Roboto" w:hAnsi="Roboto" w:cs="Roboto"/>
        </w:rPr>
        <w:t xml:space="preserve"> In Spain, a school for learners with disabilities </w:t>
      </w:r>
      <w:r w:rsidRPr="00466082">
        <w:rPr>
          <w:rFonts w:ascii="Roboto" w:eastAsia="Roboto" w:hAnsi="Roboto" w:cs="Roboto"/>
        </w:rPr>
        <w:t>was covered in racist and disablist graffiti</w:t>
      </w:r>
      <w:r>
        <w:rPr>
          <w:rFonts w:ascii="Roboto" w:eastAsia="Roboto" w:hAnsi="Roboto" w:cs="Roboto"/>
        </w:rPr>
        <w:t>.</w:t>
      </w:r>
      <w:r>
        <w:rPr>
          <w:rStyle w:val="EndnoteReference"/>
          <w:rFonts w:ascii="Roboto" w:eastAsia="Roboto" w:hAnsi="Roboto" w:cs="Roboto"/>
          <w:lang w:val="en-GB"/>
        </w:rPr>
        <w:endnoteReference w:id="16"/>
      </w:r>
      <w:r>
        <w:rPr>
          <w:rFonts w:ascii="Roboto" w:eastAsia="Roboto" w:hAnsi="Roboto" w:cs="Roboto"/>
        </w:rPr>
        <w:t xml:space="preserve"> It is crucial to note these xenophobic and racial attacks continue even when in several States disability is not included as a prohibitive ground in relation to hate speech and crime. </w:t>
      </w:r>
    </w:p>
    <w:p w14:paraId="0AEC3A0F" w14:textId="415D996A" w:rsidR="00BF7C4B" w:rsidRPr="00466082" w:rsidRDefault="00BF7C4B" w:rsidP="00515D16">
      <w:pPr>
        <w:pStyle w:val="Heading3"/>
      </w:pPr>
      <w:r>
        <w:t>b</w:t>
      </w:r>
      <w:r w:rsidRPr="00515D16">
        <w:t xml:space="preserve">) </w:t>
      </w:r>
      <w:proofErr w:type="spellStart"/>
      <w:r>
        <w:t>Discriminatoty</w:t>
      </w:r>
      <w:proofErr w:type="spellEnd"/>
      <w:r>
        <w:t xml:space="preserve"> restrictions of the rights of migrants with disabilities based on ableism</w:t>
      </w:r>
      <w:r w:rsidRPr="00515D16">
        <w:t xml:space="preserve"> </w:t>
      </w:r>
    </w:p>
    <w:p w14:paraId="6D3C1978" w14:textId="17078178" w:rsidR="00BF7C4B" w:rsidRPr="00660B60"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 xml:space="preserve"> Ableism continues to be manifested in immigration laws and policies. For instance, </w:t>
      </w:r>
      <w:r>
        <w:rPr>
          <w:rFonts w:ascii="Roboto" w:eastAsia="Roboto" w:hAnsi="Roboto" w:cs="Roboto"/>
          <w:lang w:val="en-GB"/>
        </w:rPr>
        <w:t xml:space="preserve">Article 6 of the Bahrain's Nationality Law of 1963 provides </w:t>
      </w:r>
      <w:r w:rsidRPr="00431613">
        <w:rPr>
          <w:rFonts w:ascii="Roboto" w:eastAsia="Roboto" w:hAnsi="Roboto" w:cs="Roboto"/>
        </w:rPr>
        <w:t xml:space="preserve">that nationality is granted to a person with </w:t>
      </w:r>
      <w:r>
        <w:rPr>
          <w:rFonts w:ascii="Roboto" w:eastAsia="Roboto" w:hAnsi="Roboto" w:cs="Roboto"/>
        </w:rPr>
        <w:t>"</w:t>
      </w:r>
      <w:r w:rsidRPr="00431613">
        <w:rPr>
          <w:rFonts w:ascii="Roboto" w:eastAsia="Roboto" w:hAnsi="Roboto" w:cs="Roboto"/>
        </w:rPr>
        <w:t>full capacity</w:t>
      </w:r>
      <w:r>
        <w:rPr>
          <w:rFonts w:ascii="Roboto" w:eastAsia="Roboto" w:hAnsi="Roboto" w:cs="Roboto"/>
        </w:rPr>
        <w:t xml:space="preserve">", defined in </w:t>
      </w:r>
      <w:r w:rsidRPr="00FD5561">
        <w:rPr>
          <w:rFonts w:ascii="Roboto" w:eastAsia="Roboto" w:hAnsi="Roboto" w:cs="Roboto"/>
        </w:rPr>
        <w:t xml:space="preserve">Article 2 as "not a minor and not of </w:t>
      </w:r>
      <w:r w:rsidRPr="000B08C8">
        <w:rPr>
          <w:rFonts w:ascii="Roboto" w:eastAsia="Roboto" w:hAnsi="Roboto" w:cs="Roboto"/>
          <w:b/>
          <w:bCs/>
        </w:rPr>
        <w:t>unsound mind</w:t>
      </w:r>
      <w:r w:rsidRPr="00FD5561">
        <w:rPr>
          <w:rFonts w:ascii="Roboto" w:eastAsia="Roboto" w:hAnsi="Roboto" w:cs="Roboto"/>
        </w:rPr>
        <w:t>”.</w:t>
      </w:r>
      <w:r w:rsidRPr="00FD5561">
        <w:rPr>
          <w:rFonts w:ascii="Roboto" w:eastAsia="Roboto" w:hAnsi="Roboto" w:cs="Roboto"/>
          <w:vertAlign w:val="superscript"/>
          <w:lang w:val="en-GB"/>
        </w:rPr>
        <w:endnoteReference w:id="17"/>
      </w:r>
      <w:r>
        <w:rPr>
          <w:rFonts w:ascii="Roboto" w:eastAsia="Roboto" w:hAnsi="Roboto" w:cs="Roboto"/>
        </w:rPr>
        <w:t xml:space="preserve"> The use of mental health status to deny one’s legal capacity and the ripple effect as a barrier to nationality is one of many examples of medical health requirements that are utilized by different States to restrict persons with disabilities right to freedom of movement based on </w:t>
      </w:r>
      <w:r w:rsidRPr="006B2F39">
        <w:rPr>
          <w:rFonts w:ascii="Roboto" w:eastAsia="Roboto" w:hAnsi="Roboto" w:cs="Roboto"/>
          <w:b/>
          <w:bCs/>
        </w:rPr>
        <w:t>perceived threats to public health</w:t>
      </w:r>
      <w:r>
        <w:rPr>
          <w:rFonts w:ascii="Roboto" w:eastAsia="Roboto" w:hAnsi="Roboto" w:cs="Roboto"/>
        </w:rPr>
        <w:t xml:space="preserve"> or </w:t>
      </w:r>
      <w:r w:rsidRPr="006B2F39">
        <w:rPr>
          <w:rFonts w:ascii="Roboto" w:eastAsia="Roboto" w:hAnsi="Roboto" w:cs="Roboto"/>
          <w:b/>
          <w:bCs/>
        </w:rPr>
        <w:t>economic burden associated</w:t>
      </w:r>
      <w:r>
        <w:rPr>
          <w:rFonts w:ascii="Roboto" w:eastAsia="Roboto" w:hAnsi="Roboto" w:cs="Roboto"/>
        </w:rPr>
        <w:t xml:space="preserve"> with migrants with disabilities. </w:t>
      </w:r>
    </w:p>
    <w:p w14:paraId="6F663B61" w14:textId="14578B53" w:rsidR="00BF7C4B" w:rsidRPr="00515D16"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 xml:space="preserve">In 2014, </w:t>
      </w:r>
      <w:r w:rsidRPr="0034139A">
        <w:rPr>
          <w:rFonts w:ascii="Roboto" w:eastAsia="Roboto" w:hAnsi="Roboto" w:cs="Roboto"/>
        </w:rPr>
        <w:t>Grainne Sherlock</w:t>
      </w:r>
      <w:r>
        <w:rPr>
          <w:rFonts w:ascii="Roboto" w:eastAsia="Roboto" w:hAnsi="Roboto" w:cs="Roboto"/>
        </w:rPr>
        <w:t>,</w:t>
      </w:r>
      <w:r w:rsidRPr="0034139A">
        <w:rPr>
          <w:rFonts w:ascii="Roboto" w:eastAsia="Roboto" w:hAnsi="Roboto" w:cs="Roboto"/>
        </w:rPr>
        <w:t xml:space="preserve"> a woman of Irish origin with multiple sclerosis filed an individual communication </w:t>
      </w:r>
      <w:r>
        <w:rPr>
          <w:rFonts w:ascii="Roboto" w:eastAsia="Roboto" w:hAnsi="Roboto" w:cs="Roboto"/>
        </w:rPr>
        <w:t>before</w:t>
      </w:r>
      <w:r w:rsidRPr="0034139A">
        <w:rPr>
          <w:rFonts w:ascii="Roboto" w:eastAsia="Roboto" w:hAnsi="Roboto" w:cs="Roboto"/>
        </w:rPr>
        <w:t xml:space="preserve"> the CRPD Committee following her denial of </w:t>
      </w:r>
      <w:r>
        <w:rPr>
          <w:rFonts w:ascii="Roboto" w:eastAsia="Roboto" w:hAnsi="Roboto" w:cs="Roboto"/>
        </w:rPr>
        <w:t xml:space="preserve">a work </w:t>
      </w:r>
      <w:r w:rsidRPr="0034139A">
        <w:rPr>
          <w:rFonts w:ascii="Roboto" w:eastAsia="Roboto" w:hAnsi="Roboto" w:cs="Roboto"/>
        </w:rPr>
        <w:t xml:space="preserve">visa for failing to meet </w:t>
      </w:r>
      <w:r>
        <w:rPr>
          <w:rFonts w:ascii="Roboto" w:eastAsia="Roboto" w:hAnsi="Roboto" w:cs="Roboto"/>
        </w:rPr>
        <w:t>Australia’s</w:t>
      </w:r>
      <w:r w:rsidRPr="0034139A">
        <w:rPr>
          <w:rFonts w:ascii="Roboto" w:eastAsia="Roboto" w:hAnsi="Roboto" w:cs="Roboto"/>
        </w:rPr>
        <w:t xml:space="preserve"> </w:t>
      </w:r>
      <w:r>
        <w:rPr>
          <w:rFonts w:ascii="Roboto" w:eastAsia="Roboto" w:hAnsi="Roboto" w:cs="Roboto"/>
        </w:rPr>
        <w:t xml:space="preserve">“migration </w:t>
      </w:r>
      <w:r w:rsidRPr="0034139A">
        <w:rPr>
          <w:rFonts w:ascii="Roboto" w:eastAsia="Roboto" w:hAnsi="Roboto" w:cs="Roboto"/>
        </w:rPr>
        <w:t>health requirement</w:t>
      </w:r>
      <w:r>
        <w:rPr>
          <w:rFonts w:ascii="Roboto" w:eastAsia="Roboto" w:hAnsi="Roboto" w:cs="Roboto"/>
        </w:rPr>
        <w:t xml:space="preserve">”. The “migration health requirement” </w:t>
      </w:r>
      <w:r w:rsidRPr="00B82178">
        <w:rPr>
          <w:rFonts w:ascii="Roboto" w:eastAsia="Roboto" w:hAnsi="Roboto" w:cs="Roboto"/>
          <w:lang w:val="en-CH"/>
        </w:rPr>
        <w:t>of Public Interest Criterion 4006A</w:t>
      </w:r>
      <w:r>
        <w:rPr>
          <w:rFonts w:ascii="Roboto" w:eastAsia="Roboto" w:hAnsi="Roboto" w:cs="Roboto"/>
          <w:lang w:val="en-CH"/>
        </w:rPr>
        <w:t xml:space="preserve"> </w:t>
      </w:r>
      <w:r w:rsidRPr="00B82178">
        <w:rPr>
          <w:rFonts w:ascii="Roboto" w:eastAsia="Roboto" w:hAnsi="Roboto" w:cs="Roboto"/>
          <w:lang w:val="en-CH"/>
        </w:rPr>
        <w:t>set out in the Migration Regulations 1994 provide</w:t>
      </w:r>
      <w:r>
        <w:rPr>
          <w:rFonts w:ascii="Roboto" w:eastAsia="Roboto" w:hAnsi="Roboto" w:cs="Roboto"/>
          <w:lang w:val="en-CH"/>
        </w:rPr>
        <w:t>d</w:t>
      </w:r>
      <w:r w:rsidRPr="00B82178">
        <w:rPr>
          <w:rFonts w:ascii="Roboto" w:eastAsia="Roboto" w:hAnsi="Roboto" w:cs="Roboto"/>
          <w:lang w:val="en-CH"/>
        </w:rPr>
        <w:t xml:space="preserve"> that </w:t>
      </w:r>
      <w:r>
        <w:rPr>
          <w:rFonts w:ascii="Roboto" w:eastAsia="Roboto" w:hAnsi="Roboto" w:cs="Roboto"/>
          <w:lang w:val="en-CH"/>
        </w:rPr>
        <w:t>"</w:t>
      </w:r>
      <w:r w:rsidRPr="00B82178">
        <w:rPr>
          <w:rFonts w:ascii="Roboto" w:eastAsia="Roboto" w:hAnsi="Roboto" w:cs="Roboto"/>
          <w:lang w:val="en-CH"/>
        </w:rPr>
        <w:t xml:space="preserve">applicants must be free of any disease or condition in relation to which they would be likely to require health care or community services during the period of the visa in circumstances where the provision of such treatment would constitute a </w:t>
      </w:r>
      <w:r>
        <w:rPr>
          <w:rFonts w:ascii="Roboto" w:eastAsia="Roboto" w:hAnsi="Roboto" w:cs="Roboto"/>
          <w:lang w:val="en-CH"/>
        </w:rPr>
        <w:t>'</w:t>
      </w:r>
      <w:r w:rsidRPr="00B82178">
        <w:rPr>
          <w:rFonts w:ascii="Roboto" w:eastAsia="Roboto" w:hAnsi="Roboto" w:cs="Roboto"/>
          <w:lang w:val="en-CH"/>
        </w:rPr>
        <w:t>significant cost to the Australian authorities or prejudice the access of an Australian citizen or permanent resident to health care</w:t>
      </w:r>
      <w:r>
        <w:rPr>
          <w:rFonts w:ascii="Roboto" w:eastAsia="Roboto" w:hAnsi="Roboto" w:cs="Roboto"/>
          <w:lang w:val="en-CH"/>
        </w:rPr>
        <w:t>'."</w:t>
      </w:r>
      <w:r w:rsidRPr="00B82178">
        <w:rPr>
          <w:rStyle w:val="EndnoteReference"/>
          <w:rFonts w:ascii="Roboto" w:eastAsia="Roboto" w:hAnsi="Roboto" w:cs="Roboto"/>
          <w:sz w:val="22"/>
          <w:szCs w:val="22"/>
        </w:rPr>
        <w:t xml:space="preserve"> </w:t>
      </w:r>
      <w:r>
        <w:rPr>
          <w:rStyle w:val="EndnoteReference"/>
          <w:rFonts w:ascii="Roboto" w:eastAsia="Roboto" w:hAnsi="Roboto" w:cs="Roboto"/>
          <w:sz w:val="22"/>
          <w:szCs w:val="22"/>
        </w:rPr>
        <w:endnoteReference w:id="18"/>
      </w:r>
      <w:r w:rsidRPr="00B82178">
        <w:rPr>
          <w:rFonts w:ascii="Roboto" w:eastAsia="Roboto" w:hAnsi="Roboto" w:cs="Roboto"/>
          <w:lang w:val="en-CH"/>
        </w:rPr>
        <w:t xml:space="preserve"> </w:t>
      </w:r>
      <w:r w:rsidRPr="00507EE9">
        <w:rPr>
          <w:rFonts w:ascii="Roboto" w:eastAsia="Roboto" w:hAnsi="Roboto" w:cs="Roboto"/>
        </w:rPr>
        <w:t>The CRPD Committee ruled that by denying a work visa on the sole basis of her multiple sclerosis, Australia erred and that the migration health requirement under the Migration Act thereby disproportionally affected her as a person with disabilities and resulted in her being subjected to indirect discriminatory treatment.</w:t>
      </w:r>
      <w:r w:rsidRPr="00507EE9">
        <w:rPr>
          <w:rStyle w:val="EndnoteReference"/>
          <w:rFonts w:ascii="Roboto" w:eastAsia="Roboto" w:hAnsi="Roboto" w:cs="Roboto"/>
          <w:sz w:val="22"/>
          <w:szCs w:val="22"/>
        </w:rPr>
        <w:t xml:space="preserve"> </w:t>
      </w:r>
      <w:r>
        <w:rPr>
          <w:rStyle w:val="EndnoteReference"/>
          <w:rFonts w:ascii="Roboto" w:eastAsia="Roboto" w:hAnsi="Roboto" w:cs="Roboto"/>
          <w:sz w:val="22"/>
          <w:szCs w:val="22"/>
        </w:rPr>
        <w:endnoteReference w:id="19"/>
      </w:r>
      <w:r w:rsidRPr="00507EE9">
        <w:rPr>
          <w:rFonts w:ascii="Roboto" w:eastAsia="Roboto" w:hAnsi="Roboto" w:cs="Roboto"/>
        </w:rPr>
        <w:t xml:space="preserve"> </w:t>
      </w:r>
    </w:p>
    <w:p w14:paraId="18252510" w14:textId="007E455F" w:rsidR="00BF7C4B" w:rsidRPr="00507EE9" w:rsidRDefault="00BF7C4B" w:rsidP="00515D16">
      <w:pPr>
        <w:pStyle w:val="Heading3"/>
      </w:pPr>
      <w:r>
        <w:t>c</w:t>
      </w:r>
      <w:r w:rsidRPr="00515D16">
        <w:t xml:space="preserve">) </w:t>
      </w:r>
      <w:r>
        <w:t>Pressing need for awareness raising to tackle simultaneously xenophobia and ableism</w:t>
      </w:r>
      <w:r w:rsidRPr="00515D16">
        <w:t xml:space="preserve"> </w:t>
      </w:r>
    </w:p>
    <w:p w14:paraId="3798057F" w14:textId="23934723" w:rsidR="00BF7C4B"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lang w:val="en-GB"/>
        </w:rPr>
        <w:t xml:space="preserve"> </w:t>
      </w:r>
      <w:r w:rsidRPr="00507EE9">
        <w:rPr>
          <w:rFonts w:ascii="Roboto" w:eastAsia="Roboto" w:hAnsi="Roboto" w:cs="Roboto"/>
          <w:b/>
          <w:bCs/>
          <w:lang w:val="en-GB"/>
        </w:rPr>
        <w:t>Policies, awareness raising campaigns and any other efforts combatting xenophobia and racial discrimination should be accompanied by -or include- efforts to combat ableism to ensure that migrants with disabilities benefit from the former ones.</w:t>
      </w:r>
      <w:r>
        <w:rPr>
          <w:rFonts w:ascii="Roboto" w:eastAsia="Roboto" w:hAnsi="Roboto" w:cs="Roboto"/>
          <w:lang w:val="en-GB"/>
        </w:rPr>
        <w:t xml:space="preserve"> Awareness raising is crucial for tackling harmful practices and building inclusive societies that embrace diversity. The CRPD Committee has specifically noted the interrelationship between hate speech and awareness raising, noting with concern the “</w:t>
      </w:r>
      <w:r w:rsidRPr="00415E58">
        <w:rPr>
          <w:rFonts w:ascii="Roboto" w:eastAsia="Roboto" w:hAnsi="Roboto" w:cs="Roboto"/>
          <w:lang w:val="en-GB"/>
        </w:rPr>
        <w:t xml:space="preserve">persistence of stereotypes, negative attitudes and hate speech towards persons with disabilities and </w:t>
      </w:r>
      <w:r w:rsidRPr="00507EE9">
        <w:rPr>
          <w:rFonts w:ascii="Roboto" w:eastAsia="Roboto" w:hAnsi="Roboto" w:cs="Roboto"/>
          <w:b/>
          <w:bCs/>
          <w:lang w:val="en-GB"/>
        </w:rPr>
        <w:t>particularly persons with disabilities who face multiple and intersecting forms of discrimination</w:t>
      </w:r>
      <w:r>
        <w:rPr>
          <w:rFonts w:ascii="Roboto" w:eastAsia="Roboto" w:hAnsi="Roboto" w:cs="Roboto"/>
          <w:b/>
          <w:bCs/>
          <w:lang w:val="en-GB"/>
        </w:rPr>
        <w:t>.</w:t>
      </w:r>
      <w:r>
        <w:rPr>
          <w:rFonts w:ascii="Roboto" w:eastAsia="Roboto" w:hAnsi="Roboto" w:cs="Roboto"/>
          <w:lang w:val="en-GB"/>
        </w:rPr>
        <w:t>”</w:t>
      </w:r>
      <w:r>
        <w:rPr>
          <w:rStyle w:val="EndnoteReference"/>
          <w:rFonts w:ascii="Roboto" w:eastAsia="Roboto" w:hAnsi="Roboto" w:cs="Roboto"/>
          <w:lang w:val="en-GB"/>
        </w:rPr>
        <w:endnoteReference w:id="20"/>
      </w:r>
      <w:r>
        <w:rPr>
          <w:rFonts w:ascii="Roboto" w:eastAsia="Roboto" w:hAnsi="Roboto" w:cs="Roboto"/>
          <w:lang w:val="en-GB"/>
        </w:rPr>
        <w:t xml:space="preserve"> Media campaigns are a must to combat and eradicate hate speech.</w:t>
      </w:r>
      <w:r>
        <w:rPr>
          <w:rStyle w:val="EndnoteReference"/>
          <w:rFonts w:ascii="Roboto" w:eastAsia="Roboto" w:hAnsi="Roboto" w:cs="Roboto"/>
          <w:lang w:val="en-GB"/>
        </w:rPr>
        <w:endnoteReference w:id="21"/>
      </w:r>
    </w:p>
    <w:p w14:paraId="18E15AF3" w14:textId="62CD6E93" w:rsidR="00BF7C4B"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eastAsia="Roboto" w:hAnsi="Roboto" w:cs="Roboto"/>
          <w:b/>
          <w:bCs/>
          <w:lang w:val="en-GB"/>
        </w:rPr>
      </w:pPr>
      <w:proofErr w:type="gramStart"/>
      <w:r>
        <w:rPr>
          <w:rFonts w:ascii="Roboto" w:eastAsia="Roboto" w:hAnsi="Roboto" w:cs="Roboto"/>
          <w:b/>
          <w:bCs/>
          <w:lang w:val="en-GB"/>
        </w:rPr>
        <w:t>In light of</w:t>
      </w:r>
      <w:proofErr w:type="gramEnd"/>
      <w:r>
        <w:rPr>
          <w:rFonts w:ascii="Roboto" w:eastAsia="Roboto" w:hAnsi="Roboto" w:cs="Roboto"/>
          <w:b/>
          <w:bCs/>
          <w:lang w:val="en-GB"/>
        </w:rPr>
        <w:t xml:space="preserve"> the points raised in this section II, </w:t>
      </w:r>
      <w:r w:rsidRPr="000246FA">
        <w:rPr>
          <w:rFonts w:ascii="Roboto" w:eastAsia="Roboto" w:hAnsi="Roboto" w:cs="Roboto"/>
          <w:b/>
          <w:bCs/>
          <w:lang w:val="en-GB"/>
        </w:rPr>
        <w:t>IDA recommends that the proposed joint General Comment</w:t>
      </w:r>
      <w:r>
        <w:rPr>
          <w:rFonts w:ascii="Roboto" w:eastAsia="Roboto" w:hAnsi="Roboto" w:cs="Roboto"/>
          <w:b/>
          <w:bCs/>
          <w:lang w:val="en-GB"/>
        </w:rPr>
        <w:t>:</w:t>
      </w:r>
    </w:p>
    <w:p w14:paraId="108C9574" w14:textId="7F348468" w:rsidR="00BF7C4B" w:rsidRPr="008C7351" w:rsidRDefault="00BF7C4B" w:rsidP="00507EE9">
      <w:pPr>
        <w:pStyle w:val="ListParagraph"/>
        <w:numPr>
          <w:ilvl w:val="0"/>
          <w:numId w:val="21"/>
        </w:numPr>
        <w:tabs>
          <w:tab w:val="left" w:pos="284"/>
          <w:tab w:val="left" w:pos="426"/>
        </w:tabs>
        <w:snapToGrid w:val="0"/>
        <w:spacing w:after="240" w:line="240" w:lineRule="auto"/>
        <w:ind w:left="0" w:firstLine="0"/>
        <w:contextualSpacing w:val="0"/>
        <w:jc w:val="both"/>
        <w:rPr>
          <w:rFonts w:ascii="Roboto" w:eastAsia="Roboto" w:hAnsi="Roboto" w:cs="Roboto"/>
          <w:b/>
          <w:bCs/>
          <w:lang w:val="en-GB"/>
        </w:rPr>
      </w:pPr>
      <w:r>
        <w:rPr>
          <w:rFonts w:ascii="Roboto" w:eastAsia="Roboto" w:hAnsi="Roboto" w:cs="Roboto"/>
          <w:b/>
          <w:bCs/>
          <w:lang w:val="en-GB"/>
        </w:rPr>
        <w:lastRenderedPageBreak/>
        <w:t>E</w:t>
      </w:r>
      <w:r w:rsidRPr="000246FA">
        <w:rPr>
          <w:rFonts w:ascii="Roboto" w:eastAsia="Roboto" w:hAnsi="Roboto" w:cs="Roboto"/>
          <w:b/>
          <w:bCs/>
          <w:lang w:val="en-GB"/>
        </w:rPr>
        <w:t xml:space="preserve">xplicitly addresses </w:t>
      </w:r>
      <w:r>
        <w:rPr>
          <w:rFonts w:ascii="Roboto" w:eastAsia="Roboto" w:hAnsi="Roboto" w:cs="Roboto"/>
          <w:b/>
          <w:bCs/>
          <w:lang w:val="en-GB"/>
        </w:rPr>
        <w:t>a</w:t>
      </w:r>
      <w:r w:rsidRPr="000246FA">
        <w:rPr>
          <w:rFonts w:ascii="Roboto" w:eastAsia="Roboto" w:hAnsi="Roboto" w:cs="Roboto"/>
          <w:b/>
          <w:bCs/>
          <w:lang w:val="en-GB"/>
        </w:rPr>
        <w:t xml:space="preserve">bleism, reinforcing an obligation to States to address </w:t>
      </w:r>
      <w:r>
        <w:rPr>
          <w:rFonts w:ascii="Roboto" w:eastAsia="Roboto" w:hAnsi="Roboto" w:cs="Roboto"/>
          <w:b/>
          <w:bCs/>
          <w:lang w:val="en-GB"/>
        </w:rPr>
        <w:t xml:space="preserve">the </w:t>
      </w:r>
      <w:r w:rsidRPr="000246FA">
        <w:rPr>
          <w:rFonts w:ascii="Roboto" w:eastAsia="Roboto" w:hAnsi="Roboto" w:cs="Roboto"/>
          <w:b/>
          <w:bCs/>
          <w:lang w:val="en-GB"/>
        </w:rPr>
        <w:t>rights of migrants with disabilities from a human rights-based approach and end discriminatory approaches such as migration health requirements.</w:t>
      </w:r>
      <w:r w:rsidRPr="008C7351">
        <w:rPr>
          <w:rFonts w:ascii="Roboto" w:eastAsia="Roboto" w:hAnsi="Roboto" w:cs="Roboto"/>
          <w:b/>
          <w:bCs/>
          <w:lang w:val="en-GB"/>
        </w:rPr>
        <w:t xml:space="preserve"> </w:t>
      </w:r>
    </w:p>
    <w:p w14:paraId="1CF60219" w14:textId="31E1D90E" w:rsidR="00BF7C4B" w:rsidRPr="008C7351" w:rsidRDefault="00BF7C4B" w:rsidP="00507EE9">
      <w:pPr>
        <w:pStyle w:val="ListParagraph"/>
        <w:numPr>
          <w:ilvl w:val="0"/>
          <w:numId w:val="21"/>
        </w:numPr>
        <w:tabs>
          <w:tab w:val="left" w:pos="284"/>
          <w:tab w:val="left" w:pos="426"/>
        </w:tabs>
        <w:snapToGrid w:val="0"/>
        <w:spacing w:after="240" w:line="240" w:lineRule="auto"/>
        <w:ind w:left="0" w:firstLine="0"/>
        <w:contextualSpacing w:val="0"/>
        <w:jc w:val="both"/>
        <w:rPr>
          <w:rFonts w:ascii="Roboto" w:eastAsia="Roboto" w:hAnsi="Roboto" w:cs="Roboto"/>
          <w:b/>
          <w:bCs/>
          <w:lang w:val="en-GB"/>
        </w:rPr>
      </w:pPr>
      <w:r>
        <w:rPr>
          <w:rFonts w:ascii="Roboto" w:eastAsia="Roboto" w:hAnsi="Roboto" w:cs="Roboto"/>
          <w:b/>
          <w:bCs/>
          <w:lang w:val="en-GB"/>
        </w:rPr>
        <w:t>S</w:t>
      </w:r>
      <w:r w:rsidRPr="000246FA">
        <w:rPr>
          <w:rFonts w:ascii="Roboto" w:eastAsia="Roboto" w:hAnsi="Roboto" w:cs="Roboto"/>
          <w:b/>
          <w:bCs/>
          <w:lang w:val="en-GB"/>
        </w:rPr>
        <w:t>pecific</w:t>
      </w:r>
      <w:r>
        <w:rPr>
          <w:rFonts w:ascii="Roboto" w:eastAsia="Roboto" w:hAnsi="Roboto" w:cs="Roboto"/>
          <w:b/>
          <w:bCs/>
          <w:lang w:val="en-GB"/>
        </w:rPr>
        <w:t>ally</w:t>
      </w:r>
      <w:r w:rsidRPr="000246FA">
        <w:rPr>
          <w:rFonts w:ascii="Roboto" w:eastAsia="Roboto" w:hAnsi="Roboto" w:cs="Roboto"/>
          <w:b/>
          <w:bCs/>
          <w:lang w:val="en-GB"/>
        </w:rPr>
        <w:t xml:space="preserve"> elabora</w:t>
      </w:r>
      <w:r>
        <w:rPr>
          <w:rFonts w:ascii="Roboto" w:eastAsia="Roboto" w:hAnsi="Roboto" w:cs="Roboto"/>
          <w:b/>
          <w:bCs/>
          <w:lang w:val="en-GB"/>
        </w:rPr>
        <w:t>tes</w:t>
      </w:r>
      <w:r w:rsidRPr="000246FA">
        <w:rPr>
          <w:rFonts w:ascii="Roboto" w:eastAsia="Roboto" w:hAnsi="Roboto" w:cs="Roboto"/>
          <w:b/>
          <w:bCs/>
          <w:lang w:val="en-GB"/>
        </w:rPr>
        <w:t xml:space="preserve"> </w:t>
      </w:r>
      <w:r>
        <w:rPr>
          <w:rFonts w:ascii="Roboto" w:eastAsia="Roboto" w:hAnsi="Roboto" w:cs="Roboto"/>
          <w:b/>
          <w:bCs/>
          <w:lang w:val="en-GB"/>
        </w:rPr>
        <w:t xml:space="preserve">States </w:t>
      </w:r>
      <w:r w:rsidRPr="000246FA">
        <w:rPr>
          <w:rFonts w:ascii="Roboto" w:eastAsia="Roboto" w:hAnsi="Roboto" w:cs="Roboto"/>
          <w:b/>
          <w:bCs/>
          <w:lang w:val="en-GB"/>
        </w:rPr>
        <w:t xml:space="preserve">obligation to create awareness </w:t>
      </w:r>
      <w:r>
        <w:rPr>
          <w:rFonts w:ascii="Roboto" w:eastAsia="Roboto" w:hAnsi="Roboto" w:cs="Roboto"/>
          <w:b/>
          <w:bCs/>
          <w:lang w:val="en-GB"/>
        </w:rPr>
        <w:t>to combat</w:t>
      </w:r>
      <w:r w:rsidRPr="000246FA">
        <w:rPr>
          <w:rFonts w:ascii="Roboto" w:eastAsia="Roboto" w:hAnsi="Roboto" w:cs="Roboto"/>
          <w:b/>
          <w:bCs/>
          <w:lang w:val="en-GB"/>
        </w:rPr>
        <w:t xml:space="preserve"> the negative perceptions and beliefs about migrants with disabilities and their families</w:t>
      </w:r>
      <w:r>
        <w:rPr>
          <w:rFonts w:ascii="Roboto" w:eastAsia="Roboto" w:hAnsi="Roboto" w:cs="Roboto"/>
          <w:b/>
          <w:bCs/>
          <w:lang w:val="en-GB"/>
        </w:rPr>
        <w:t xml:space="preserve"> and hate speech against them, and to prevent and sanction hate crimes including </w:t>
      </w:r>
      <w:proofErr w:type="spellStart"/>
      <w:r>
        <w:rPr>
          <w:rFonts w:ascii="Roboto" w:eastAsia="Roboto" w:hAnsi="Roboto" w:cs="Roboto"/>
          <w:b/>
          <w:bCs/>
          <w:lang w:val="en-GB"/>
        </w:rPr>
        <w:t>disabilty</w:t>
      </w:r>
      <w:proofErr w:type="spellEnd"/>
      <w:r>
        <w:rPr>
          <w:rFonts w:ascii="Roboto" w:eastAsia="Roboto" w:hAnsi="Roboto" w:cs="Roboto"/>
          <w:b/>
          <w:bCs/>
          <w:lang w:val="en-GB"/>
        </w:rPr>
        <w:t xml:space="preserve"> as a ground of hate speech in the law.</w:t>
      </w:r>
    </w:p>
    <w:p w14:paraId="73C84A12" w14:textId="77777777" w:rsidR="00BF7C4B" w:rsidRPr="004766D5" w:rsidRDefault="00BF7C4B" w:rsidP="00507EE9">
      <w:pPr>
        <w:pStyle w:val="ListParagraph"/>
        <w:tabs>
          <w:tab w:val="left" w:pos="284"/>
          <w:tab w:val="left" w:pos="426"/>
        </w:tabs>
        <w:snapToGrid w:val="0"/>
        <w:spacing w:after="240" w:line="240" w:lineRule="auto"/>
        <w:ind w:left="0"/>
        <w:contextualSpacing w:val="0"/>
        <w:jc w:val="both"/>
        <w:rPr>
          <w:rFonts w:ascii="Roboto" w:eastAsia="Roboto" w:hAnsi="Roboto" w:cs="Roboto"/>
          <w:lang w:val="en-GB"/>
        </w:rPr>
      </w:pPr>
    </w:p>
    <w:p w14:paraId="4EC93138" w14:textId="67721A2B" w:rsidR="00BF7C4B" w:rsidRPr="00A30D4A" w:rsidRDefault="00BF7C4B" w:rsidP="00A30D4A">
      <w:pPr>
        <w:pStyle w:val="Heading2"/>
      </w:pPr>
      <w:r w:rsidRPr="00A30D4A">
        <w:t>III. HUMAN RIGHTS STANDARDS PROTECTING MIGRANTS WITH DISABILITIES AND THEIR FAMILIES</w:t>
      </w:r>
    </w:p>
    <w:p w14:paraId="67CCC119" w14:textId="3E1EF175" w:rsidR="00BF7C4B" w:rsidRPr="00A30D4A" w:rsidRDefault="00BF7C4B" w:rsidP="00F634FB">
      <w:pPr>
        <w:pStyle w:val="Heading3"/>
      </w:pPr>
      <w:r>
        <w:t xml:space="preserve">a) </w:t>
      </w:r>
      <w:r w:rsidRPr="00A30D4A">
        <w:t>Intersectionality and non-discrimination</w:t>
      </w:r>
    </w:p>
    <w:p w14:paraId="646E73DD" w14:textId="19E0C9C0" w:rsidR="00BF7C4B" w:rsidRPr="00154EBC"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rPr>
      </w:pPr>
      <w:r>
        <w:rPr>
          <w:rFonts w:ascii="Roboto" w:eastAsia="Roboto" w:hAnsi="Roboto" w:cs="Roboto"/>
          <w:lang w:val="en-GB"/>
        </w:rPr>
        <w:t>I</w:t>
      </w:r>
      <w:r w:rsidRPr="0000751E">
        <w:rPr>
          <w:rFonts w:ascii="Roboto" w:eastAsia="Roboto" w:hAnsi="Roboto" w:cs="Roboto"/>
          <w:lang w:val="en-GB"/>
        </w:rPr>
        <w:t>ntersectional discrimination</w:t>
      </w:r>
      <w:r>
        <w:rPr>
          <w:rFonts w:ascii="Roboto" w:eastAsia="Roboto" w:hAnsi="Roboto" w:cs="Roboto"/>
          <w:lang w:val="en-GB"/>
        </w:rPr>
        <w:t xml:space="preserve"> of persons with disabilities</w:t>
      </w:r>
      <w:r w:rsidRPr="0000751E">
        <w:rPr>
          <w:rFonts w:ascii="Roboto" w:eastAsia="Roboto" w:hAnsi="Roboto" w:cs="Roboto"/>
          <w:lang w:val="en-GB"/>
        </w:rPr>
        <w:t xml:space="preserve"> “</w:t>
      </w:r>
      <w:r w:rsidRPr="0000751E">
        <w:rPr>
          <w:rFonts w:ascii="Roboto" w:eastAsia="Roboto" w:hAnsi="Roboto" w:cs="Roboto"/>
        </w:rPr>
        <w:t xml:space="preserve">occurs when a person with a disability or associated to disability suffers discrimination of any form on the basis of disability, combined with, </w:t>
      </w:r>
      <w:proofErr w:type="spellStart"/>
      <w:r w:rsidRPr="0000751E">
        <w:rPr>
          <w:rFonts w:ascii="Roboto" w:eastAsia="Roboto" w:hAnsi="Roboto" w:cs="Roboto"/>
        </w:rPr>
        <w:t>colour</w:t>
      </w:r>
      <w:proofErr w:type="spellEnd"/>
      <w:r w:rsidRPr="0000751E">
        <w:rPr>
          <w:rFonts w:ascii="Roboto" w:eastAsia="Roboto" w:hAnsi="Roboto" w:cs="Roboto"/>
        </w:rPr>
        <w:t>, sex, language, religion, ethnic, gender or other status”.</w:t>
      </w:r>
      <w:r>
        <w:rPr>
          <w:rStyle w:val="EndnoteReference"/>
          <w:rFonts w:ascii="Roboto" w:eastAsia="Roboto" w:hAnsi="Roboto" w:cs="Roboto"/>
        </w:rPr>
        <w:endnoteReference w:id="22"/>
      </w:r>
      <w:r w:rsidRPr="0000751E">
        <w:rPr>
          <w:rFonts w:ascii="Roboto" w:eastAsia="Roboto" w:hAnsi="Roboto" w:cs="Roboto"/>
        </w:rPr>
        <w:t xml:space="preserve"> </w:t>
      </w:r>
      <w:r w:rsidRPr="00154EBC">
        <w:rPr>
          <w:rFonts w:ascii="Roboto" w:eastAsia="Roboto" w:hAnsi="Roboto" w:cs="Roboto"/>
        </w:rPr>
        <w:t xml:space="preserve">IDA welcomes </w:t>
      </w:r>
      <w:r>
        <w:rPr>
          <w:rFonts w:ascii="Roboto" w:eastAsia="Roboto" w:hAnsi="Roboto" w:cs="Roboto"/>
        </w:rPr>
        <w:t>the inclusion of</w:t>
      </w:r>
      <w:r w:rsidRPr="00154EBC">
        <w:rPr>
          <w:rFonts w:ascii="Roboto" w:eastAsia="Roboto" w:hAnsi="Roboto" w:cs="Roboto"/>
        </w:rPr>
        <w:t xml:space="preserve"> intersectionality as a key principle in the interpretation and eradication of xenophobia</w:t>
      </w:r>
      <w:r>
        <w:rPr>
          <w:rFonts w:ascii="Roboto" w:eastAsia="Roboto" w:hAnsi="Roboto" w:cs="Roboto"/>
        </w:rPr>
        <w:t xml:space="preserve"> and of </w:t>
      </w:r>
      <w:r w:rsidRPr="00154EBC">
        <w:rPr>
          <w:rFonts w:ascii="Roboto" w:eastAsia="Roboto" w:hAnsi="Roboto" w:cs="Roboto"/>
        </w:rPr>
        <w:t xml:space="preserve">disability as one of the intersecting characteristics. This approach reinforces </w:t>
      </w:r>
      <w:r>
        <w:rPr>
          <w:rFonts w:ascii="Roboto" w:eastAsia="Roboto" w:hAnsi="Roboto" w:cs="Roboto"/>
        </w:rPr>
        <w:t xml:space="preserve">and reiterates recent </w:t>
      </w:r>
      <w:r w:rsidRPr="00154EBC">
        <w:rPr>
          <w:rFonts w:ascii="Roboto" w:eastAsia="Roboto" w:hAnsi="Roboto" w:cs="Roboto"/>
        </w:rPr>
        <w:t>CERD’s Committee practice</w:t>
      </w:r>
      <w:r w:rsidRPr="00154EBC">
        <w:rPr>
          <w:rFonts w:ascii="Roboto" w:eastAsia="Roboto" w:hAnsi="Roboto" w:cs="Roboto"/>
          <w:lang w:val="en-GB"/>
        </w:rPr>
        <w:t>.</w:t>
      </w:r>
      <w:r>
        <w:rPr>
          <w:rStyle w:val="EndnoteReference"/>
          <w:rFonts w:ascii="Roboto" w:eastAsia="Roboto" w:hAnsi="Roboto" w:cs="Roboto"/>
        </w:rPr>
        <w:endnoteReference w:id="23"/>
      </w:r>
    </w:p>
    <w:p w14:paraId="6E2D7494" w14:textId="296535AB" w:rsidR="00BF7C4B" w:rsidRPr="0000751E"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rPr>
      </w:pPr>
      <w:r>
        <w:rPr>
          <w:rFonts w:ascii="Roboto" w:eastAsia="Roboto" w:hAnsi="Roboto" w:cs="Roboto"/>
          <w:lang w:val="en-GB"/>
        </w:rPr>
        <w:t>I</w:t>
      </w:r>
      <w:r w:rsidRPr="0000751E">
        <w:rPr>
          <w:rFonts w:ascii="Roboto" w:eastAsia="Roboto" w:hAnsi="Roboto" w:cs="Roboto"/>
          <w:lang w:val="en-GB"/>
        </w:rPr>
        <w:t xml:space="preserve">ntersectional discrimination </w:t>
      </w:r>
      <w:r>
        <w:rPr>
          <w:rFonts w:ascii="Roboto" w:eastAsia="Roboto" w:hAnsi="Roboto" w:cs="Roboto"/>
          <w:lang w:val="en-GB"/>
        </w:rPr>
        <w:t xml:space="preserve">of persons with disabilities </w:t>
      </w:r>
      <w:r w:rsidRPr="0000751E">
        <w:rPr>
          <w:rFonts w:ascii="Roboto" w:eastAsia="Roboto" w:hAnsi="Roboto" w:cs="Roboto"/>
          <w:lang w:val="en-GB"/>
        </w:rPr>
        <w:t>can appear as direct or indirect discrimination, denial of reasonable accommodation, or harassment.</w:t>
      </w:r>
      <w:r>
        <w:rPr>
          <w:rStyle w:val="EndnoteReference"/>
          <w:rFonts w:ascii="Roboto" w:eastAsia="Roboto" w:hAnsi="Roboto" w:cs="Roboto"/>
          <w:lang w:val="en-GB"/>
        </w:rPr>
        <w:endnoteReference w:id="24"/>
      </w:r>
      <w:r w:rsidRPr="0000751E">
        <w:rPr>
          <w:rFonts w:ascii="Roboto" w:eastAsia="Roboto" w:hAnsi="Roboto" w:cs="Roboto"/>
          <w:lang w:val="en-GB"/>
        </w:rPr>
        <w:t xml:space="preserve"> The CRPD Committee defines </w:t>
      </w:r>
      <w:r w:rsidRPr="0020475E">
        <w:rPr>
          <w:rFonts w:ascii="Roboto" w:eastAsia="Roboto" w:hAnsi="Roboto" w:cs="Roboto"/>
          <w:b/>
          <w:bCs/>
          <w:lang w:val="en-GB"/>
        </w:rPr>
        <w:t>harassment</w:t>
      </w:r>
      <w:r w:rsidRPr="0000751E">
        <w:rPr>
          <w:rFonts w:ascii="Roboto" w:eastAsia="Roboto" w:hAnsi="Roboto" w:cs="Roboto"/>
          <w:lang w:val="en-GB"/>
        </w:rPr>
        <w:t xml:space="preserve"> as </w:t>
      </w:r>
      <w:r w:rsidRPr="0000751E">
        <w:rPr>
          <w:rFonts w:ascii="Roboto" w:eastAsia="Roboto" w:hAnsi="Roboto" w:cs="Roboto"/>
        </w:rPr>
        <w:t>a form of discrimination that occurs when “</w:t>
      </w:r>
      <w:r w:rsidRPr="0020475E">
        <w:rPr>
          <w:rFonts w:ascii="Roboto" w:eastAsia="Roboto" w:hAnsi="Roboto" w:cs="Roboto"/>
          <w:b/>
          <w:bCs/>
        </w:rPr>
        <w:t>unwanted conduct related to disability or other prohibited grounds takes place with the purpose or effect of violating the dignity of a person and of creating an intimidating, hostile, degrading, humiliating or offensive environment</w:t>
      </w:r>
      <w:r w:rsidRPr="0000751E">
        <w:rPr>
          <w:rFonts w:ascii="Roboto" w:eastAsia="Roboto" w:hAnsi="Roboto" w:cs="Roboto"/>
        </w:rPr>
        <w:t>.</w:t>
      </w:r>
      <w:r>
        <w:rPr>
          <w:rFonts w:ascii="Roboto" w:eastAsia="Roboto" w:hAnsi="Roboto" w:cs="Roboto"/>
        </w:rPr>
        <w:t>"</w:t>
      </w:r>
      <w:r>
        <w:rPr>
          <w:rStyle w:val="EndnoteReference"/>
          <w:rFonts w:ascii="Roboto" w:eastAsia="Roboto" w:hAnsi="Roboto" w:cs="Roboto"/>
        </w:rPr>
        <w:endnoteReference w:id="25"/>
      </w:r>
      <w:r w:rsidRPr="0000751E">
        <w:rPr>
          <w:rFonts w:ascii="Roboto" w:eastAsia="Roboto" w:hAnsi="Roboto" w:cs="Roboto"/>
        </w:rPr>
        <w:t xml:space="preserve"> Harassment can also happen through </w:t>
      </w:r>
      <w:r w:rsidRPr="0020475E">
        <w:rPr>
          <w:rFonts w:ascii="Roboto" w:eastAsia="Roboto" w:hAnsi="Roboto" w:cs="Roboto"/>
          <w:b/>
          <w:bCs/>
        </w:rPr>
        <w:t>actions or words that have the effect of perpetuating the difference and oppression of persons with disabilities</w:t>
      </w:r>
      <w:r w:rsidRPr="0000751E">
        <w:rPr>
          <w:rFonts w:ascii="Roboto" w:eastAsia="Roboto" w:hAnsi="Roboto" w:cs="Roboto"/>
        </w:rPr>
        <w:t xml:space="preserve">. It also includes </w:t>
      </w:r>
      <w:r w:rsidRPr="0020475E">
        <w:rPr>
          <w:rFonts w:ascii="Roboto" w:eastAsia="Roboto" w:hAnsi="Roboto" w:cs="Roboto"/>
          <w:b/>
          <w:bCs/>
        </w:rPr>
        <w:t>cyberbullying and cyberhate which the CRPD Committee identifies as violent and harmful forms of hate crimes</w:t>
      </w:r>
      <w:r w:rsidRPr="0000751E">
        <w:rPr>
          <w:rFonts w:ascii="Roboto" w:eastAsia="Roboto" w:hAnsi="Roboto" w:cs="Roboto"/>
        </w:rPr>
        <w:t>. As highlighted in the previous section, migrant</w:t>
      </w:r>
      <w:r>
        <w:rPr>
          <w:rFonts w:ascii="Roboto" w:eastAsia="Roboto" w:hAnsi="Roboto" w:cs="Roboto"/>
        </w:rPr>
        <w:t>s</w:t>
      </w:r>
      <w:r w:rsidRPr="0000751E">
        <w:rPr>
          <w:rFonts w:ascii="Roboto" w:eastAsia="Roboto" w:hAnsi="Roboto" w:cs="Roboto"/>
        </w:rPr>
        <w:t xml:space="preserve"> with disabilities and their families are subjected to harassment on basis of disability</w:t>
      </w:r>
      <w:r>
        <w:rPr>
          <w:rFonts w:ascii="Roboto" w:eastAsia="Roboto" w:hAnsi="Roboto" w:cs="Roboto"/>
        </w:rPr>
        <w:t xml:space="preserve"> and other intersecting characteristics including race and migrant status.</w:t>
      </w:r>
    </w:p>
    <w:p w14:paraId="62E3ABB6" w14:textId="2FD705B5" w:rsidR="00BF7C4B" w:rsidRPr="0000751E"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rPr>
      </w:pPr>
      <w:r w:rsidRPr="0000751E">
        <w:rPr>
          <w:rFonts w:ascii="Roboto" w:eastAsia="Roboto" w:hAnsi="Roboto" w:cs="Roboto"/>
        </w:rPr>
        <w:t>Broadening and strengthening anti-discrimination laws has led to extended protection of the rights of persons with disabilities including migrants with disabilities.</w:t>
      </w:r>
      <w:r>
        <w:rPr>
          <w:rFonts w:ascii="Roboto" w:eastAsia="Roboto" w:hAnsi="Roboto" w:cs="Roboto"/>
        </w:rPr>
        <w:t xml:space="preserve"> </w:t>
      </w:r>
      <w:r w:rsidRPr="0020475E">
        <w:rPr>
          <w:rFonts w:ascii="Roboto" w:eastAsia="Roboto" w:hAnsi="Roboto" w:cs="Roboto"/>
          <w:b/>
          <w:bCs/>
        </w:rPr>
        <w:t xml:space="preserve">IDA recommends that the proposed Joint General Comment explicitly defines disability-based discrimination and intersectional </w:t>
      </w:r>
      <w:proofErr w:type="gramStart"/>
      <w:r w:rsidRPr="0020475E">
        <w:rPr>
          <w:rFonts w:ascii="Roboto" w:eastAsia="Roboto" w:hAnsi="Roboto" w:cs="Roboto"/>
          <w:b/>
          <w:bCs/>
        </w:rPr>
        <w:t>discrimination in particular</w:t>
      </w:r>
      <w:proofErr w:type="gramEnd"/>
      <w:r>
        <w:rPr>
          <w:rFonts w:ascii="Roboto" w:eastAsia="Roboto" w:hAnsi="Roboto" w:cs="Roboto"/>
          <w:b/>
          <w:bCs/>
        </w:rPr>
        <w:t>.</w:t>
      </w:r>
    </w:p>
    <w:p w14:paraId="004F0B4D" w14:textId="04170EAD" w:rsidR="00BF7C4B" w:rsidRPr="007D0F4C" w:rsidRDefault="00BF7C4B" w:rsidP="00515D16">
      <w:pPr>
        <w:pStyle w:val="Heading3"/>
      </w:pPr>
      <w:r>
        <w:t xml:space="preserve">b) </w:t>
      </w:r>
      <w:r w:rsidRPr="007D0F4C">
        <w:t>Participation as a general principle and catalyst to eradicating xenophobia</w:t>
      </w:r>
    </w:p>
    <w:p w14:paraId="5212FAE6" w14:textId="71B3D5DF" w:rsidR="00BF7C4B" w:rsidRPr="00F2407A"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rPr>
      </w:pPr>
      <w:r w:rsidRPr="00F2407A">
        <w:rPr>
          <w:rFonts w:ascii="Roboto" w:eastAsia="Roboto" w:hAnsi="Roboto" w:cs="Roboto"/>
          <w:lang w:val="en-GB"/>
        </w:rPr>
        <w:t xml:space="preserve">Article 4(3) of the CRPD obligates States “in </w:t>
      </w:r>
      <w:r w:rsidRPr="00F2407A">
        <w:rPr>
          <w:rFonts w:ascii="Roboto" w:eastAsia="Roboto" w:hAnsi="Roboto" w:cs="Roboto"/>
        </w:rPr>
        <w:t xml:space="preserve">the development and implementation of legislation and policies to implement the Convention, and in other decision-making processes concerning issues relating to persons with disabilities, to </w:t>
      </w:r>
      <w:r w:rsidRPr="0083260D">
        <w:rPr>
          <w:rFonts w:ascii="Roboto" w:eastAsia="Roboto" w:hAnsi="Roboto" w:cs="Roboto"/>
          <w:b/>
          <w:bCs/>
        </w:rPr>
        <w:t>closely consult with</w:t>
      </w:r>
      <w:r w:rsidRPr="00F2407A">
        <w:rPr>
          <w:rFonts w:ascii="Roboto" w:eastAsia="Roboto" w:hAnsi="Roboto" w:cs="Roboto"/>
        </w:rPr>
        <w:t xml:space="preserve"> </w:t>
      </w:r>
      <w:r w:rsidRPr="00F2407A">
        <w:rPr>
          <w:rFonts w:ascii="Roboto" w:eastAsia="Roboto" w:hAnsi="Roboto" w:cs="Roboto"/>
        </w:rPr>
        <w:lastRenderedPageBreak/>
        <w:t xml:space="preserve">and </w:t>
      </w:r>
      <w:r w:rsidRPr="0083260D">
        <w:rPr>
          <w:rFonts w:ascii="Roboto" w:eastAsia="Roboto" w:hAnsi="Roboto" w:cs="Roboto"/>
          <w:b/>
          <w:bCs/>
        </w:rPr>
        <w:t>actively involve persons with disabilities</w:t>
      </w:r>
      <w:r w:rsidRPr="00F2407A">
        <w:rPr>
          <w:rFonts w:ascii="Roboto" w:eastAsia="Roboto" w:hAnsi="Roboto" w:cs="Roboto"/>
        </w:rPr>
        <w:t xml:space="preserve">, including children with disabilities, </w:t>
      </w:r>
      <w:r w:rsidRPr="0083260D">
        <w:rPr>
          <w:rFonts w:ascii="Roboto" w:eastAsia="Roboto" w:hAnsi="Roboto" w:cs="Roboto"/>
          <w:b/>
          <w:bCs/>
        </w:rPr>
        <w:t>through their representative organizations</w:t>
      </w:r>
      <w:r w:rsidRPr="00F2407A">
        <w:rPr>
          <w:rFonts w:ascii="Roboto" w:eastAsia="Roboto" w:hAnsi="Roboto" w:cs="Roboto"/>
        </w:rPr>
        <w:t>”. Th</w:t>
      </w:r>
      <w:r>
        <w:rPr>
          <w:rFonts w:ascii="Roboto" w:eastAsia="Roboto" w:hAnsi="Roboto" w:cs="Roboto"/>
        </w:rPr>
        <w:t>is obligation</w:t>
      </w:r>
      <w:r w:rsidRPr="00F2407A">
        <w:rPr>
          <w:rFonts w:ascii="Roboto" w:eastAsia="Roboto" w:hAnsi="Roboto" w:cs="Roboto"/>
        </w:rPr>
        <w:t xml:space="preserve"> is elaborated in </w:t>
      </w:r>
      <w:r>
        <w:rPr>
          <w:rFonts w:ascii="Roboto" w:eastAsia="Roboto" w:hAnsi="Roboto" w:cs="Roboto"/>
        </w:rPr>
        <w:t xml:space="preserve">CRPD Committee's </w:t>
      </w:r>
      <w:r w:rsidRPr="00F2407A">
        <w:rPr>
          <w:rFonts w:ascii="Roboto" w:eastAsia="Roboto" w:hAnsi="Roboto" w:cs="Roboto"/>
        </w:rPr>
        <w:t xml:space="preserve">General Comment </w:t>
      </w:r>
      <w:r>
        <w:rPr>
          <w:rFonts w:ascii="Roboto" w:eastAsia="Roboto" w:hAnsi="Roboto" w:cs="Roboto"/>
        </w:rPr>
        <w:t>n</w:t>
      </w:r>
      <w:r w:rsidRPr="00F2407A">
        <w:rPr>
          <w:rFonts w:ascii="Roboto" w:eastAsia="Roboto" w:hAnsi="Roboto" w:cs="Roboto"/>
        </w:rPr>
        <w:t>o.</w:t>
      </w:r>
      <w:r>
        <w:rPr>
          <w:rFonts w:ascii="Roboto" w:eastAsia="Roboto" w:hAnsi="Roboto" w:cs="Roboto"/>
        </w:rPr>
        <w:t xml:space="preserve"> </w:t>
      </w:r>
      <w:r w:rsidRPr="00F2407A">
        <w:rPr>
          <w:rFonts w:ascii="Roboto" w:eastAsia="Roboto" w:hAnsi="Roboto" w:cs="Roboto"/>
        </w:rPr>
        <w:t xml:space="preserve">7 which obligates States to: </w:t>
      </w:r>
      <w:r w:rsidRPr="0083260D">
        <w:rPr>
          <w:rFonts w:ascii="Roboto" w:eastAsia="Roboto" w:hAnsi="Roboto" w:cs="Roboto"/>
          <w:b/>
          <w:bCs/>
        </w:rPr>
        <w:t>“systematically and openly approach, consult and involve, in a meaningful and timely manner, organizations of persons with disabilities</w:t>
      </w:r>
      <w:r w:rsidRPr="00F2407A">
        <w:rPr>
          <w:rFonts w:ascii="Roboto" w:eastAsia="Roboto" w:hAnsi="Roboto" w:cs="Roboto"/>
        </w:rPr>
        <w:t>”.</w:t>
      </w:r>
      <w:r>
        <w:rPr>
          <w:rStyle w:val="EndnoteReference"/>
          <w:rFonts w:ascii="Roboto" w:eastAsia="Roboto" w:hAnsi="Roboto" w:cs="Roboto"/>
        </w:rPr>
        <w:endnoteReference w:id="26"/>
      </w:r>
      <w:r w:rsidRPr="00F2407A">
        <w:rPr>
          <w:rFonts w:ascii="Roboto" w:eastAsia="Roboto" w:hAnsi="Roboto" w:cs="Roboto"/>
        </w:rPr>
        <w:t xml:space="preserve"> </w:t>
      </w:r>
    </w:p>
    <w:p w14:paraId="48412049" w14:textId="59FE1652" w:rsidR="00BF7C4B" w:rsidRPr="00D10B53"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rPr>
        <w:t xml:space="preserve"> Article 2 (1)(e) of the CERD read together with Article 4(3) of the CRPD establishes an obligation of States to not only support establishment of multiracial organizations of persons with disabilities but also to consult with and actively involve them in</w:t>
      </w:r>
      <w:r w:rsidRPr="00D60FB3">
        <w:rPr>
          <w:rFonts w:ascii="Roboto" w:eastAsia="Roboto" w:hAnsi="Roboto" w:cs="Roboto"/>
        </w:rPr>
        <w:t xml:space="preserve"> development and implementation of legislation and policies</w:t>
      </w:r>
      <w:r>
        <w:rPr>
          <w:rFonts w:ascii="Roboto" w:eastAsia="Roboto" w:hAnsi="Roboto" w:cs="Roboto"/>
        </w:rPr>
        <w:t xml:space="preserve"> and </w:t>
      </w:r>
      <w:proofErr w:type="spellStart"/>
      <w:r>
        <w:rPr>
          <w:rFonts w:ascii="Roboto" w:eastAsia="Roboto" w:hAnsi="Roboto" w:cs="Roboto"/>
        </w:rPr>
        <w:t>programmes</w:t>
      </w:r>
      <w:proofErr w:type="spellEnd"/>
      <w:r>
        <w:rPr>
          <w:rFonts w:ascii="Roboto" w:eastAsia="Roboto" w:hAnsi="Roboto" w:cs="Roboto"/>
        </w:rPr>
        <w:t xml:space="preserve"> on eradicating </w:t>
      </w:r>
      <w:proofErr w:type="spellStart"/>
      <w:r>
        <w:rPr>
          <w:rFonts w:ascii="Roboto" w:eastAsia="Roboto" w:hAnsi="Roboto" w:cs="Roboto"/>
        </w:rPr>
        <w:t>exonophobia</w:t>
      </w:r>
      <w:proofErr w:type="spellEnd"/>
      <w:r>
        <w:rPr>
          <w:rFonts w:ascii="Roboto" w:eastAsia="Roboto" w:hAnsi="Roboto" w:cs="Roboto"/>
        </w:rPr>
        <w:t xml:space="preserve"> and racial discrimination.</w:t>
      </w:r>
      <w:r>
        <w:rPr>
          <w:rStyle w:val="EndnoteReference"/>
          <w:rFonts w:ascii="Roboto" w:eastAsia="Roboto" w:hAnsi="Roboto" w:cs="Roboto"/>
          <w:lang w:val="en-GB"/>
        </w:rPr>
        <w:endnoteReference w:id="27"/>
      </w:r>
    </w:p>
    <w:p w14:paraId="2F558953" w14:textId="4777FF33" w:rsidR="00BF7C4B" w:rsidRPr="00C63245"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lang w:val="en-GB"/>
        </w:rPr>
      </w:pPr>
      <w:r>
        <w:rPr>
          <w:rFonts w:ascii="Roboto" w:eastAsia="Roboto" w:hAnsi="Roboto" w:cs="Roboto"/>
          <w:lang w:val="en-GB"/>
        </w:rPr>
        <w:t>The CRPD Committee has noted with concern that in several States, laws and policies lack</w:t>
      </w:r>
      <w:r w:rsidRPr="00D60FB3">
        <w:rPr>
          <w:rFonts w:ascii="Roboto" w:eastAsia="Roboto" w:hAnsi="Roboto" w:cs="Roboto"/>
          <w:lang w:val="en-GB"/>
        </w:rPr>
        <w:t xml:space="preserve"> measures to protect persons with disabilities belonging to minority, ethnic</w:t>
      </w:r>
      <w:r>
        <w:rPr>
          <w:rFonts w:ascii="Roboto" w:eastAsia="Roboto" w:hAnsi="Roboto" w:cs="Roboto"/>
          <w:lang w:val="en-GB"/>
        </w:rPr>
        <w:t>,</w:t>
      </w:r>
      <w:r w:rsidRPr="00D60FB3">
        <w:rPr>
          <w:rFonts w:ascii="Roboto" w:eastAsia="Roboto" w:hAnsi="Roboto" w:cs="Roboto"/>
          <w:lang w:val="en-GB"/>
        </w:rPr>
        <w:t xml:space="preserve"> and linguistic groups and those who are refugees and asylum seekers</w:t>
      </w:r>
      <w:r>
        <w:rPr>
          <w:rFonts w:ascii="Roboto" w:eastAsia="Roboto" w:hAnsi="Roboto" w:cs="Roboto"/>
          <w:lang w:val="en-GB"/>
        </w:rPr>
        <w:t>.</w:t>
      </w:r>
      <w:r>
        <w:rPr>
          <w:rStyle w:val="EndnoteReference"/>
          <w:rFonts w:ascii="Roboto" w:eastAsia="Roboto" w:hAnsi="Roboto" w:cs="Roboto"/>
          <w:lang w:val="en-GB"/>
        </w:rPr>
        <w:endnoteReference w:id="28"/>
      </w:r>
      <w:r>
        <w:rPr>
          <w:rFonts w:ascii="Roboto" w:eastAsia="Roboto" w:hAnsi="Roboto" w:cs="Roboto"/>
          <w:lang w:val="en-GB"/>
        </w:rPr>
        <w:t xml:space="preserve">  On Morocco, for instance, the CRPD Committee recommended that the State “</w:t>
      </w:r>
      <w:r>
        <w:rPr>
          <w:rFonts w:ascii="Roboto" w:eastAsia="Roboto" w:hAnsi="Roboto" w:cs="Roboto"/>
          <w:b/>
          <w:bCs/>
          <w:lang w:val="en-GB"/>
        </w:rPr>
        <w:t>r</w:t>
      </w:r>
      <w:r w:rsidRPr="00D60FB3">
        <w:rPr>
          <w:rFonts w:ascii="Roboto" w:eastAsia="Roboto" w:hAnsi="Roboto" w:cs="Roboto"/>
          <w:b/>
          <w:bCs/>
          <w:lang w:val="en-GB"/>
        </w:rPr>
        <w:t>evise</w:t>
      </w:r>
      <w:r>
        <w:rPr>
          <w:rFonts w:ascii="Roboto" w:eastAsia="Roboto" w:hAnsi="Roboto" w:cs="Roboto"/>
          <w:b/>
          <w:bCs/>
          <w:lang w:val="en-GB"/>
        </w:rPr>
        <w:t>s the</w:t>
      </w:r>
      <w:r w:rsidRPr="00D60FB3">
        <w:rPr>
          <w:rFonts w:ascii="Roboto" w:eastAsia="Roboto" w:hAnsi="Roboto" w:cs="Roboto"/>
          <w:b/>
          <w:bCs/>
          <w:lang w:val="en-GB"/>
        </w:rPr>
        <w:t xml:space="preserve"> Framework Law 97-13 to</w:t>
      </w:r>
      <w:r>
        <w:rPr>
          <w:rFonts w:ascii="Roboto" w:eastAsia="Roboto" w:hAnsi="Roboto" w:cs="Roboto"/>
          <w:b/>
          <w:bCs/>
          <w:lang w:val="en-GB"/>
        </w:rPr>
        <w:t xml:space="preserve"> and adopt measures to protect</w:t>
      </w:r>
      <w:r w:rsidRPr="00D60FB3">
        <w:rPr>
          <w:rFonts w:ascii="Roboto" w:eastAsia="Roboto" w:hAnsi="Roboto" w:cs="Roboto"/>
          <w:b/>
          <w:bCs/>
          <w:lang w:val="en-GB"/>
        </w:rPr>
        <w:t xml:space="preserve"> persons with disabilities belonging to national, ethnic, religious and/or linguistic minorities, such as Amazigh, black people, migrants, refugees and asylum seekers</w:t>
      </w:r>
      <w:r>
        <w:rPr>
          <w:rFonts w:ascii="Roboto" w:eastAsia="Roboto" w:hAnsi="Roboto" w:cs="Roboto"/>
          <w:b/>
          <w:bCs/>
          <w:lang w:val="en-GB"/>
        </w:rPr>
        <w:t>”</w:t>
      </w:r>
      <w:r w:rsidRPr="007D29DD">
        <w:rPr>
          <w:rFonts w:ascii="Roboto" w:eastAsia="Roboto" w:hAnsi="Roboto" w:cs="Roboto"/>
          <w:lang w:val="en-GB"/>
        </w:rPr>
        <w:t>.</w:t>
      </w:r>
      <w:r>
        <w:rPr>
          <w:rStyle w:val="EndnoteReference"/>
          <w:rFonts w:ascii="Roboto" w:eastAsia="Roboto" w:hAnsi="Roboto" w:cs="Roboto"/>
          <w:lang w:val="en-GB"/>
        </w:rPr>
        <w:endnoteReference w:id="29"/>
      </w:r>
      <w:r>
        <w:rPr>
          <w:rFonts w:ascii="Roboto" w:eastAsia="Roboto" w:hAnsi="Roboto" w:cs="Roboto"/>
          <w:b/>
          <w:bCs/>
          <w:lang w:val="en-GB"/>
        </w:rPr>
        <w:t xml:space="preserve"> </w:t>
      </w:r>
      <w:r w:rsidRPr="00C63245">
        <w:rPr>
          <w:rFonts w:ascii="Roboto" w:eastAsia="Roboto" w:hAnsi="Roboto" w:cs="Roboto"/>
          <w:lang w:val="en-GB"/>
        </w:rPr>
        <w:t>The CRPD Committee has also raised concerns about the exclusion of refugees in awareness campaigns and programmes.</w:t>
      </w:r>
      <w:r>
        <w:rPr>
          <w:rStyle w:val="EndnoteReference"/>
          <w:rFonts w:ascii="Roboto" w:eastAsia="Roboto" w:hAnsi="Roboto" w:cs="Roboto"/>
          <w:lang w:val="en-GB"/>
        </w:rPr>
        <w:endnoteReference w:id="30"/>
      </w:r>
    </w:p>
    <w:p w14:paraId="7E55FDC7" w14:textId="79062252" w:rsidR="00BF7C4B"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lang w:val="en-GB"/>
        </w:rPr>
      </w:pPr>
      <w:r w:rsidRPr="00C63245">
        <w:rPr>
          <w:rFonts w:ascii="Roboto" w:eastAsia="Roboto" w:hAnsi="Roboto" w:cs="Roboto"/>
          <w:lang w:val="en-GB"/>
        </w:rPr>
        <w:t xml:space="preserve">Participation and consultation of migrants with disabilities and their representative organizations in </w:t>
      </w:r>
      <w:r>
        <w:rPr>
          <w:rFonts w:ascii="Roboto" w:eastAsia="Roboto" w:hAnsi="Roboto" w:cs="Roboto"/>
          <w:lang w:val="en-GB"/>
        </w:rPr>
        <w:t xml:space="preserve">development of </w:t>
      </w:r>
      <w:r w:rsidRPr="00C63245">
        <w:rPr>
          <w:rFonts w:ascii="Roboto" w:eastAsia="Roboto" w:hAnsi="Roboto" w:cs="Roboto"/>
          <w:lang w:val="en-GB"/>
        </w:rPr>
        <w:t>migration</w:t>
      </w:r>
      <w:r>
        <w:rPr>
          <w:rFonts w:ascii="Roboto" w:eastAsia="Roboto" w:hAnsi="Roboto" w:cs="Roboto"/>
          <w:lang w:val="en-GB"/>
        </w:rPr>
        <w:t xml:space="preserve"> policies and related</w:t>
      </w:r>
      <w:r w:rsidRPr="00C63245">
        <w:rPr>
          <w:rFonts w:ascii="Roboto" w:eastAsia="Roboto" w:hAnsi="Roboto" w:cs="Roboto"/>
          <w:lang w:val="en-GB"/>
        </w:rPr>
        <w:t xml:space="preserve"> decision-making processes as well as in campaigns against xenophobia integrates their knowledge and improves the quality of the decisions.</w:t>
      </w:r>
    </w:p>
    <w:p w14:paraId="64177EFB" w14:textId="4349B734" w:rsidR="00BF7C4B" w:rsidRPr="00F71201" w:rsidRDefault="00BF7C4B" w:rsidP="00507EE9">
      <w:pPr>
        <w:pStyle w:val="ListParagraph"/>
        <w:numPr>
          <w:ilvl w:val="0"/>
          <w:numId w:val="20"/>
        </w:numPr>
        <w:tabs>
          <w:tab w:val="left" w:pos="426"/>
        </w:tabs>
        <w:snapToGrid w:val="0"/>
        <w:spacing w:after="240" w:line="240" w:lineRule="auto"/>
        <w:ind w:left="0" w:firstLine="0"/>
        <w:contextualSpacing w:val="0"/>
        <w:jc w:val="both"/>
        <w:rPr>
          <w:rFonts w:ascii="Roboto" w:eastAsia="Roboto" w:hAnsi="Roboto" w:cs="Roboto"/>
          <w:b/>
          <w:bCs/>
          <w:lang w:val="en-GB"/>
        </w:rPr>
      </w:pPr>
      <w:proofErr w:type="gramStart"/>
      <w:r w:rsidRPr="00F71201">
        <w:rPr>
          <w:rFonts w:ascii="Roboto" w:eastAsia="Roboto" w:hAnsi="Roboto" w:cs="Roboto"/>
          <w:b/>
          <w:bCs/>
          <w:lang w:val="en-GB"/>
        </w:rPr>
        <w:t>In light of</w:t>
      </w:r>
      <w:proofErr w:type="gramEnd"/>
      <w:r w:rsidRPr="00F71201">
        <w:rPr>
          <w:rFonts w:ascii="Roboto" w:eastAsia="Roboto" w:hAnsi="Roboto" w:cs="Roboto"/>
          <w:b/>
          <w:bCs/>
          <w:lang w:val="en-GB"/>
        </w:rPr>
        <w:t xml:space="preserve"> the above, IDA recommends that the proposed General Comment explicitly recognizes effective participation of migrants with disabilities</w:t>
      </w:r>
      <w:r>
        <w:rPr>
          <w:rFonts w:ascii="Roboto" w:eastAsia="Roboto" w:hAnsi="Roboto" w:cs="Roboto"/>
          <w:b/>
          <w:bCs/>
          <w:lang w:val="en-GB"/>
        </w:rPr>
        <w:t xml:space="preserve"> and their representative organizations</w:t>
      </w:r>
      <w:r w:rsidRPr="00F71201">
        <w:rPr>
          <w:rFonts w:ascii="Roboto" w:eastAsia="Roboto" w:hAnsi="Roboto" w:cs="Roboto"/>
          <w:b/>
          <w:bCs/>
          <w:lang w:val="en-GB"/>
        </w:rPr>
        <w:t xml:space="preserve"> as a core principle in </w:t>
      </w:r>
      <w:r>
        <w:rPr>
          <w:rFonts w:ascii="Roboto" w:eastAsia="Roboto" w:hAnsi="Roboto" w:cs="Roboto"/>
          <w:b/>
          <w:bCs/>
          <w:lang w:val="en-GB"/>
        </w:rPr>
        <w:t xml:space="preserve">contributing to </w:t>
      </w:r>
      <w:r w:rsidRPr="00F71201">
        <w:rPr>
          <w:rFonts w:ascii="Roboto" w:eastAsia="Roboto" w:hAnsi="Roboto" w:cs="Roboto"/>
          <w:b/>
          <w:bCs/>
          <w:lang w:val="en-GB"/>
        </w:rPr>
        <w:t>eradicat</w:t>
      </w:r>
      <w:r>
        <w:rPr>
          <w:rFonts w:ascii="Roboto" w:eastAsia="Roboto" w:hAnsi="Roboto" w:cs="Roboto"/>
          <w:b/>
          <w:bCs/>
          <w:lang w:val="en-GB"/>
        </w:rPr>
        <w:t>e</w:t>
      </w:r>
      <w:r w:rsidRPr="00F71201">
        <w:rPr>
          <w:rFonts w:ascii="Roboto" w:eastAsia="Roboto" w:hAnsi="Roboto" w:cs="Roboto"/>
          <w:b/>
          <w:bCs/>
          <w:lang w:val="en-GB"/>
        </w:rPr>
        <w:t xml:space="preserve"> xenophobia</w:t>
      </w:r>
      <w:r>
        <w:rPr>
          <w:rFonts w:ascii="Roboto" w:eastAsia="Roboto" w:hAnsi="Roboto" w:cs="Roboto"/>
          <w:b/>
          <w:bCs/>
          <w:lang w:val="en-GB"/>
        </w:rPr>
        <w:t xml:space="preserve"> and </w:t>
      </w:r>
      <w:r w:rsidRPr="00F71201">
        <w:rPr>
          <w:rFonts w:ascii="Roboto" w:eastAsia="Roboto" w:hAnsi="Roboto" w:cs="Roboto"/>
          <w:b/>
          <w:bCs/>
          <w:lang w:val="en-GB"/>
        </w:rPr>
        <w:t>as a measure to ensure disability-inclusive migration policies and legislations.</w:t>
      </w:r>
    </w:p>
    <w:p w14:paraId="46B17DB7" w14:textId="359100FE" w:rsidR="00BF7C4B" w:rsidRDefault="00BF7C4B" w:rsidP="00A30D4A">
      <w:pPr>
        <w:pStyle w:val="Heading2"/>
      </w:pPr>
      <w:r w:rsidRPr="14BF0954">
        <w:t>IV.</w:t>
      </w:r>
      <w:r w:rsidRPr="14BF0954">
        <w:rPr>
          <w:rFonts w:ascii="Times New Roman" w:eastAsia="Times New Roman" w:hAnsi="Times New Roman" w:cs="Times New Roman"/>
          <w:sz w:val="14"/>
          <w:szCs w:val="14"/>
        </w:rPr>
        <w:t xml:space="preserve">   </w:t>
      </w:r>
      <w:r>
        <w:t>MONITORING XENOPHOBIA AND RACIAL DISCRIMINATION AGAINST MIGRANTS WITH DISABILITIES – DISAGGREGATED DATA BY DISABILITY A PRIORITY</w:t>
      </w:r>
    </w:p>
    <w:p w14:paraId="31EB3E57" w14:textId="592A0CA9" w:rsidR="00BF7C4B" w:rsidRPr="009A5976"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pPr>
      <w:r>
        <w:rPr>
          <w:rFonts w:ascii="Roboto" w:eastAsia="Roboto" w:hAnsi="Roboto" w:cs="Roboto"/>
          <w:b/>
          <w:bCs/>
        </w:rPr>
        <w:t xml:space="preserve"> </w:t>
      </w:r>
      <w:r w:rsidRPr="00F12501">
        <w:rPr>
          <w:rFonts w:ascii="Roboto" w:eastAsia="Roboto" w:hAnsi="Roboto" w:cs="Roboto"/>
        </w:rPr>
        <w:t xml:space="preserve">Effective implementation of laws and policies aimed at eliminating xenophobia and racial discrimination requires continuous monitoring. </w:t>
      </w:r>
      <w:r>
        <w:rPr>
          <w:rFonts w:ascii="Roboto" w:eastAsia="Roboto" w:hAnsi="Roboto" w:cs="Roboto"/>
        </w:rPr>
        <w:t>Human Rights treaties and practice</w:t>
      </w:r>
      <w:r w:rsidRPr="00F12501">
        <w:rPr>
          <w:rFonts w:ascii="Roboto" w:eastAsia="Roboto" w:hAnsi="Roboto" w:cs="Roboto"/>
        </w:rPr>
        <w:t xml:space="preserve"> </w:t>
      </w:r>
      <w:r>
        <w:rPr>
          <w:rFonts w:ascii="Roboto" w:eastAsia="Roboto" w:hAnsi="Roboto" w:cs="Roboto"/>
        </w:rPr>
        <w:t>emphasize</w:t>
      </w:r>
      <w:r w:rsidRPr="00F12501">
        <w:rPr>
          <w:rFonts w:ascii="Roboto" w:eastAsia="Roboto" w:hAnsi="Roboto" w:cs="Roboto"/>
        </w:rPr>
        <w:t xml:space="preserve"> the importance of monitoring</w:t>
      </w:r>
      <w:r>
        <w:rPr>
          <w:rFonts w:ascii="Roboto" w:eastAsia="Roboto" w:hAnsi="Roboto" w:cs="Roboto"/>
        </w:rPr>
        <w:t xml:space="preserve"> at national and global levels. Disaggregated data covering diverse grounds of discrimination is vital to inform evidence-based policies interventions. Unfortunately, disaggregated data available is generally lacking or partial. For instance, EDF notes that “o</w:t>
      </w:r>
      <w:r w:rsidRPr="00502695">
        <w:rPr>
          <w:rFonts w:ascii="Roboto" w:eastAsia="Roboto" w:hAnsi="Roboto" w:cs="Roboto"/>
        </w:rPr>
        <w:t>fficial statistics on disability-related hate crime are not available in most EU Member States</w:t>
      </w:r>
      <w:r>
        <w:rPr>
          <w:rFonts w:ascii="Roboto" w:eastAsia="Roboto" w:hAnsi="Roboto" w:cs="Roboto"/>
        </w:rPr>
        <w:t xml:space="preserve"> and that d</w:t>
      </w:r>
      <w:r w:rsidRPr="00502695">
        <w:rPr>
          <w:rFonts w:ascii="Roboto" w:eastAsia="Roboto" w:hAnsi="Roboto" w:cs="Roboto"/>
        </w:rPr>
        <w:t>ata from 2016-2017, show</w:t>
      </w:r>
      <w:r>
        <w:rPr>
          <w:rFonts w:ascii="Roboto" w:eastAsia="Roboto" w:hAnsi="Roboto" w:cs="Roboto"/>
        </w:rPr>
        <w:t>s</w:t>
      </w:r>
      <w:r w:rsidRPr="00502695">
        <w:rPr>
          <w:rFonts w:ascii="Roboto" w:eastAsia="Roboto" w:hAnsi="Roboto" w:cs="Roboto"/>
        </w:rPr>
        <w:t xml:space="preserve"> that only 5 EU Member States disaggregated data on hate crime by disability as a bias motivation</w:t>
      </w:r>
      <w:r>
        <w:rPr>
          <w:rFonts w:ascii="Roboto" w:eastAsia="Roboto" w:hAnsi="Roboto" w:cs="Roboto"/>
        </w:rPr>
        <w:t>."</w:t>
      </w:r>
      <w:r>
        <w:rPr>
          <w:rStyle w:val="EndnoteReference"/>
        </w:rPr>
        <w:endnoteReference w:id="31"/>
      </w:r>
      <w:r>
        <w:rPr>
          <w:rFonts w:ascii="Roboto" w:eastAsia="Roboto" w:hAnsi="Roboto" w:cs="Roboto"/>
        </w:rPr>
        <w:t xml:space="preserve"> </w:t>
      </w:r>
    </w:p>
    <w:p w14:paraId="0862FCCB" w14:textId="7603B47C" w:rsidR="00BF7C4B" w:rsidRPr="00E7042B"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pPr>
      <w:r>
        <w:rPr>
          <w:rFonts w:ascii="Roboto" w:eastAsia="Roboto" w:hAnsi="Roboto" w:cs="Roboto"/>
        </w:rPr>
        <w:t>The CRPD Committee has expressed similar concerns noting that data on asylum seekers, refugees, and migrants with disabilities remain limited.</w:t>
      </w:r>
      <w:r w:rsidRPr="00E7042B">
        <w:rPr>
          <w:rStyle w:val="EndnoteReference"/>
          <w:rFonts w:ascii="Roboto" w:eastAsia="Roboto" w:hAnsi="Roboto" w:cs="Roboto"/>
          <w:sz w:val="20"/>
          <w:szCs w:val="20"/>
        </w:rPr>
        <w:endnoteReference w:id="32"/>
      </w:r>
      <w:r>
        <w:rPr>
          <w:rFonts w:ascii="Roboto" w:eastAsia="Roboto" w:hAnsi="Roboto" w:cs="Roboto"/>
        </w:rPr>
        <w:t xml:space="preserve"> To support States in </w:t>
      </w:r>
      <w:r>
        <w:rPr>
          <w:rFonts w:ascii="Roboto" w:eastAsia="Roboto" w:hAnsi="Roboto" w:cs="Roboto"/>
        </w:rPr>
        <w:lastRenderedPageBreak/>
        <w:t>collecting comprehensive data, t</w:t>
      </w:r>
      <w:r w:rsidRPr="00E7042B">
        <w:rPr>
          <w:rFonts w:ascii="Roboto" w:hAnsi="Roboto"/>
        </w:rPr>
        <w:t xml:space="preserve">he Washington Group on Disability Statistics has developed </w:t>
      </w:r>
      <w:r>
        <w:rPr>
          <w:rFonts w:ascii="Roboto" w:hAnsi="Roboto"/>
        </w:rPr>
        <w:t xml:space="preserve">a </w:t>
      </w:r>
      <w:r w:rsidRPr="00E7042B">
        <w:rPr>
          <w:rFonts w:ascii="Roboto" w:hAnsi="Roboto"/>
        </w:rPr>
        <w:t>set of questions for national census and surveys,  which has been utilized already in over 80 countries to measure disability prevalence.</w:t>
      </w:r>
      <w:r>
        <w:rPr>
          <w:rStyle w:val="EndnoteReference"/>
          <w:rFonts w:ascii="Roboto" w:hAnsi="Roboto"/>
        </w:rPr>
        <w:endnoteReference w:id="33"/>
      </w:r>
      <w:r w:rsidRPr="00E7042B">
        <w:rPr>
          <w:rFonts w:ascii="Roboto" w:hAnsi="Roboto"/>
        </w:rPr>
        <w:t xml:space="preserve"> The CRPD committee has consistently urged States to use the Washington Group of Short set of questions due to its effectiveness in documenting accurate data on persons with disabilities</w:t>
      </w:r>
      <w:r>
        <w:rPr>
          <w:rFonts w:ascii="Roboto" w:hAnsi="Roboto"/>
        </w:rPr>
        <w:t>.</w:t>
      </w:r>
    </w:p>
    <w:p w14:paraId="0202E8F0" w14:textId="77777777" w:rsidR="00BF7C4B"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hAnsi="Roboto"/>
        </w:rPr>
      </w:pPr>
      <w:r>
        <w:rPr>
          <w:rFonts w:ascii="Roboto" w:hAnsi="Roboto"/>
        </w:rPr>
        <w:t>Regarding monitoring</w:t>
      </w:r>
      <w:r w:rsidRPr="00E7042B">
        <w:rPr>
          <w:rFonts w:ascii="Roboto" w:hAnsi="Roboto"/>
        </w:rPr>
        <w:t xml:space="preserve"> compliance with </w:t>
      </w:r>
      <w:r>
        <w:rPr>
          <w:rFonts w:ascii="Roboto" w:hAnsi="Roboto"/>
        </w:rPr>
        <w:t xml:space="preserve">the </w:t>
      </w:r>
      <w:r w:rsidRPr="00E7042B">
        <w:rPr>
          <w:rFonts w:ascii="Roboto" w:hAnsi="Roboto"/>
        </w:rPr>
        <w:t>human rights of persons with disabilities, the Office of the High Commissioner for Human Rights (OHCHR) has developed illustrative human rights indicators on the CRPD to “give guidance on actions and measures to be taken in implementing the CRPD and facilitating assessment of this progress</w:t>
      </w:r>
      <w:r>
        <w:rPr>
          <w:rFonts w:ascii="Roboto" w:hAnsi="Roboto"/>
        </w:rPr>
        <w:t>.</w:t>
      </w:r>
      <w:r w:rsidRPr="00E7042B">
        <w:rPr>
          <w:rFonts w:ascii="Roboto" w:hAnsi="Roboto"/>
        </w:rPr>
        <w:t xml:space="preserve">” </w:t>
      </w:r>
      <w:r>
        <w:rPr>
          <w:rFonts w:ascii="Roboto" w:hAnsi="Roboto"/>
        </w:rPr>
        <w:t xml:space="preserve">Throughout this submission, IDA has highlighted how existing laws and practices facilitate violations of the rights of migrants with disabilities specifically those related to liberty of movement and nationality. </w:t>
      </w:r>
    </w:p>
    <w:p w14:paraId="588D8791" w14:textId="0636DE83" w:rsidR="00E7042B" w:rsidRDefault="00BF7C4B"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hAnsi="Roboto"/>
        </w:rPr>
      </w:pPr>
      <w:r>
        <w:rPr>
          <w:rFonts w:ascii="Roboto" w:hAnsi="Roboto"/>
        </w:rPr>
        <w:t>In line with this, the OHCHR indicators on Article 18 of the CRPD</w:t>
      </w:r>
      <w:r>
        <w:rPr>
          <w:rStyle w:val="EndnoteReference"/>
          <w:rFonts w:ascii="Roboto" w:hAnsi="Roboto"/>
        </w:rPr>
        <w:endnoteReference w:id="34"/>
      </w:r>
      <w:r>
        <w:rPr>
          <w:rFonts w:ascii="Roboto" w:hAnsi="Roboto"/>
        </w:rPr>
        <w:t xml:space="preserve"> </w:t>
      </w:r>
      <w:r w:rsidR="00053BD0">
        <w:rPr>
          <w:rFonts w:ascii="Roboto" w:hAnsi="Roboto"/>
        </w:rPr>
        <w:t>outline</w:t>
      </w:r>
      <w:r w:rsidR="00E21DC6">
        <w:rPr>
          <w:rFonts w:ascii="Roboto" w:hAnsi="Roboto"/>
        </w:rPr>
        <w:t xml:space="preserve"> useful </w:t>
      </w:r>
      <w:r w:rsidR="004D0581">
        <w:rPr>
          <w:rFonts w:ascii="Roboto" w:hAnsi="Roboto"/>
        </w:rPr>
        <w:t>markers</w:t>
      </w:r>
      <w:r w:rsidR="00E21DC6">
        <w:rPr>
          <w:rFonts w:ascii="Roboto" w:hAnsi="Roboto"/>
        </w:rPr>
        <w:t xml:space="preserve"> that would be beneficial in monitoring</w:t>
      </w:r>
      <w:r w:rsidR="00053BD0">
        <w:rPr>
          <w:rFonts w:ascii="Roboto" w:hAnsi="Roboto"/>
        </w:rPr>
        <w:t xml:space="preserve"> measures undertaken by</w:t>
      </w:r>
      <w:r w:rsidR="00E21DC6">
        <w:rPr>
          <w:rFonts w:ascii="Roboto" w:hAnsi="Roboto"/>
        </w:rPr>
        <w:t xml:space="preserve"> States to eradicate racial discrimination and xenophobic attacks against </w:t>
      </w:r>
      <w:r w:rsidR="004D0581">
        <w:rPr>
          <w:rFonts w:ascii="Roboto" w:hAnsi="Roboto"/>
        </w:rPr>
        <w:t>migrants</w:t>
      </w:r>
      <w:r w:rsidR="00E21DC6">
        <w:rPr>
          <w:rFonts w:ascii="Roboto" w:hAnsi="Roboto"/>
        </w:rPr>
        <w:t xml:space="preserve"> with disabilities. For instance, indicator 18.1 on</w:t>
      </w:r>
      <w:r w:rsidR="00084CAD">
        <w:rPr>
          <w:rFonts w:ascii="Roboto" w:hAnsi="Roboto"/>
        </w:rPr>
        <w:t xml:space="preserve"> </w:t>
      </w:r>
      <w:r w:rsidR="00E21DC6">
        <w:rPr>
          <w:rFonts w:ascii="Roboto" w:hAnsi="Roboto"/>
        </w:rPr>
        <w:t xml:space="preserve">“legislation to </w:t>
      </w:r>
      <w:r w:rsidR="00E21DC6" w:rsidRPr="00E21DC6">
        <w:rPr>
          <w:rFonts w:ascii="Roboto" w:hAnsi="Roboto"/>
          <w:lang w:val="en-GB"/>
        </w:rPr>
        <w:t>ensure non-discrimination based on impairment within eligibility criteria for entering or leaving the country</w:t>
      </w:r>
      <w:r w:rsidR="00E21DC6">
        <w:rPr>
          <w:rFonts w:ascii="Roboto" w:hAnsi="Roboto"/>
          <w:lang w:val="en-GB"/>
        </w:rPr>
        <w:t>”</w:t>
      </w:r>
      <w:r w:rsidR="00E21DC6" w:rsidRPr="00E21DC6">
        <w:rPr>
          <w:rFonts w:ascii="Roboto" w:hAnsi="Roboto"/>
        </w:rPr>
        <w:t xml:space="preserve"> </w:t>
      </w:r>
      <w:r w:rsidR="00084CAD">
        <w:rPr>
          <w:rFonts w:ascii="Roboto" w:hAnsi="Roboto"/>
        </w:rPr>
        <w:t>resonates with</w:t>
      </w:r>
      <w:r w:rsidR="00E21DC6">
        <w:rPr>
          <w:rFonts w:ascii="Roboto" w:hAnsi="Roboto"/>
        </w:rPr>
        <w:t xml:space="preserve"> some of the key concerns raised above on the use of ‘medical health requirement’ to deny or permit entry based on impairment. </w:t>
      </w:r>
    </w:p>
    <w:p w14:paraId="234D4433" w14:textId="4CE053A9" w:rsidR="00E21DC6" w:rsidRDefault="00E21DC6" w:rsidP="00507EE9">
      <w:pPr>
        <w:pStyle w:val="ListParagraph"/>
        <w:numPr>
          <w:ilvl w:val="0"/>
          <w:numId w:val="20"/>
        </w:numPr>
        <w:tabs>
          <w:tab w:val="left" w:pos="284"/>
          <w:tab w:val="left" w:pos="426"/>
        </w:tabs>
        <w:snapToGrid w:val="0"/>
        <w:spacing w:after="240" w:line="240" w:lineRule="auto"/>
        <w:ind w:left="0" w:firstLine="0"/>
        <w:contextualSpacing w:val="0"/>
        <w:jc w:val="both"/>
        <w:rPr>
          <w:rFonts w:ascii="Roboto" w:hAnsi="Roboto"/>
          <w:b/>
          <w:bCs/>
        </w:rPr>
      </w:pPr>
      <w:r w:rsidRPr="00E96146">
        <w:rPr>
          <w:rFonts w:ascii="Roboto" w:hAnsi="Roboto"/>
          <w:b/>
          <w:bCs/>
        </w:rPr>
        <w:t xml:space="preserve">IDA recommends both </w:t>
      </w:r>
      <w:r w:rsidR="00BF0918" w:rsidRPr="00E96146">
        <w:rPr>
          <w:rFonts w:ascii="Roboto" w:hAnsi="Roboto"/>
          <w:b/>
          <w:bCs/>
        </w:rPr>
        <w:t xml:space="preserve">the </w:t>
      </w:r>
      <w:r w:rsidRPr="00E21DC6">
        <w:rPr>
          <w:rFonts w:ascii="Roboto" w:hAnsi="Roboto"/>
          <w:b/>
          <w:bCs/>
        </w:rPr>
        <w:t>Washington Group of Short set of questions</w:t>
      </w:r>
      <w:r w:rsidR="00740AA9" w:rsidRPr="00E96146">
        <w:rPr>
          <w:rFonts w:ascii="Roboto" w:hAnsi="Roboto"/>
          <w:b/>
          <w:bCs/>
        </w:rPr>
        <w:t xml:space="preserve"> and OHCHR human rights indicators on CRPD are explicitly utilized and recommended to States as key tools </w:t>
      </w:r>
      <w:r w:rsidR="00BF0918" w:rsidRPr="00E96146">
        <w:rPr>
          <w:rFonts w:ascii="Roboto" w:hAnsi="Roboto"/>
          <w:b/>
          <w:bCs/>
        </w:rPr>
        <w:t>for</w:t>
      </w:r>
      <w:r w:rsidR="00740AA9" w:rsidRPr="00E96146">
        <w:rPr>
          <w:rFonts w:ascii="Roboto" w:hAnsi="Roboto"/>
          <w:b/>
          <w:bCs/>
        </w:rPr>
        <w:t xml:space="preserve"> </w:t>
      </w:r>
      <w:r w:rsidR="00BF0918" w:rsidRPr="00E96146">
        <w:rPr>
          <w:rFonts w:ascii="Roboto" w:hAnsi="Roboto"/>
          <w:b/>
          <w:bCs/>
        </w:rPr>
        <w:t>assessing</w:t>
      </w:r>
      <w:r w:rsidR="00740AA9" w:rsidRPr="00E96146">
        <w:rPr>
          <w:rFonts w:ascii="Roboto" w:hAnsi="Roboto"/>
          <w:b/>
          <w:bCs/>
        </w:rPr>
        <w:t xml:space="preserve"> </w:t>
      </w:r>
      <w:r w:rsidR="00BF0918" w:rsidRPr="00E96146">
        <w:rPr>
          <w:rFonts w:ascii="Roboto" w:hAnsi="Roboto"/>
          <w:b/>
          <w:bCs/>
        </w:rPr>
        <w:t xml:space="preserve">States measures in eradicating xenophobia and racial discrimination against persons with disabilities. </w:t>
      </w:r>
    </w:p>
    <w:p w14:paraId="096227C9" w14:textId="45900E76" w:rsidR="00201399" w:rsidRDefault="1DB9BE91" w:rsidP="00507EE9">
      <w:pPr>
        <w:tabs>
          <w:tab w:val="left" w:pos="426"/>
        </w:tabs>
        <w:snapToGrid w:val="0"/>
        <w:spacing w:after="240" w:line="240" w:lineRule="auto"/>
        <w:rPr>
          <w:rFonts w:ascii="Roboto" w:eastAsia="Roboto" w:hAnsi="Roboto" w:cs="Roboto"/>
          <w:b/>
          <w:bCs/>
          <w:color w:val="0D1C7F"/>
          <w:sz w:val="28"/>
          <w:szCs w:val="28"/>
          <w:lang w:val="en-GB"/>
        </w:rPr>
      </w:pPr>
      <w:r w:rsidRPr="14BF0954">
        <w:rPr>
          <w:rFonts w:ascii="Roboto" w:eastAsia="Roboto" w:hAnsi="Roboto" w:cs="Roboto"/>
          <w:lang w:val="en-GB"/>
        </w:rPr>
        <w:t xml:space="preserve"> </w:t>
      </w:r>
      <w:r w:rsidR="2D3EA749" w:rsidRPr="14BF0954">
        <w:rPr>
          <w:rFonts w:asciiTheme="majorHAnsi" w:eastAsiaTheme="majorEastAsia" w:hAnsiTheme="majorHAnsi" w:cstheme="majorBidi"/>
          <w:b/>
          <w:bCs/>
          <w:color w:val="0D1C7F"/>
          <w:sz w:val="28"/>
          <w:szCs w:val="28"/>
          <w:lang w:val="en-GB"/>
        </w:rPr>
        <w:t xml:space="preserve">V. </w:t>
      </w:r>
      <w:r w:rsidR="004466BB">
        <w:rPr>
          <w:rFonts w:asciiTheme="majorHAnsi" w:eastAsiaTheme="majorEastAsia" w:hAnsiTheme="majorHAnsi" w:cstheme="majorBidi"/>
          <w:b/>
          <w:bCs/>
          <w:color w:val="0D1C7F"/>
          <w:sz w:val="28"/>
          <w:szCs w:val="28"/>
          <w:lang w:val="en-GB"/>
        </w:rPr>
        <w:t>CLOSING CONSIDERATIONS</w:t>
      </w:r>
    </w:p>
    <w:p w14:paraId="606EDEFF" w14:textId="3A68E1F7" w:rsidR="00201399" w:rsidRPr="000307A8" w:rsidRDefault="00BC50DC" w:rsidP="00507EE9">
      <w:pPr>
        <w:pStyle w:val="ListParagraph"/>
        <w:numPr>
          <w:ilvl w:val="0"/>
          <w:numId w:val="20"/>
        </w:numPr>
        <w:tabs>
          <w:tab w:val="left" w:pos="426"/>
        </w:tabs>
        <w:snapToGrid w:val="0"/>
        <w:spacing w:after="240" w:line="240" w:lineRule="auto"/>
        <w:ind w:left="0" w:firstLine="0"/>
        <w:contextualSpacing w:val="0"/>
        <w:jc w:val="both"/>
        <w:rPr>
          <w:rFonts w:ascii="Roboto" w:hAnsi="Roboto"/>
          <w:lang w:val="en-GB"/>
        </w:rPr>
      </w:pPr>
      <w:r w:rsidRPr="00BC50DC">
        <w:rPr>
          <w:rFonts w:ascii="Roboto" w:hAnsi="Roboto"/>
          <w:lang w:val="en-GB"/>
        </w:rPr>
        <w:t>Eradic</w:t>
      </w:r>
      <w:r w:rsidR="004466BB">
        <w:rPr>
          <w:rFonts w:ascii="Roboto" w:hAnsi="Roboto"/>
          <w:lang w:val="en-GB"/>
        </w:rPr>
        <w:t>a</w:t>
      </w:r>
      <w:r w:rsidRPr="00BC50DC">
        <w:rPr>
          <w:rFonts w:ascii="Roboto" w:hAnsi="Roboto"/>
          <w:lang w:val="en-GB"/>
        </w:rPr>
        <w:t xml:space="preserve">ting xenophobia requires a multisectoral approach that brings together different actors. IDA underscores the importance of </w:t>
      </w:r>
      <w:r w:rsidR="00BB7D9E">
        <w:rPr>
          <w:rFonts w:ascii="Roboto" w:hAnsi="Roboto"/>
          <w:lang w:val="en-GB"/>
        </w:rPr>
        <w:t xml:space="preserve">meaningful engagement </w:t>
      </w:r>
      <w:r w:rsidR="00FA2E62">
        <w:rPr>
          <w:rFonts w:ascii="Roboto" w:hAnsi="Roboto"/>
          <w:lang w:val="en-GB"/>
        </w:rPr>
        <w:t xml:space="preserve">of </w:t>
      </w:r>
      <w:r w:rsidR="000307A8">
        <w:rPr>
          <w:rFonts w:ascii="Roboto" w:hAnsi="Roboto"/>
          <w:lang w:val="en-GB"/>
        </w:rPr>
        <w:t>persons</w:t>
      </w:r>
      <w:r w:rsidR="004D0581">
        <w:rPr>
          <w:rFonts w:ascii="Roboto" w:hAnsi="Roboto"/>
          <w:lang w:val="en-GB"/>
        </w:rPr>
        <w:t xml:space="preserve"> with disabilities</w:t>
      </w:r>
      <w:r w:rsidR="000307A8">
        <w:rPr>
          <w:rFonts w:ascii="Roboto" w:hAnsi="Roboto"/>
          <w:lang w:val="en-GB"/>
        </w:rPr>
        <w:t xml:space="preserve"> and their organizations, including those persons with disabilities who take part in organizations of migrants with disabilities (whatever their legal status is)</w:t>
      </w:r>
      <w:r w:rsidRPr="00BC50DC">
        <w:rPr>
          <w:rFonts w:ascii="Roboto" w:hAnsi="Roboto"/>
          <w:lang w:val="en-GB"/>
        </w:rPr>
        <w:t xml:space="preserve">. IDA hopes that the proposed </w:t>
      </w:r>
      <w:r w:rsidR="000307A8">
        <w:rPr>
          <w:rFonts w:ascii="Roboto" w:hAnsi="Roboto"/>
          <w:lang w:val="en-GB"/>
        </w:rPr>
        <w:t>g</w:t>
      </w:r>
      <w:r w:rsidRPr="00BC50DC">
        <w:rPr>
          <w:rFonts w:ascii="Roboto" w:hAnsi="Roboto"/>
          <w:lang w:val="en-GB"/>
        </w:rPr>
        <w:t xml:space="preserve">eneral </w:t>
      </w:r>
      <w:r w:rsidR="000307A8">
        <w:rPr>
          <w:rFonts w:ascii="Roboto" w:hAnsi="Roboto"/>
          <w:lang w:val="en-GB"/>
        </w:rPr>
        <w:t>c</w:t>
      </w:r>
      <w:r w:rsidRPr="00BC50DC">
        <w:rPr>
          <w:rFonts w:ascii="Roboto" w:hAnsi="Roboto"/>
          <w:lang w:val="en-GB"/>
        </w:rPr>
        <w:t>omment will prioritize this obligation among other issues raised in this submission.</w:t>
      </w:r>
    </w:p>
    <w:p w14:paraId="37699211" w14:textId="0B7A9F34" w:rsidR="00201399" w:rsidRDefault="1DB9BE91" w:rsidP="00507EE9">
      <w:pPr>
        <w:tabs>
          <w:tab w:val="left" w:pos="284"/>
          <w:tab w:val="left" w:pos="426"/>
        </w:tabs>
        <w:snapToGrid w:val="0"/>
        <w:spacing w:after="240" w:line="240" w:lineRule="auto"/>
        <w:jc w:val="both"/>
      </w:pPr>
      <w:r w:rsidRPr="4C889FDD">
        <w:rPr>
          <w:rFonts w:ascii="Roboto" w:eastAsia="Roboto" w:hAnsi="Roboto" w:cs="Roboto"/>
        </w:rPr>
        <w:t xml:space="preserve"> </w:t>
      </w:r>
    </w:p>
    <w:p w14:paraId="445AFD4A" w14:textId="511CC988" w:rsidR="00201399" w:rsidRDefault="1DB9BE91" w:rsidP="00507EE9">
      <w:pPr>
        <w:tabs>
          <w:tab w:val="left" w:pos="426"/>
        </w:tabs>
        <w:snapToGrid w:val="0"/>
        <w:spacing w:after="240" w:line="240" w:lineRule="auto"/>
      </w:pPr>
      <w:r w:rsidRPr="4C889FDD">
        <w:rPr>
          <w:rFonts w:ascii="Roboto" w:eastAsia="Roboto" w:hAnsi="Roboto" w:cs="Roboto"/>
          <w:sz w:val="28"/>
          <w:szCs w:val="28"/>
        </w:rPr>
        <w:t xml:space="preserve"> </w:t>
      </w:r>
    </w:p>
    <w:p w14:paraId="1F4F46E9" w14:textId="0D0BF7FC" w:rsidR="00201399" w:rsidRDefault="1DB9BE91" w:rsidP="00507EE9">
      <w:pPr>
        <w:tabs>
          <w:tab w:val="left" w:pos="426"/>
        </w:tabs>
        <w:snapToGrid w:val="0"/>
        <w:spacing w:after="240" w:line="240" w:lineRule="auto"/>
      </w:pPr>
      <w:r w:rsidRPr="4C889FDD">
        <w:rPr>
          <w:rFonts w:ascii="Roboto" w:eastAsia="Roboto" w:hAnsi="Roboto" w:cs="Roboto"/>
          <w:sz w:val="28"/>
          <w:szCs w:val="28"/>
          <w:lang w:val="en-GB"/>
        </w:rPr>
        <w:t xml:space="preserve"> </w:t>
      </w:r>
    </w:p>
    <w:p w14:paraId="7C5FB196" w14:textId="3D754F98" w:rsidR="00201399" w:rsidRDefault="00201399" w:rsidP="00507EE9">
      <w:pPr>
        <w:tabs>
          <w:tab w:val="left" w:pos="426"/>
        </w:tabs>
        <w:snapToGrid w:val="0"/>
        <w:spacing w:after="240" w:line="240" w:lineRule="auto"/>
      </w:pPr>
    </w:p>
    <w:p w14:paraId="69F2F7C6" w14:textId="7B41CEF2" w:rsidR="00201399" w:rsidRDefault="1DB9BE91" w:rsidP="00507EE9">
      <w:pPr>
        <w:tabs>
          <w:tab w:val="left" w:pos="284"/>
          <w:tab w:val="left" w:pos="426"/>
        </w:tabs>
        <w:snapToGrid w:val="0"/>
        <w:spacing w:after="240" w:line="240" w:lineRule="auto"/>
        <w:jc w:val="both"/>
      </w:pPr>
      <w:r w:rsidRPr="4C889FDD">
        <w:rPr>
          <w:rFonts w:ascii="Roboto" w:eastAsia="Roboto" w:hAnsi="Roboto" w:cs="Roboto"/>
          <w:sz w:val="28"/>
          <w:szCs w:val="28"/>
          <w:lang w:val="en-GB"/>
        </w:rPr>
        <w:t xml:space="preserve"> </w:t>
      </w:r>
    </w:p>
    <w:p w14:paraId="03B46B55" w14:textId="591B2513" w:rsidR="00201399" w:rsidRDefault="1DB9BE91" w:rsidP="00507EE9">
      <w:pPr>
        <w:tabs>
          <w:tab w:val="left" w:pos="426"/>
        </w:tabs>
        <w:snapToGrid w:val="0"/>
        <w:spacing w:after="240" w:line="240" w:lineRule="auto"/>
      </w:pPr>
      <w:r w:rsidRPr="4C889FDD">
        <w:rPr>
          <w:rFonts w:ascii="Roboto" w:eastAsia="Roboto" w:hAnsi="Roboto" w:cs="Roboto"/>
          <w:sz w:val="28"/>
          <w:szCs w:val="28"/>
        </w:rPr>
        <w:t xml:space="preserve"> </w:t>
      </w:r>
    </w:p>
    <w:p w14:paraId="2C078E63" w14:textId="762F94F6" w:rsidR="00201399" w:rsidRPr="00BF7C4B" w:rsidRDefault="1DB9BE91" w:rsidP="00BF7C4B">
      <w:pPr>
        <w:pStyle w:val="Heading3"/>
        <w:rPr>
          <w:rFonts w:asciiTheme="minorHAnsi" w:eastAsiaTheme="minorEastAsia" w:hAnsiTheme="minorHAnsi" w:cstheme="minorBidi"/>
        </w:rPr>
      </w:pPr>
      <w:r w:rsidRPr="4C889FDD">
        <w:lastRenderedPageBreak/>
        <w:t xml:space="preserve"> </w:t>
      </w:r>
      <w:r w:rsidR="00BF7C4B">
        <w:t>Endnotes</w:t>
      </w:r>
    </w:p>
    <w:sectPr w:rsidR="00201399" w:rsidRPr="00BF7C4B">
      <w:footerReference w:type="even" r:id="rId10"/>
      <w:footerReference w:type="default" r:id="rId11"/>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D88B6" w14:textId="77777777" w:rsidR="009E60DC" w:rsidRDefault="009E60DC" w:rsidP="003D7C24">
      <w:pPr>
        <w:spacing w:after="0" w:line="240" w:lineRule="auto"/>
      </w:pPr>
      <w:r>
        <w:separator/>
      </w:r>
    </w:p>
  </w:endnote>
  <w:endnote w:type="continuationSeparator" w:id="0">
    <w:p w14:paraId="4CA62E00" w14:textId="77777777" w:rsidR="009E60DC" w:rsidRDefault="009E60DC" w:rsidP="003D7C24">
      <w:pPr>
        <w:spacing w:after="0" w:line="240" w:lineRule="auto"/>
      </w:pPr>
      <w:r>
        <w:continuationSeparator/>
      </w:r>
    </w:p>
  </w:endnote>
  <w:endnote w:id="1">
    <w:p w14:paraId="2F4E7265" w14:textId="3E646604" w:rsidR="00BF7C4B" w:rsidRPr="007D29DD" w:rsidRDefault="00BF7C4B" w:rsidP="00BF7C4B">
      <w:pPr>
        <w:pStyle w:val="EndnoteText"/>
        <w:jc w:val="both"/>
        <w:rPr>
          <w:rFonts w:ascii="Roboto" w:hAnsi="Roboto"/>
        </w:rPr>
      </w:pPr>
      <w:r w:rsidRPr="007D29DD">
        <w:rPr>
          <w:rStyle w:val="EndnoteReference"/>
          <w:rFonts w:ascii="Roboto" w:hAnsi="Roboto"/>
        </w:rPr>
        <w:endnoteRef/>
      </w:r>
      <w:r w:rsidRPr="007D29DD">
        <w:rPr>
          <w:rFonts w:ascii="Roboto" w:hAnsi="Roboto"/>
        </w:rPr>
        <w:t xml:space="preserve"> Art 1, Convention on the Rights of Persons with Disabilities.</w:t>
      </w:r>
    </w:p>
  </w:endnote>
  <w:endnote w:id="2">
    <w:p w14:paraId="2005817C" w14:textId="471FC5E9"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CRPD/C/GC/6, Para 8. </w:t>
      </w:r>
    </w:p>
  </w:endnote>
  <w:endnote w:id="3">
    <w:p w14:paraId="3BDA2193" w14:textId="7C6241A3"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CRPD/C/GC/6, Para 9. </w:t>
      </w:r>
    </w:p>
  </w:endnote>
  <w:endnote w:id="4">
    <w:p w14:paraId="2AAD77F1" w14:textId="15022A0F" w:rsidR="00BF7C4B" w:rsidRPr="007D29DD" w:rsidRDefault="00BF7C4B" w:rsidP="00BF7C4B">
      <w:pPr>
        <w:pStyle w:val="EndnoteText"/>
        <w:jc w:val="both"/>
        <w:rPr>
          <w:rFonts w:ascii="Roboto" w:hAnsi="Roboto"/>
        </w:rPr>
      </w:pPr>
      <w:r w:rsidRPr="007D29DD">
        <w:rPr>
          <w:rStyle w:val="EndnoteReference"/>
          <w:rFonts w:ascii="Roboto" w:hAnsi="Roboto"/>
        </w:rPr>
        <w:endnoteRef/>
      </w:r>
      <w:r w:rsidRPr="007D29DD">
        <w:rPr>
          <w:rFonts w:ascii="Roboto" w:hAnsi="Roboto"/>
        </w:rPr>
        <w:t xml:space="preserve"> See IDA’s compilation of CRPD Committee Concluding Observations, Article 1-4, available at </w:t>
      </w:r>
      <w:r w:rsidRPr="007D29DD">
        <w:rPr>
          <w:rFonts w:ascii="Roboto" w:hAnsi="Roboto"/>
          <w:color w:val="0070C0"/>
        </w:rPr>
        <w:t>&lt;</w:t>
      </w:r>
      <w:hyperlink r:id="rId1" w:history="1">
        <w:r w:rsidRPr="007D29DD">
          <w:rPr>
            <w:rStyle w:val="Hyperlink"/>
            <w:rFonts w:ascii="Roboto" w:hAnsi="Roboto"/>
            <w:color w:val="0070C0"/>
          </w:rPr>
          <w:t>https://www.internationaldisabilityalliance.org/documents/article1to4crpd3-docx</w:t>
        </w:r>
      </w:hyperlink>
      <w:r w:rsidRPr="007D29DD">
        <w:rPr>
          <w:rFonts w:ascii="Roboto" w:hAnsi="Roboto"/>
          <w:color w:val="0070C0"/>
        </w:rPr>
        <w:t>&gt;</w:t>
      </w:r>
    </w:p>
  </w:endnote>
  <w:endnote w:id="5">
    <w:p w14:paraId="282C3BAA" w14:textId="41982A84" w:rsidR="00BF7C4B" w:rsidRPr="007D29DD" w:rsidRDefault="00BF7C4B" w:rsidP="00BF7C4B">
      <w:pPr>
        <w:pStyle w:val="EndnoteText"/>
        <w:jc w:val="both"/>
        <w:rPr>
          <w:rFonts w:ascii="Roboto" w:hAnsi="Roboto"/>
        </w:rPr>
      </w:pPr>
      <w:r w:rsidRPr="007D29DD">
        <w:rPr>
          <w:rStyle w:val="EndnoteReference"/>
          <w:rFonts w:ascii="Roboto" w:hAnsi="Roboto"/>
        </w:rPr>
        <w:endnoteRef/>
      </w:r>
      <w:r w:rsidRPr="007D29DD">
        <w:rPr>
          <w:rFonts w:ascii="Roboto" w:hAnsi="Roboto"/>
          <w:lang w:val="es-ES"/>
        </w:rPr>
        <w:t xml:space="preserve"> CRPD/C/BHR/CO/1-2, para 7(b). </w:t>
      </w:r>
      <w:r w:rsidRPr="007D29DD">
        <w:rPr>
          <w:rFonts w:ascii="Roboto" w:hAnsi="Roboto"/>
        </w:rPr>
        <w:t>See similarly, CRPD/C/KAZ/CO/1, para 7 (b).</w:t>
      </w:r>
    </w:p>
  </w:endnote>
  <w:endnote w:id="6">
    <w:p w14:paraId="144FBD55" w14:textId="61141E97"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A/HRC/43/41, para 9. </w:t>
      </w:r>
    </w:p>
  </w:endnote>
  <w:endnote w:id="7">
    <w:p w14:paraId="2A874395" w14:textId="383503A7"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A/HRC/43/41, para 10. </w:t>
      </w:r>
    </w:p>
  </w:endnote>
  <w:endnote w:id="8">
    <w:p w14:paraId="4BB4ED0F" w14:textId="408C1173"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A/HRC/43/27, para 15. </w:t>
      </w:r>
    </w:p>
  </w:endnote>
  <w:endnote w:id="9">
    <w:p w14:paraId="7AF28E2C" w14:textId="33B1DEE8"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A/HRC/38/52, para 41.</w:t>
      </w:r>
    </w:p>
  </w:endnote>
  <w:endnote w:id="10">
    <w:p w14:paraId="0DCB4D7F" w14:textId="6E3D33A8"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A/HRC/38/52, para 41.</w:t>
      </w:r>
    </w:p>
  </w:endnote>
  <w:endnote w:id="11">
    <w:p w14:paraId="3CA64868" w14:textId="0555D560" w:rsidR="00BF7C4B" w:rsidRPr="00BF7C4B" w:rsidRDefault="00BF7C4B" w:rsidP="00BF7C4B">
      <w:pPr>
        <w:pStyle w:val="EndnoteText"/>
        <w:jc w:val="both"/>
        <w:rPr>
          <w:rFonts w:ascii="Roboto" w:hAnsi="Roboto"/>
          <w:lang w:val="it-CH"/>
        </w:rPr>
      </w:pPr>
      <w:r w:rsidRPr="007D29DD">
        <w:rPr>
          <w:rStyle w:val="EndnoteReference"/>
          <w:rFonts w:ascii="Roboto" w:hAnsi="Roboto"/>
        </w:rPr>
        <w:endnoteRef/>
      </w:r>
      <w:r w:rsidRPr="00BF7C4B">
        <w:rPr>
          <w:rFonts w:ascii="Roboto" w:hAnsi="Roboto"/>
          <w:lang w:val="it-CH"/>
        </w:rPr>
        <w:t xml:space="preserve"> </w:t>
      </w:r>
      <w:r w:rsidRPr="00BF7C4B">
        <w:rPr>
          <w:rFonts w:ascii="Roboto" w:hAnsi="Roboto"/>
          <w:lang w:val="it-CH"/>
        </w:rPr>
        <w:t xml:space="preserve">OSCE, </w:t>
      </w:r>
      <w:r w:rsidRPr="007D29DD">
        <w:rPr>
          <w:rFonts w:ascii="Roboto" w:hAnsi="Roboto"/>
        </w:rPr>
        <w:fldChar w:fldCharType="begin"/>
      </w:r>
      <w:r w:rsidRPr="00BF7C4B">
        <w:rPr>
          <w:rFonts w:ascii="Roboto" w:hAnsi="Roboto"/>
          <w:lang w:val="it-CH"/>
        </w:rPr>
        <w:instrText>HYPERLINK "https://hatecrime.osce.org/infocus/2019-hate-crime-data-now-available"</w:instrText>
      </w:r>
      <w:r w:rsidRPr="007D29DD">
        <w:rPr>
          <w:rFonts w:ascii="Roboto" w:hAnsi="Roboto"/>
        </w:rPr>
      </w:r>
      <w:r w:rsidRPr="007D29DD">
        <w:rPr>
          <w:rFonts w:ascii="Roboto" w:hAnsi="Roboto"/>
        </w:rPr>
        <w:fldChar w:fldCharType="separate"/>
      </w:r>
      <w:r w:rsidRPr="00BF7C4B">
        <w:rPr>
          <w:rStyle w:val="Hyperlink"/>
          <w:rFonts w:ascii="Roboto" w:hAnsi="Roboto"/>
          <w:color w:val="0070C0"/>
          <w:lang w:val="it-CH"/>
        </w:rPr>
        <w:t>https://hatecrime.osce.org/infocus/2019-hate-crime-data-now-available</w:t>
      </w:r>
      <w:r w:rsidRPr="007D29DD">
        <w:rPr>
          <w:rStyle w:val="Hyperlink"/>
          <w:rFonts w:ascii="Roboto" w:hAnsi="Roboto"/>
          <w:color w:val="0070C0"/>
          <w:lang w:val="it-CH"/>
        </w:rPr>
        <w:fldChar w:fldCharType="end"/>
      </w:r>
    </w:p>
  </w:endnote>
  <w:endnote w:id="12">
    <w:p w14:paraId="54CE40F5" w14:textId="7AEDAD8A" w:rsidR="00BF7C4B" w:rsidRPr="007D29DD" w:rsidRDefault="00BF7C4B" w:rsidP="00BF7C4B">
      <w:pPr>
        <w:pStyle w:val="EndnoteText"/>
        <w:jc w:val="both"/>
        <w:rPr>
          <w:rFonts w:ascii="Roboto" w:hAnsi="Roboto"/>
          <w:lang w:val="it-CH"/>
        </w:rPr>
      </w:pPr>
      <w:r w:rsidRPr="007D29DD">
        <w:rPr>
          <w:rStyle w:val="EndnoteReference"/>
          <w:rFonts w:ascii="Roboto" w:hAnsi="Roboto"/>
        </w:rPr>
        <w:endnoteRef/>
      </w:r>
      <w:r w:rsidRPr="007D29DD">
        <w:rPr>
          <w:rFonts w:ascii="Roboto" w:hAnsi="Roboto"/>
          <w:lang w:val="it-CH"/>
        </w:rPr>
        <w:t xml:space="preserve"> </w:t>
      </w:r>
      <w:bookmarkStart w:id="1" w:name="_Hlk164334813"/>
      <w:r w:rsidRPr="007D29DD">
        <w:rPr>
          <w:rFonts w:ascii="Roboto" w:hAnsi="Roboto"/>
          <w:lang w:val="it-CH"/>
        </w:rPr>
        <w:t xml:space="preserve">EDF Recommendations on EU initiatives on hate speech and hate crime (2021), page 5, available at &lt; </w:t>
      </w:r>
      <w:r w:rsidRPr="007D29DD">
        <w:rPr>
          <w:rFonts w:ascii="Roboto" w:hAnsi="Roboto"/>
        </w:rPr>
        <w:fldChar w:fldCharType="begin"/>
      </w:r>
      <w:r w:rsidRPr="007D29DD">
        <w:rPr>
          <w:rFonts w:ascii="Roboto" w:hAnsi="Roboto"/>
          <w:lang w:val="it-CH"/>
        </w:rPr>
        <w:instrText>HYPERLINK "https://www.edf-feph.org/content/uploads/2021/04/EDF-position-and-recommendation-on-hate-speech-and-hate-crime.pdf"</w:instrText>
      </w:r>
      <w:r w:rsidRPr="007D29DD">
        <w:rPr>
          <w:rFonts w:ascii="Roboto" w:hAnsi="Roboto"/>
        </w:rPr>
      </w:r>
      <w:r w:rsidRPr="007D29DD">
        <w:rPr>
          <w:rFonts w:ascii="Roboto" w:hAnsi="Roboto"/>
        </w:rPr>
        <w:fldChar w:fldCharType="separate"/>
      </w:r>
      <w:r w:rsidRPr="007D29DD">
        <w:rPr>
          <w:rStyle w:val="Hyperlink"/>
          <w:rFonts w:ascii="Roboto" w:hAnsi="Roboto"/>
          <w:color w:val="0070C0"/>
          <w:lang w:val="it-CH"/>
        </w:rPr>
        <w:t>https://www.edf-feph.org/content/uploads/2021/04/EDF-position-and-recommendation-on-hate-speech-and-hate-crime.pdf</w:t>
      </w:r>
      <w:r w:rsidRPr="007D29DD">
        <w:rPr>
          <w:rStyle w:val="Hyperlink"/>
          <w:rFonts w:ascii="Roboto" w:hAnsi="Roboto"/>
          <w:color w:val="0070C0"/>
        </w:rPr>
        <w:fldChar w:fldCharType="end"/>
      </w:r>
      <w:r w:rsidRPr="007D29DD">
        <w:rPr>
          <w:rFonts w:ascii="Roboto" w:hAnsi="Roboto"/>
          <w:lang w:val="it-CH"/>
        </w:rPr>
        <w:t xml:space="preserve">&gt; </w:t>
      </w:r>
    </w:p>
    <w:bookmarkEnd w:id="1"/>
  </w:endnote>
  <w:endnote w:id="13">
    <w:p w14:paraId="3970F926" w14:textId="4C129B32" w:rsidR="00BF7C4B" w:rsidRPr="00BF7C4B" w:rsidRDefault="00BF7C4B" w:rsidP="00BF7C4B">
      <w:pPr>
        <w:pStyle w:val="EndnoteText"/>
        <w:jc w:val="both"/>
        <w:rPr>
          <w:rFonts w:ascii="Roboto" w:hAnsi="Roboto"/>
          <w:lang w:val="fr-FR"/>
        </w:rPr>
      </w:pPr>
      <w:r w:rsidRPr="007D29DD">
        <w:rPr>
          <w:rStyle w:val="EndnoteReference"/>
          <w:rFonts w:ascii="Roboto" w:hAnsi="Roboto"/>
        </w:rPr>
        <w:endnoteRef/>
      </w:r>
      <w:r w:rsidRPr="00BF7C4B">
        <w:rPr>
          <w:rFonts w:ascii="Roboto" w:hAnsi="Roboto"/>
          <w:lang w:val="fr-FR"/>
        </w:rPr>
        <w:t xml:space="preserve"> Idem, page 6.</w:t>
      </w:r>
    </w:p>
  </w:endnote>
  <w:endnote w:id="14">
    <w:p w14:paraId="056DE892" w14:textId="3D607D11" w:rsidR="00BF7C4B" w:rsidRPr="00BF7C4B" w:rsidRDefault="00BF7C4B" w:rsidP="00BF7C4B">
      <w:pPr>
        <w:pStyle w:val="EndnoteText"/>
        <w:jc w:val="both"/>
        <w:rPr>
          <w:rFonts w:ascii="Roboto" w:hAnsi="Roboto"/>
          <w:lang w:val="fr-FR"/>
        </w:rPr>
      </w:pPr>
      <w:r w:rsidRPr="007D29DD">
        <w:rPr>
          <w:rStyle w:val="EndnoteReference"/>
          <w:rFonts w:ascii="Roboto" w:hAnsi="Roboto"/>
        </w:rPr>
        <w:endnoteRef/>
      </w:r>
      <w:r w:rsidRPr="00BF7C4B">
        <w:rPr>
          <w:rFonts w:ascii="Roboto" w:hAnsi="Roboto"/>
          <w:lang w:val="fr-FR"/>
        </w:rPr>
        <w:t xml:space="preserve">  </w:t>
      </w:r>
      <w:bookmarkStart w:id="2" w:name="_Hlk164335088"/>
      <w:r w:rsidRPr="00BF7C4B">
        <w:rPr>
          <w:rFonts w:ascii="Roboto" w:hAnsi="Roboto"/>
          <w:lang w:val="fr-FR"/>
        </w:rPr>
        <w:t>Idem</w:t>
      </w:r>
      <w:r w:rsidRPr="00BF7C4B">
        <w:rPr>
          <w:rFonts w:ascii="Roboto" w:hAnsi="Roboto"/>
          <w:lang w:val="fr-FR"/>
        </w:rPr>
        <w:t>, page 7</w:t>
      </w:r>
      <w:r>
        <w:rPr>
          <w:rFonts w:ascii="Roboto" w:hAnsi="Roboto"/>
          <w:lang w:val="fr-FR"/>
        </w:rPr>
        <w:t>.</w:t>
      </w:r>
      <w:r w:rsidRPr="00BF7C4B">
        <w:rPr>
          <w:rFonts w:ascii="Roboto" w:hAnsi="Roboto"/>
          <w:lang w:val="fr-FR"/>
        </w:rPr>
        <w:t xml:space="preserve"> </w:t>
      </w:r>
      <w:bookmarkEnd w:id="2"/>
    </w:p>
  </w:endnote>
  <w:endnote w:id="15">
    <w:p w14:paraId="6380965D" w14:textId="014483CE" w:rsidR="00BF7C4B" w:rsidRPr="007D29DD" w:rsidRDefault="00BF7C4B" w:rsidP="00BF7C4B">
      <w:pPr>
        <w:pStyle w:val="EndnoteText"/>
        <w:jc w:val="both"/>
        <w:rPr>
          <w:rFonts w:ascii="Roboto" w:hAnsi="Roboto"/>
          <w:lang w:val="it-CH"/>
        </w:rPr>
      </w:pPr>
      <w:r w:rsidRPr="007D29DD">
        <w:rPr>
          <w:rStyle w:val="EndnoteReference"/>
          <w:rFonts w:ascii="Roboto" w:hAnsi="Roboto"/>
        </w:rPr>
        <w:endnoteRef/>
      </w:r>
      <w:r w:rsidRPr="007D29DD">
        <w:rPr>
          <w:rFonts w:ascii="Roboto" w:hAnsi="Roboto"/>
          <w:lang w:val="it-CH"/>
        </w:rPr>
        <w:t xml:space="preserve"> </w:t>
      </w:r>
      <w:r w:rsidRPr="00BF7C4B">
        <w:rPr>
          <w:rFonts w:ascii="Roboto" w:hAnsi="Roboto"/>
          <w:lang w:val="fr-FR"/>
        </w:rPr>
        <w:t>Idem, page 7</w:t>
      </w:r>
      <w:r>
        <w:rPr>
          <w:rFonts w:ascii="Roboto" w:hAnsi="Roboto"/>
          <w:lang w:val="fr-FR"/>
        </w:rPr>
        <w:t>.</w:t>
      </w:r>
    </w:p>
  </w:endnote>
  <w:endnote w:id="16">
    <w:p w14:paraId="7767C85E" w14:textId="2E8A56E2" w:rsidR="00BF7C4B" w:rsidRPr="007D29DD" w:rsidRDefault="00BF7C4B" w:rsidP="00BF7C4B">
      <w:pPr>
        <w:pStyle w:val="EndnoteText"/>
        <w:jc w:val="both"/>
        <w:rPr>
          <w:rFonts w:ascii="Roboto" w:hAnsi="Roboto"/>
          <w:lang w:val="it-CH"/>
        </w:rPr>
      </w:pPr>
      <w:r w:rsidRPr="007D29DD">
        <w:rPr>
          <w:rStyle w:val="EndnoteReference"/>
          <w:rFonts w:ascii="Roboto" w:hAnsi="Roboto"/>
        </w:rPr>
        <w:endnoteRef/>
      </w:r>
      <w:r w:rsidRPr="007D29DD">
        <w:rPr>
          <w:rFonts w:ascii="Roboto" w:hAnsi="Roboto"/>
          <w:lang w:val="it-CH"/>
        </w:rPr>
        <w:t xml:space="preserve"> </w:t>
      </w:r>
      <w:r w:rsidRPr="00BF7C4B">
        <w:rPr>
          <w:rFonts w:ascii="Roboto" w:hAnsi="Roboto"/>
          <w:lang w:val="fr-FR"/>
        </w:rPr>
        <w:t xml:space="preserve">Idem, page </w:t>
      </w:r>
      <w:r>
        <w:rPr>
          <w:rFonts w:ascii="Roboto" w:hAnsi="Roboto"/>
          <w:lang w:val="fr-FR"/>
        </w:rPr>
        <w:t>8</w:t>
      </w:r>
      <w:r>
        <w:rPr>
          <w:rFonts w:ascii="Roboto" w:hAnsi="Roboto"/>
          <w:lang w:val="fr-FR"/>
        </w:rPr>
        <w:t>.</w:t>
      </w:r>
    </w:p>
  </w:endnote>
  <w:endnote w:id="17">
    <w:p w14:paraId="501E9D3A" w14:textId="7641E3FB" w:rsidR="00BF7C4B" w:rsidRPr="007D29DD" w:rsidRDefault="00BF7C4B" w:rsidP="00BF7C4B">
      <w:pPr>
        <w:pStyle w:val="EndnoteText"/>
        <w:jc w:val="both"/>
        <w:rPr>
          <w:rFonts w:ascii="Roboto" w:hAnsi="Roboto"/>
        </w:rPr>
      </w:pPr>
      <w:r w:rsidRPr="007D29DD">
        <w:rPr>
          <w:rStyle w:val="EndnoteReference"/>
          <w:rFonts w:ascii="Roboto" w:hAnsi="Roboto"/>
        </w:rPr>
        <w:endnoteRef/>
      </w:r>
      <w:r w:rsidRPr="007D29DD">
        <w:rPr>
          <w:rFonts w:ascii="Roboto" w:hAnsi="Roboto"/>
        </w:rPr>
        <w:t xml:space="preserve"> CRPD/C/BHR/CO/1-2, para 36 (</w:t>
      </w:r>
      <w:proofErr w:type="gramStart"/>
      <w:r w:rsidRPr="007D29DD">
        <w:rPr>
          <w:rFonts w:ascii="Roboto" w:hAnsi="Roboto"/>
        </w:rPr>
        <w:t>c )</w:t>
      </w:r>
      <w:proofErr w:type="gramEnd"/>
      <w:r w:rsidRPr="007D29DD">
        <w:rPr>
          <w:rFonts w:ascii="Roboto" w:hAnsi="Roboto"/>
        </w:rPr>
        <w:t xml:space="preserve"> (emphasis added).</w:t>
      </w:r>
    </w:p>
  </w:endnote>
  <w:endnote w:id="18">
    <w:p w14:paraId="78668518" w14:textId="1D138327" w:rsidR="00BF7C4B" w:rsidRPr="007D29DD" w:rsidRDefault="00BF7C4B" w:rsidP="00BF7C4B">
      <w:pPr>
        <w:pStyle w:val="EndnoteText"/>
        <w:jc w:val="both"/>
        <w:rPr>
          <w:rFonts w:ascii="Roboto" w:hAnsi="Roboto"/>
          <w:lang w:val="en-CH"/>
        </w:rPr>
      </w:pPr>
      <w:r w:rsidRPr="007D29DD">
        <w:rPr>
          <w:rStyle w:val="EndnoteReference"/>
          <w:rFonts w:ascii="Roboto" w:hAnsi="Roboto"/>
        </w:rPr>
        <w:endnoteRef/>
      </w:r>
      <w:r w:rsidRPr="007D29DD">
        <w:rPr>
          <w:rFonts w:ascii="Roboto" w:hAnsi="Roboto"/>
          <w:lang w:val="de-CH"/>
        </w:rPr>
        <w:t xml:space="preserve"> </w:t>
      </w:r>
      <w:r w:rsidRPr="007D29DD">
        <w:rPr>
          <w:rFonts w:ascii="Roboto" w:hAnsi="Roboto"/>
          <w:lang w:val="en-CH"/>
        </w:rPr>
        <w:t>CRPD/C/24/D/20/2014, paragraph 2.3.</w:t>
      </w:r>
    </w:p>
  </w:endnote>
  <w:endnote w:id="19">
    <w:p w14:paraId="4BD0624A" w14:textId="354699A2" w:rsidR="00BF7C4B" w:rsidRPr="007D29DD" w:rsidRDefault="00BF7C4B" w:rsidP="00BF7C4B">
      <w:pPr>
        <w:pStyle w:val="EndnoteText"/>
        <w:jc w:val="both"/>
        <w:rPr>
          <w:rFonts w:ascii="Roboto" w:hAnsi="Roboto"/>
          <w:lang w:val="en-CH"/>
        </w:rPr>
      </w:pPr>
      <w:r w:rsidRPr="007D29DD">
        <w:rPr>
          <w:rStyle w:val="EndnoteReference"/>
          <w:rFonts w:ascii="Roboto" w:hAnsi="Roboto"/>
        </w:rPr>
        <w:endnoteRef/>
      </w:r>
      <w:r w:rsidRPr="007D29DD">
        <w:rPr>
          <w:rFonts w:ascii="Roboto" w:hAnsi="Roboto"/>
          <w:lang w:val="de-CH"/>
        </w:rPr>
        <w:t xml:space="preserve"> </w:t>
      </w:r>
      <w:r w:rsidRPr="007D29DD">
        <w:rPr>
          <w:rFonts w:ascii="Roboto" w:hAnsi="Roboto"/>
          <w:lang w:val="en-CH"/>
        </w:rPr>
        <w:t>CRPD/C/24/D/20/2014.</w:t>
      </w:r>
    </w:p>
  </w:endnote>
  <w:endnote w:id="20">
    <w:p w14:paraId="4E4D3608" w14:textId="43C5C7C6"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w:t>
      </w:r>
      <w:proofErr w:type="spellStart"/>
      <w:r w:rsidRPr="007D29DD">
        <w:rPr>
          <w:rFonts w:ascii="Roboto" w:hAnsi="Roboto"/>
          <w:lang w:val="es-ES"/>
        </w:rPr>
        <w:t>CO’s</w:t>
      </w:r>
      <w:proofErr w:type="spellEnd"/>
      <w:r w:rsidRPr="007D29DD">
        <w:rPr>
          <w:rFonts w:ascii="Roboto" w:hAnsi="Roboto"/>
          <w:lang w:val="es-ES"/>
        </w:rPr>
        <w:t xml:space="preserve"> 2024, para 19 (b).</w:t>
      </w:r>
    </w:p>
  </w:endnote>
  <w:endnote w:id="21">
    <w:p w14:paraId="281C797F" w14:textId="6FF5CCFC"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w:t>
      </w:r>
      <w:proofErr w:type="spellStart"/>
      <w:r w:rsidRPr="007D29DD">
        <w:rPr>
          <w:rFonts w:ascii="Roboto" w:hAnsi="Roboto"/>
          <w:lang w:val="es-ES"/>
        </w:rPr>
        <w:t>CO’s</w:t>
      </w:r>
      <w:proofErr w:type="spellEnd"/>
      <w:r w:rsidRPr="007D29DD">
        <w:rPr>
          <w:rFonts w:ascii="Roboto" w:hAnsi="Roboto"/>
          <w:lang w:val="es-ES"/>
        </w:rPr>
        <w:t xml:space="preserve"> 2024, para 20 (b).</w:t>
      </w:r>
    </w:p>
  </w:endnote>
  <w:endnote w:id="22">
    <w:p w14:paraId="098AF48D" w14:textId="25D4799B"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CRPD/C/GC/6, para 19. </w:t>
      </w:r>
    </w:p>
  </w:endnote>
  <w:endnote w:id="23">
    <w:p w14:paraId="5BAC54DE" w14:textId="1BCB6EA6"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CERD/C/GC/R.37, para 9.</w:t>
      </w:r>
    </w:p>
  </w:endnote>
  <w:endnote w:id="24">
    <w:p w14:paraId="32524B36" w14:textId="28A45B9E"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CRPD/C/GC/6, para 19.</w:t>
      </w:r>
    </w:p>
  </w:endnote>
  <w:endnote w:id="25">
    <w:p w14:paraId="021366EC" w14:textId="215BC647"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CRPD/C/GC/6, para 18 (d). </w:t>
      </w:r>
    </w:p>
  </w:endnote>
  <w:endnote w:id="26">
    <w:p w14:paraId="1B20C613" w14:textId="36BF6B90"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w:t>
      </w:r>
      <w:r w:rsidRPr="007D29DD">
        <w:rPr>
          <w:rFonts w:ascii="Roboto" w:hAnsi="Roboto"/>
          <w:lang w:val="es-ES"/>
        </w:rPr>
        <w:t xml:space="preserve">CRPD/C/GC/6, para </w:t>
      </w:r>
      <w:r w:rsidRPr="007D29DD">
        <w:rPr>
          <w:rFonts w:ascii="Roboto" w:hAnsi="Roboto"/>
          <w:lang w:val="es-ES"/>
        </w:rPr>
        <w:t>22</w:t>
      </w:r>
      <w:r w:rsidRPr="007D29DD">
        <w:rPr>
          <w:rFonts w:ascii="Roboto" w:hAnsi="Roboto"/>
          <w:lang w:val="es-ES"/>
        </w:rPr>
        <w:t>.</w:t>
      </w:r>
    </w:p>
  </w:endnote>
  <w:endnote w:id="27">
    <w:p w14:paraId="2B3C3D28" w14:textId="3401BA06"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w:t>
      </w:r>
      <w:proofErr w:type="spellStart"/>
      <w:r w:rsidRPr="007D29DD">
        <w:rPr>
          <w:rFonts w:ascii="Roboto" w:hAnsi="Roboto"/>
          <w:lang w:val="es-ES"/>
        </w:rPr>
        <w:t>See</w:t>
      </w:r>
      <w:proofErr w:type="spellEnd"/>
      <w:r w:rsidRPr="007D29DD">
        <w:rPr>
          <w:rFonts w:ascii="Roboto" w:hAnsi="Roboto"/>
          <w:lang w:val="es-ES"/>
        </w:rPr>
        <w:t xml:space="preserve"> CRPD/C/GC/7, para </w:t>
      </w:r>
      <w:proofErr w:type="gramStart"/>
      <w:r w:rsidRPr="007D29DD">
        <w:rPr>
          <w:rFonts w:ascii="Roboto" w:hAnsi="Roboto"/>
          <w:lang w:val="es-ES"/>
        </w:rPr>
        <w:t>50 ;</w:t>
      </w:r>
      <w:proofErr w:type="gramEnd"/>
      <w:r w:rsidRPr="007D29DD">
        <w:rPr>
          <w:rFonts w:ascii="Roboto" w:hAnsi="Roboto"/>
          <w:lang w:val="es-ES"/>
        </w:rPr>
        <w:t xml:space="preserve"> para 94 (g). </w:t>
      </w:r>
    </w:p>
  </w:endnote>
  <w:endnote w:id="28">
    <w:p w14:paraId="6D80D338" w14:textId="2263E393" w:rsidR="00BF7C4B" w:rsidRPr="007D29DD" w:rsidRDefault="00BF7C4B" w:rsidP="00BF7C4B">
      <w:pPr>
        <w:pStyle w:val="EndnoteText"/>
        <w:jc w:val="both"/>
        <w:rPr>
          <w:rFonts w:ascii="Roboto" w:hAnsi="Roboto"/>
        </w:rPr>
      </w:pPr>
      <w:r w:rsidRPr="007D29DD">
        <w:rPr>
          <w:rStyle w:val="EndnoteReference"/>
          <w:rFonts w:ascii="Roboto" w:hAnsi="Roboto"/>
        </w:rPr>
        <w:endnoteRef/>
      </w:r>
      <w:r w:rsidRPr="007D29DD">
        <w:rPr>
          <w:rFonts w:ascii="Roboto" w:hAnsi="Roboto"/>
        </w:rPr>
        <w:t xml:space="preserve"> See IDA’s Compilation of CRPD Concluding Observations Article 1-4, available at &lt; </w:t>
      </w:r>
      <w:hyperlink r:id="rId2" w:history="1">
        <w:r w:rsidRPr="007D29DD">
          <w:rPr>
            <w:rStyle w:val="Hyperlink"/>
            <w:rFonts w:ascii="Roboto" w:hAnsi="Roboto"/>
            <w:color w:val="0070C0"/>
          </w:rPr>
          <w:t>https://www.internationaldisabilityalliance.org/documents/article1to4crpd3-docx</w:t>
        </w:r>
      </w:hyperlink>
      <w:r w:rsidRPr="007D29DD">
        <w:rPr>
          <w:rFonts w:ascii="Roboto" w:hAnsi="Roboto"/>
        </w:rPr>
        <w:t>&gt;</w:t>
      </w:r>
    </w:p>
  </w:endnote>
  <w:endnote w:id="29">
    <w:p w14:paraId="1423EB8F" w14:textId="1B272DE6"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CRPD/C/MAR/CO/1, para 9 (a)</w:t>
      </w:r>
    </w:p>
  </w:endnote>
  <w:endnote w:id="30">
    <w:p w14:paraId="05B59881" w14:textId="0D78C883"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CRPD/C/DJI/CO/1, para 13 </w:t>
      </w:r>
      <w:proofErr w:type="gramStart"/>
      <w:r w:rsidRPr="007D29DD">
        <w:rPr>
          <w:rFonts w:ascii="Roboto" w:hAnsi="Roboto"/>
          <w:lang w:val="es-ES"/>
        </w:rPr>
        <w:t>( c</w:t>
      </w:r>
      <w:proofErr w:type="gramEnd"/>
      <w:r w:rsidRPr="007D29DD">
        <w:rPr>
          <w:rFonts w:ascii="Roboto" w:hAnsi="Roboto"/>
          <w:lang w:val="es-ES"/>
        </w:rPr>
        <w:t xml:space="preserve">). </w:t>
      </w:r>
    </w:p>
  </w:endnote>
  <w:endnote w:id="31">
    <w:p w14:paraId="23DD878A" w14:textId="01A11C70" w:rsidR="00BF7C4B" w:rsidRPr="007D29DD" w:rsidRDefault="00BF7C4B" w:rsidP="00BF7C4B">
      <w:pPr>
        <w:pStyle w:val="EndnoteText"/>
        <w:jc w:val="both"/>
        <w:rPr>
          <w:rFonts w:ascii="Roboto" w:hAnsi="Roboto"/>
          <w:color w:val="0070C0"/>
          <w:lang w:val="es-ES"/>
        </w:rPr>
      </w:pPr>
      <w:r w:rsidRPr="007D29DD">
        <w:rPr>
          <w:rStyle w:val="EndnoteReference"/>
          <w:rFonts w:ascii="Roboto" w:hAnsi="Roboto"/>
        </w:rPr>
        <w:endnoteRef/>
      </w:r>
      <w:r w:rsidRPr="007D29DD">
        <w:rPr>
          <w:rFonts w:ascii="Roboto" w:hAnsi="Roboto"/>
          <w:lang w:val="es-ES"/>
        </w:rPr>
        <w:t xml:space="preserve"> EDF </w:t>
      </w:r>
      <w:proofErr w:type="spellStart"/>
      <w:r w:rsidRPr="007D29DD">
        <w:rPr>
          <w:rFonts w:ascii="Roboto" w:hAnsi="Roboto"/>
          <w:lang w:val="es-ES"/>
        </w:rPr>
        <w:t>Recommendations</w:t>
      </w:r>
      <w:proofErr w:type="spellEnd"/>
      <w:r w:rsidRPr="007D29DD">
        <w:rPr>
          <w:rFonts w:ascii="Roboto" w:hAnsi="Roboto"/>
          <w:lang w:val="es-ES"/>
        </w:rPr>
        <w:t xml:space="preserve"> </w:t>
      </w:r>
      <w:proofErr w:type="spellStart"/>
      <w:r w:rsidRPr="007D29DD">
        <w:rPr>
          <w:rFonts w:ascii="Roboto" w:hAnsi="Roboto"/>
          <w:lang w:val="es-ES"/>
        </w:rPr>
        <w:t>on</w:t>
      </w:r>
      <w:proofErr w:type="spellEnd"/>
      <w:r w:rsidRPr="007D29DD">
        <w:rPr>
          <w:rFonts w:ascii="Roboto" w:hAnsi="Roboto"/>
          <w:lang w:val="es-ES"/>
        </w:rPr>
        <w:t xml:space="preserve"> EU </w:t>
      </w:r>
      <w:proofErr w:type="spellStart"/>
      <w:r w:rsidRPr="007D29DD">
        <w:rPr>
          <w:rFonts w:ascii="Roboto" w:hAnsi="Roboto"/>
          <w:lang w:val="es-ES"/>
        </w:rPr>
        <w:t>initiatives</w:t>
      </w:r>
      <w:proofErr w:type="spellEnd"/>
      <w:r w:rsidRPr="007D29DD">
        <w:rPr>
          <w:rFonts w:ascii="Roboto" w:hAnsi="Roboto"/>
          <w:lang w:val="es-ES"/>
        </w:rPr>
        <w:t xml:space="preserve"> </w:t>
      </w:r>
      <w:proofErr w:type="spellStart"/>
      <w:r w:rsidRPr="007D29DD">
        <w:rPr>
          <w:rFonts w:ascii="Roboto" w:hAnsi="Roboto"/>
          <w:lang w:val="es-ES"/>
        </w:rPr>
        <w:t>on</w:t>
      </w:r>
      <w:proofErr w:type="spellEnd"/>
      <w:r w:rsidRPr="007D29DD">
        <w:rPr>
          <w:rFonts w:ascii="Roboto" w:hAnsi="Roboto"/>
          <w:lang w:val="es-ES"/>
        </w:rPr>
        <w:t xml:space="preserve"> </w:t>
      </w:r>
      <w:proofErr w:type="spellStart"/>
      <w:r w:rsidRPr="007D29DD">
        <w:rPr>
          <w:rFonts w:ascii="Roboto" w:hAnsi="Roboto"/>
          <w:lang w:val="es-ES"/>
        </w:rPr>
        <w:t>hate</w:t>
      </w:r>
      <w:proofErr w:type="spellEnd"/>
      <w:r w:rsidRPr="007D29DD">
        <w:rPr>
          <w:rFonts w:ascii="Roboto" w:hAnsi="Roboto"/>
          <w:lang w:val="es-ES"/>
        </w:rPr>
        <w:t xml:space="preserve"> </w:t>
      </w:r>
      <w:proofErr w:type="spellStart"/>
      <w:r w:rsidRPr="007D29DD">
        <w:rPr>
          <w:rFonts w:ascii="Roboto" w:hAnsi="Roboto"/>
          <w:lang w:val="es-ES"/>
        </w:rPr>
        <w:t>speech</w:t>
      </w:r>
      <w:proofErr w:type="spellEnd"/>
      <w:r w:rsidRPr="007D29DD">
        <w:rPr>
          <w:rFonts w:ascii="Roboto" w:hAnsi="Roboto"/>
          <w:lang w:val="es-ES"/>
        </w:rPr>
        <w:t xml:space="preserve"> and </w:t>
      </w:r>
      <w:proofErr w:type="spellStart"/>
      <w:r w:rsidRPr="007D29DD">
        <w:rPr>
          <w:rFonts w:ascii="Roboto" w:hAnsi="Roboto"/>
          <w:lang w:val="es-ES"/>
        </w:rPr>
        <w:t>hate</w:t>
      </w:r>
      <w:proofErr w:type="spellEnd"/>
      <w:r w:rsidRPr="007D29DD">
        <w:rPr>
          <w:rFonts w:ascii="Roboto" w:hAnsi="Roboto"/>
          <w:lang w:val="es-ES"/>
        </w:rPr>
        <w:t xml:space="preserve"> </w:t>
      </w:r>
      <w:proofErr w:type="spellStart"/>
      <w:r w:rsidRPr="007D29DD">
        <w:rPr>
          <w:rFonts w:ascii="Roboto" w:hAnsi="Roboto"/>
          <w:lang w:val="es-ES"/>
        </w:rPr>
        <w:t>crime</w:t>
      </w:r>
      <w:proofErr w:type="spellEnd"/>
      <w:r w:rsidRPr="007D29DD">
        <w:rPr>
          <w:rFonts w:ascii="Roboto" w:hAnsi="Roboto"/>
          <w:lang w:val="es-ES"/>
        </w:rPr>
        <w:t xml:space="preserve"> (2021), page 4, </w:t>
      </w:r>
      <w:proofErr w:type="spellStart"/>
      <w:r w:rsidRPr="007D29DD">
        <w:rPr>
          <w:rFonts w:ascii="Roboto" w:hAnsi="Roboto"/>
          <w:lang w:val="es-ES"/>
        </w:rPr>
        <w:t>available</w:t>
      </w:r>
      <w:proofErr w:type="spellEnd"/>
      <w:r w:rsidRPr="007D29DD">
        <w:rPr>
          <w:rFonts w:ascii="Roboto" w:hAnsi="Roboto"/>
          <w:lang w:val="es-ES"/>
        </w:rPr>
        <w:t xml:space="preserve"> at &lt; </w:t>
      </w:r>
      <w:hyperlink r:id="rId3" w:history="1">
        <w:r w:rsidRPr="007D29DD">
          <w:rPr>
            <w:rStyle w:val="Hyperlink"/>
            <w:rFonts w:ascii="Roboto" w:hAnsi="Roboto"/>
            <w:color w:val="0070C0"/>
            <w:lang w:val="es-ES"/>
          </w:rPr>
          <w:t>https://www.edf-feph.org/content/uploads/2021/04/EDF-position-and-recommendation-on-hate-speech-and-hate-crime.pdf</w:t>
        </w:r>
      </w:hyperlink>
    </w:p>
  </w:endnote>
  <w:endnote w:id="32">
    <w:p w14:paraId="345FC250" w14:textId="55710C5E" w:rsidR="00BF7C4B" w:rsidRPr="007D29DD" w:rsidRDefault="00BF7C4B" w:rsidP="00BF7C4B">
      <w:pPr>
        <w:pStyle w:val="EndnoteText"/>
        <w:jc w:val="both"/>
        <w:rPr>
          <w:rFonts w:ascii="Roboto" w:hAnsi="Roboto"/>
          <w:lang w:val="es-ES"/>
        </w:rPr>
      </w:pPr>
      <w:r w:rsidRPr="007D29DD">
        <w:rPr>
          <w:rStyle w:val="EndnoteReference"/>
          <w:rFonts w:ascii="Roboto" w:hAnsi="Roboto"/>
        </w:rPr>
        <w:endnoteRef/>
      </w:r>
      <w:r w:rsidRPr="007D29DD">
        <w:rPr>
          <w:rFonts w:ascii="Roboto" w:hAnsi="Roboto"/>
          <w:lang w:val="es-ES"/>
        </w:rPr>
        <w:t xml:space="preserve"> </w:t>
      </w:r>
      <w:proofErr w:type="spellStart"/>
      <w:r w:rsidRPr="007D29DD">
        <w:rPr>
          <w:rFonts w:ascii="Roboto" w:hAnsi="Roboto"/>
          <w:lang w:val="es-ES"/>
        </w:rPr>
        <w:t>See</w:t>
      </w:r>
      <w:proofErr w:type="spellEnd"/>
      <w:r w:rsidRPr="007D29DD">
        <w:rPr>
          <w:rFonts w:ascii="Roboto" w:hAnsi="Roboto"/>
          <w:lang w:val="es-ES"/>
        </w:rPr>
        <w:t xml:space="preserve"> CRPD/C/FRA/CO/1, para 38; CRPD/C/HUN/CO/2-3, para 37; CRPD/C/IND/CO/1, para 38 (a); CRPD/C/TUR/CO/1, para 39 (c).</w:t>
      </w:r>
    </w:p>
  </w:endnote>
  <w:endnote w:id="33">
    <w:p w14:paraId="012EA25C" w14:textId="584E857E" w:rsidR="00BF7C4B" w:rsidRPr="007D29DD" w:rsidRDefault="00BF7C4B" w:rsidP="00BF7C4B">
      <w:pPr>
        <w:pStyle w:val="EndnoteText"/>
        <w:rPr>
          <w:rFonts w:ascii="Roboto" w:hAnsi="Roboto"/>
          <w:color w:val="0070C0"/>
        </w:rPr>
      </w:pPr>
      <w:r w:rsidRPr="007D29DD">
        <w:rPr>
          <w:rStyle w:val="EndnoteReference"/>
          <w:rFonts w:ascii="Roboto" w:hAnsi="Roboto"/>
        </w:rPr>
        <w:endnoteRef/>
      </w:r>
      <w:r w:rsidRPr="007D29DD">
        <w:rPr>
          <w:rFonts w:ascii="Roboto" w:hAnsi="Roboto"/>
        </w:rPr>
        <w:t xml:space="preserve"> See at Washington Group on Disability Statistics ‘An Introduction to the Washington Group on Disability Statistics Question Sets’ &lt;</w:t>
      </w:r>
      <w:hyperlink r:id="rId4" w:history="1">
        <w:r w:rsidRPr="007D29DD">
          <w:rPr>
            <w:rStyle w:val="Hyperlink"/>
            <w:rFonts w:ascii="Roboto" w:hAnsi="Roboto"/>
            <w:color w:val="0070C0"/>
          </w:rPr>
          <w:t>https://www.washingtongroup-disability.com/fileadmin/uploads/wg/Documents/An_Introduction_to_the_WG_Questions_Sets__2_June_2020_.pdf&gt;</w:t>
        </w:r>
      </w:hyperlink>
    </w:p>
  </w:endnote>
  <w:endnote w:id="34">
    <w:p w14:paraId="081C2107" w14:textId="04E40D77" w:rsidR="00BF7C4B" w:rsidRPr="007D29DD" w:rsidRDefault="00BF7C4B" w:rsidP="00BF7C4B">
      <w:pPr>
        <w:pStyle w:val="EndnoteText"/>
        <w:jc w:val="both"/>
        <w:rPr>
          <w:rFonts w:ascii="Roboto" w:hAnsi="Roboto"/>
        </w:rPr>
      </w:pPr>
      <w:r w:rsidRPr="007D29DD">
        <w:rPr>
          <w:rStyle w:val="EndnoteReference"/>
          <w:rFonts w:ascii="Roboto" w:hAnsi="Roboto"/>
        </w:rPr>
        <w:endnoteRef/>
      </w:r>
      <w:r w:rsidRPr="007D29DD">
        <w:rPr>
          <w:rFonts w:ascii="Roboto" w:hAnsi="Roboto"/>
        </w:rPr>
        <w:t xml:space="preserve"> Article 18: List of illustrative indicators on liberty of movement and </w:t>
      </w:r>
      <w:proofErr w:type="gramStart"/>
      <w:r w:rsidRPr="007D29DD">
        <w:rPr>
          <w:rFonts w:ascii="Roboto" w:hAnsi="Roboto"/>
        </w:rPr>
        <w:t>nationality ,</w:t>
      </w:r>
      <w:proofErr w:type="gramEnd"/>
      <w:r w:rsidRPr="007D29DD">
        <w:rPr>
          <w:rFonts w:ascii="Roboto" w:hAnsi="Roboto"/>
        </w:rPr>
        <w:t xml:space="preserve"> </w:t>
      </w:r>
      <w:hyperlink r:id="rId5" w:history="1">
        <w:r w:rsidRPr="007D29DD">
          <w:rPr>
            <w:rStyle w:val="Hyperlink"/>
            <w:rFonts w:ascii="Roboto" w:hAnsi="Roboto"/>
            <w:color w:val="0070C0"/>
          </w:rPr>
          <w:t>https://www.ohchr.org/sites/default/files/article-18-indicators-en.pdf</w:t>
        </w:r>
      </w:hyperlink>
      <w:r w:rsidRPr="007D29DD">
        <w:rPr>
          <w:rFonts w:ascii="Roboto" w:hAnsi="Roboto"/>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w:panose1 w:val="020B0604020202020204"/>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248641"/>
      <w:docPartObj>
        <w:docPartGallery w:val="Page Numbers (Bottom of Page)"/>
        <w:docPartUnique/>
      </w:docPartObj>
    </w:sdtPr>
    <w:sdtContent>
      <w:p w14:paraId="3CF7EE8D" w14:textId="7C850A6E" w:rsidR="00DA3A78" w:rsidRDefault="00DA3A78" w:rsidP="00873F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243AFE" w14:textId="77777777" w:rsidR="00DA3A78" w:rsidRDefault="00DA3A78" w:rsidP="00DA3A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8403183"/>
      <w:docPartObj>
        <w:docPartGallery w:val="Page Numbers (Bottom of Page)"/>
        <w:docPartUnique/>
      </w:docPartObj>
    </w:sdtPr>
    <w:sdtContent>
      <w:p w14:paraId="6584F6C6" w14:textId="37AE45F0" w:rsidR="00DA3A78" w:rsidRDefault="00DA3A78" w:rsidP="00873F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6C8707" w14:textId="77777777" w:rsidR="00DA3A78" w:rsidRDefault="00DA3A78" w:rsidP="00DA3A7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15465" w14:textId="77777777" w:rsidR="009E60DC" w:rsidRDefault="009E60DC" w:rsidP="003D7C24">
      <w:pPr>
        <w:spacing w:after="0" w:line="240" w:lineRule="auto"/>
      </w:pPr>
      <w:r>
        <w:separator/>
      </w:r>
    </w:p>
  </w:footnote>
  <w:footnote w:type="continuationSeparator" w:id="0">
    <w:p w14:paraId="3B08BF70" w14:textId="77777777" w:rsidR="009E60DC" w:rsidRDefault="009E60DC" w:rsidP="003D7C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02E07"/>
    <w:multiLevelType w:val="hybridMultilevel"/>
    <w:tmpl w:val="4894E35C"/>
    <w:lvl w:ilvl="0" w:tplc="F4923D38">
      <w:start w:val="9"/>
      <w:numFmt w:val="decimal"/>
      <w:lvlText w:val="%1."/>
      <w:lvlJc w:val="left"/>
      <w:pPr>
        <w:ind w:left="720" w:hanging="360"/>
      </w:pPr>
    </w:lvl>
    <w:lvl w:ilvl="1" w:tplc="0E841BE8">
      <w:start w:val="1"/>
      <w:numFmt w:val="lowerLetter"/>
      <w:lvlText w:val="%2."/>
      <w:lvlJc w:val="left"/>
      <w:pPr>
        <w:ind w:left="1440" w:hanging="360"/>
      </w:pPr>
    </w:lvl>
    <w:lvl w:ilvl="2" w:tplc="0A606CE0">
      <w:start w:val="1"/>
      <w:numFmt w:val="lowerRoman"/>
      <w:lvlText w:val="%3."/>
      <w:lvlJc w:val="right"/>
      <w:pPr>
        <w:ind w:left="2160" w:hanging="180"/>
      </w:pPr>
    </w:lvl>
    <w:lvl w:ilvl="3" w:tplc="5E681906">
      <w:start w:val="1"/>
      <w:numFmt w:val="decimal"/>
      <w:lvlText w:val="%4."/>
      <w:lvlJc w:val="left"/>
      <w:pPr>
        <w:ind w:left="2880" w:hanging="360"/>
      </w:pPr>
    </w:lvl>
    <w:lvl w:ilvl="4" w:tplc="743ECA98">
      <w:start w:val="1"/>
      <w:numFmt w:val="lowerLetter"/>
      <w:lvlText w:val="%5."/>
      <w:lvlJc w:val="left"/>
      <w:pPr>
        <w:ind w:left="3600" w:hanging="360"/>
      </w:pPr>
    </w:lvl>
    <w:lvl w:ilvl="5" w:tplc="AC408FEE">
      <w:start w:val="1"/>
      <w:numFmt w:val="lowerRoman"/>
      <w:lvlText w:val="%6."/>
      <w:lvlJc w:val="right"/>
      <w:pPr>
        <w:ind w:left="4320" w:hanging="180"/>
      </w:pPr>
    </w:lvl>
    <w:lvl w:ilvl="6" w:tplc="055E681A">
      <w:start w:val="1"/>
      <w:numFmt w:val="decimal"/>
      <w:lvlText w:val="%7."/>
      <w:lvlJc w:val="left"/>
      <w:pPr>
        <w:ind w:left="5040" w:hanging="360"/>
      </w:pPr>
    </w:lvl>
    <w:lvl w:ilvl="7" w:tplc="2D1AC6C8">
      <w:start w:val="1"/>
      <w:numFmt w:val="lowerLetter"/>
      <w:lvlText w:val="%8."/>
      <w:lvlJc w:val="left"/>
      <w:pPr>
        <w:ind w:left="5760" w:hanging="360"/>
      </w:pPr>
    </w:lvl>
    <w:lvl w:ilvl="8" w:tplc="9806B52E">
      <w:start w:val="1"/>
      <w:numFmt w:val="lowerRoman"/>
      <w:lvlText w:val="%9."/>
      <w:lvlJc w:val="right"/>
      <w:pPr>
        <w:ind w:left="6480" w:hanging="180"/>
      </w:pPr>
    </w:lvl>
  </w:abstractNum>
  <w:abstractNum w:abstractNumId="1" w15:restartNumberingAfterBreak="0">
    <w:nsid w:val="10D293F1"/>
    <w:multiLevelType w:val="hybridMultilevel"/>
    <w:tmpl w:val="2E20FAE4"/>
    <w:lvl w:ilvl="0" w:tplc="8EC237FA">
      <w:start w:val="14"/>
      <w:numFmt w:val="decimal"/>
      <w:lvlText w:val="%1."/>
      <w:lvlJc w:val="left"/>
      <w:pPr>
        <w:ind w:left="720" w:hanging="360"/>
      </w:pPr>
    </w:lvl>
    <w:lvl w:ilvl="1" w:tplc="EB4E94A6">
      <w:start w:val="1"/>
      <w:numFmt w:val="lowerLetter"/>
      <w:lvlText w:val="%2."/>
      <w:lvlJc w:val="left"/>
      <w:pPr>
        <w:ind w:left="1440" w:hanging="360"/>
      </w:pPr>
    </w:lvl>
    <w:lvl w:ilvl="2" w:tplc="3A042272">
      <w:start w:val="1"/>
      <w:numFmt w:val="lowerRoman"/>
      <w:lvlText w:val="%3."/>
      <w:lvlJc w:val="right"/>
      <w:pPr>
        <w:ind w:left="2160" w:hanging="180"/>
      </w:pPr>
    </w:lvl>
    <w:lvl w:ilvl="3" w:tplc="B2BC8518">
      <w:start w:val="1"/>
      <w:numFmt w:val="decimal"/>
      <w:lvlText w:val="%4."/>
      <w:lvlJc w:val="left"/>
      <w:pPr>
        <w:ind w:left="2880" w:hanging="360"/>
      </w:pPr>
    </w:lvl>
    <w:lvl w:ilvl="4" w:tplc="6D945040">
      <w:start w:val="1"/>
      <w:numFmt w:val="lowerLetter"/>
      <w:lvlText w:val="%5."/>
      <w:lvlJc w:val="left"/>
      <w:pPr>
        <w:ind w:left="3600" w:hanging="360"/>
      </w:pPr>
    </w:lvl>
    <w:lvl w:ilvl="5" w:tplc="3602695A">
      <w:start w:val="1"/>
      <w:numFmt w:val="lowerRoman"/>
      <w:lvlText w:val="%6."/>
      <w:lvlJc w:val="right"/>
      <w:pPr>
        <w:ind w:left="4320" w:hanging="180"/>
      </w:pPr>
    </w:lvl>
    <w:lvl w:ilvl="6" w:tplc="422A9C62">
      <w:start w:val="1"/>
      <w:numFmt w:val="decimal"/>
      <w:lvlText w:val="%7."/>
      <w:lvlJc w:val="left"/>
      <w:pPr>
        <w:ind w:left="5040" w:hanging="360"/>
      </w:pPr>
    </w:lvl>
    <w:lvl w:ilvl="7" w:tplc="ED46246C">
      <w:start w:val="1"/>
      <w:numFmt w:val="lowerLetter"/>
      <w:lvlText w:val="%8."/>
      <w:lvlJc w:val="left"/>
      <w:pPr>
        <w:ind w:left="5760" w:hanging="360"/>
      </w:pPr>
    </w:lvl>
    <w:lvl w:ilvl="8" w:tplc="B2748F6E">
      <w:start w:val="1"/>
      <w:numFmt w:val="lowerRoman"/>
      <w:lvlText w:val="%9."/>
      <w:lvlJc w:val="right"/>
      <w:pPr>
        <w:ind w:left="6480" w:hanging="180"/>
      </w:pPr>
    </w:lvl>
  </w:abstractNum>
  <w:abstractNum w:abstractNumId="2" w15:restartNumberingAfterBreak="0">
    <w:nsid w:val="10F702F5"/>
    <w:multiLevelType w:val="hybridMultilevel"/>
    <w:tmpl w:val="C576CC54"/>
    <w:lvl w:ilvl="0" w:tplc="4D807F72">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F4187"/>
    <w:multiLevelType w:val="hybridMultilevel"/>
    <w:tmpl w:val="C082B00C"/>
    <w:lvl w:ilvl="0" w:tplc="5DC81712">
      <w:start w:val="8"/>
      <w:numFmt w:val="decimal"/>
      <w:lvlText w:val="%1."/>
      <w:lvlJc w:val="left"/>
      <w:pPr>
        <w:ind w:left="720" w:hanging="360"/>
      </w:pPr>
    </w:lvl>
    <w:lvl w:ilvl="1" w:tplc="9318987E">
      <w:start w:val="1"/>
      <w:numFmt w:val="lowerLetter"/>
      <w:lvlText w:val="%2."/>
      <w:lvlJc w:val="left"/>
      <w:pPr>
        <w:ind w:left="1440" w:hanging="360"/>
      </w:pPr>
    </w:lvl>
    <w:lvl w:ilvl="2" w:tplc="9498FA8E">
      <w:start w:val="1"/>
      <w:numFmt w:val="lowerRoman"/>
      <w:lvlText w:val="%3."/>
      <w:lvlJc w:val="right"/>
      <w:pPr>
        <w:ind w:left="2160" w:hanging="180"/>
      </w:pPr>
    </w:lvl>
    <w:lvl w:ilvl="3" w:tplc="A3BA8C64">
      <w:start w:val="1"/>
      <w:numFmt w:val="decimal"/>
      <w:lvlText w:val="%4."/>
      <w:lvlJc w:val="left"/>
      <w:pPr>
        <w:ind w:left="2880" w:hanging="360"/>
      </w:pPr>
    </w:lvl>
    <w:lvl w:ilvl="4" w:tplc="5CE4239E">
      <w:start w:val="1"/>
      <w:numFmt w:val="lowerLetter"/>
      <w:lvlText w:val="%5."/>
      <w:lvlJc w:val="left"/>
      <w:pPr>
        <w:ind w:left="3600" w:hanging="360"/>
      </w:pPr>
    </w:lvl>
    <w:lvl w:ilvl="5" w:tplc="C9D0BF3A">
      <w:start w:val="1"/>
      <w:numFmt w:val="lowerRoman"/>
      <w:lvlText w:val="%6."/>
      <w:lvlJc w:val="right"/>
      <w:pPr>
        <w:ind w:left="4320" w:hanging="180"/>
      </w:pPr>
    </w:lvl>
    <w:lvl w:ilvl="6" w:tplc="8CC03660">
      <w:start w:val="1"/>
      <w:numFmt w:val="decimal"/>
      <w:lvlText w:val="%7."/>
      <w:lvlJc w:val="left"/>
      <w:pPr>
        <w:ind w:left="5040" w:hanging="360"/>
      </w:pPr>
    </w:lvl>
    <w:lvl w:ilvl="7" w:tplc="91726C60">
      <w:start w:val="1"/>
      <w:numFmt w:val="lowerLetter"/>
      <w:lvlText w:val="%8."/>
      <w:lvlJc w:val="left"/>
      <w:pPr>
        <w:ind w:left="5760" w:hanging="360"/>
      </w:pPr>
    </w:lvl>
    <w:lvl w:ilvl="8" w:tplc="3CFCD9CA">
      <w:start w:val="1"/>
      <w:numFmt w:val="lowerRoman"/>
      <w:lvlText w:val="%9."/>
      <w:lvlJc w:val="right"/>
      <w:pPr>
        <w:ind w:left="6480" w:hanging="180"/>
      </w:pPr>
    </w:lvl>
  </w:abstractNum>
  <w:abstractNum w:abstractNumId="4" w15:restartNumberingAfterBreak="0">
    <w:nsid w:val="140C8E1F"/>
    <w:multiLevelType w:val="hybridMultilevel"/>
    <w:tmpl w:val="BACCC518"/>
    <w:lvl w:ilvl="0" w:tplc="9F702892">
      <w:start w:val="15"/>
      <w:numFmt w:val="decimal"/>
      <w:lvlText w:val="%1."/>
      <w:lvlJc w:val="left"/>
      <w:pPr>
        <w:ind w:left="720" w:hanging="360"/>
      </w:pPr>
    </w:lvl>
    <w:lvl w:ilvl="1" w:tplc="D0AE5086">
      <w:start w:val="1"/>
      <w:numFmt w:val="lowerLetter"/>
      <w:lvlText w:val="%2."/>
      <w:lvlJc w:val="left"/>
      <w:pPr>
        <w:ind w:left="1440" w:hanging="360"/>
      </w:pPr>
    </w:lvl>
    <w:lvl w:ilvl="2" w:tplc="BC302378">
      <w:start w:val="1"/>
      <w:numFmt w:val="lowerRoman"/>
      <w:lvlText w:val="%3."/>
      <w:lvlJc w:val="right"/>
      <w:pPr>
        <w:ind w:left="2160" w:hanging="180"/>
      </w:pPr>
    </w:lvl>
    <w:lvl w:ilvl="3" w:tplc="3634B4CE">
      <w:start w:val="1"/>
      <w:numFmt w:val="decimal"/>
      <w:lvlText w:val="%4."/>
      <w:lvlJc w:val="left"/>
      <w:pPr>
        <w:ind w:left="2880" w:hanging="360"/>
      </w:pPr>
    </w:lvl>
    <w:lvl w:ilvl="4" w:tplc="BDCA9E14">
      <w:start w:val="1"/>
      <w:numFmt w:val="lowerLetter"/>
      <w:lvlText w:val="%5."/>
      <w:lvlJc w:val="left"/>
      <w:pPr>
        <w:ind w:left="3600" w:hanging="360"/>
      </w:pPr>
    </w:lvl>
    <w:lvl w:ilvl="5" w:tplc="D92E42C2">
      <w:start w:val="1"/>
      <w:numFmt w:val="lowerRoman"/>
      <w:lvlText w:val="%6."/>
      <w:lvlJc w:val="right"/>
      <w:pPr>
        <w:ind w:left="4320" w:hanging="180"/>
      </w:pPr>
    </w:lvl>
    <w:lvl w:ilvl="6" w:tplc="6C8A5BD6">
      <w:start w:val="1"/>
      <w:numFmt w:val="decimal"/>
      <w:lvlText w:val="%7."/>
      <w:lvlJc w:val="left"/>
      <w:pPr>
        <w:ind w:left="5040" w:hanging="360"/>
      </w:pPr>
    </w:lvl>
    <w:lvl w:ilvl="7" w:tplc="7974F41C">
      <w:start w:val="1"/>
      <w:numFmt w:val="lowerLetter"/>
      <w:lvlText w:val="%8."/>
      <w:lvlJc w:val="left"/>
      <w:pPr>
        <w:ind w:left="5760" w:hanging="360"/>
      </w:pPr>
    </w:lvl>
    <w:lvl w:ilvl="8" w:tplc="76DE9E86">
      <w:start w:val="1"/>
      <w:numFmt w:val="lowerRoman"/>
      <w:lvlText w:val="%9."/>
      <w:lvlJc w:val="right"/>
      <w:pPr>
        <w:ind w:left="6480" w:hanging="180"/>
      </w:pPr>
    </w:lvl>
  </w:abstractNum>
  <w:abstractNum w:abstractNumId="5" w15:restartNumberingAfterBreak="0">
    <w:nsid w:val="1D1B49F8"/>
    <w:multiLevelType w:val="hybridMultilevel"/>
    <w:tmpl w:val="98DE12D4"/>
    <w:lvl w:ilvl="0" w:tplc="B00AE776">
      <w:start w:val="1"/>
      <w:numFmt w:val="decimal"/>
      <w:lvlText w:val="%1."/>
      <w:lvlJc w:val="left"/>
      <w:pPr>
        <w:ind w:left="720" w:hanging="360"/>
      </w:pPr>
    </w:lvl>
    <w:lvl w:ilvl="1" w:tplc="4DDA38D8">
      <w:start w:val="1"/>
      <w:numFmt w:val="lowerLetter"/>
      <w:lvlText w:val="%2."/>
      <w:lvlJc w:val="left"/>
      <w:pPr>
        <w:ind w:left="1440" w:hanging="360"/>
      </w:pPr>
    </w:lvl>
    <w:lvl w:ilvl="2" w:tplc="0B2294CA">
      <w:start w:val="1"/>
      <w:numFmt w:val="lowerRoman"/>
      <w:lvlText w:val="%3."/>
      <w:lvlJc w:val="right"/>
      <w:pPr>
        <w:ind w:left="2160" w:hanging="180"/>
      </w:pPr>
    </w:lvl>
    <w:lvl w:ilvl="3" w:tplc="B5925632">
      <w:start w:val="1"/>
      <w:numFmt w:val="decimal"/>
      <w:lvlText w:val="%4."/>
      <w:lvlJc w:val="left"/>
      <w:pPr>
        <w:ind w:left="2880" w:hanging="360"/>
      </w:pPr>
    </w:lvl>
    <w:lvl w:ilvl="4" w:tplc="2A7E9FF4">
      <w:start w:val="1"/>
      <w:numFmt w:val="lowerLetter"/>
      <w:lvlText w:val="%5."/>
      <w:lvlJc w:val="left"/>
      <w:pPr>
        <w:ind w:left="3600" w:hanging="360"/>
      </w:pPr>
    </w:lvl>
    <w:lvl w:ilvl="5" w:tplc="E3BA0C10">
      <w:start w:val="1"/>
      <w:numFmt w:val="lowerRoman"/>
      <w:lvlText w:val="%6."/>
      <w:lvlJc w:val="right"/>
      <w:pPr>
        <w:ind w:left="4320" w:hanging="180"/>
      </w:pPr>
    </w:lvl>
    <w:lvl w:ilvl="6" w:tplc="2690BD8C">
      <w:start w:val="1"/>
      <w:numFmt w:val="decimal"/>
      <w:lvlText w:val="%7."/>
      <w:lvlJc w:val="left"/>
      <w:pPr>
        <w:ind w:left="5040" w:hanging="360"/>
      </w:pPr>
    </w:lvl>
    <w:lvl w:ilvl="7" w:tplc="4240FFD0">
      <w:start w:val="1"/>
      <w:numFmt w:val="lowerLetter"/>
      <w:lvlText w:val="%8."/>
      <w:lvlJc w:val="left"/>
      <w:pPr>
        <w:ind w:left="5760" w:hanging="360"/>
      </w:pPr>
    </w:lvl>
    <w:lvl w:ilvl="8" w:tplc="66F4FBC2">
      <w:start w:val="1"/>
      <w:numFmt w:val="lowerRoman"/>
      <w:lvlText w:val="%9."/>
      <w:lvlJc w:val="right"/>
      <w:pPr>
        <w:ind w:left="6480" w:hanging="180"/>
      </w:pPr>
    </w:lvl>
  </w:abstractNum>
  <w:abstractNum w:abstractNumId="6" w15:restartNumberingAfterBreak="0">
    <w:nsid w:val="234E59B4"/>
    <w:multiLevelType w:val="hybridMultilevel"/>
    <w:tmpl w:val="9C5AAB30"/>
    <w:lvl w:ilvl="0" w:tplc="DA360202">
      <w:start w:val="1"/>
      <w:numFmt w:val="bullet"/>
      <w:lvlText w:val=""/>
      <w:lvlJc w:val="left"/>
      <w:pPr>
        <w:ind w:left="720" w:hanging="360"/>
      </w:pPr>
      <w:rPr>
        <w:rFonts w:ascii="Symbol" w:hAnsi="Symbol" w:hint="default"/>
      </w:rPr>
    </w:lvl>
    <w:lvl w:ilvl="1" w:tplc="6E78539E">
      <w:start w:val="1"/>
      <w:numFmt w:val="bullet"/>
      <w:lvlText w:val="o"/>
      <w:lvlJc w:val="left"/>
      <w:pPr>
        <w:ind w:left="1440" w:hanging="360"/>
      </w:pPr>
      <w:rPr>
        <w:rFonts w:ascii="Courier New" w:hAnsi="Courier New" w:hint="default"/>
      </w:rPr>
    </w:lvl>
    <w:lvl w:ilvl="2" w:tplc="3C68C700">
      <w:start w:val="1"/>
      <w:numFmt w:val="bullet"/>
      <w:lvlText w:val=""/>
      <w:lvlJc w:val="left"/>
      <w:pPr>
        <w:ind w:left="2160" w:hanging="360"/>
      </w:pPr>
      <w:rPr>
        <w:rFonts w:ascii="Wingdings" w:hAnsi="Wingdings" w:hint="default"/>
      </w:rPr>
    </w:lvl>
    <w:lvl w:ilvl="3" w:tplc="F5B0F7E0">
      <w:start w:val="1"/>
      <w:numFmt w:val="bullet"/>
      <w:lvlText w:val=""/>
      <w:lvlJc w:val="left"/>
      <w:pPr>
        <w:ind w:left="2880" w:hanging="360"/>
      </w:pPr>
      <w:rPr>
        <w:rFonts w:ascii="Symbol" w:hAnsi="Symbol" w:hint="default"/>
      </w:rPr>
    </w:lvl>
    <w:lvl w:ilvl="4" w:tplc="0B22668A">
      <w:start w:val="1"/>
      <w:numFmt w:val="bullet"/>
      <w:lvlText w:val="o"/>
      <w:lvlJc w:val="left"/>
      <w:pPr>
        <w:ind w:left="3600" w:hanging="360"/>
      </w:pPr>
      <w:rPr>
        <w:rFonts w:ascii="Courier New" w:hAnsi="Courier New" w:hint="default"/>
      </w:rPr>
    </w:lvl>
    <w:lvl w:ilvl="5" w:tplc="3A40F808">
      <w:start w:val="1"/>
      <w:numFmt w:val="bullet"/>
      <w:lvlText w:val=""/>
      <w:lvlJc w:val="left"/>
      <w:pPr>
        <w:ind w:left="4320" w:hanging="360"/>
      </w:pPr>
      <w:rPr>
        <w:rFonts w:ascii="Wingdings" w:hAnsi="Wingdings" w:hint="default"/>
      </w:rPr>
    </w:lvl>
    <w:lvl w:ilvl="6" w:tplc="173260F8">
      <w:start w:val="1"/>
      <w:numFmt w:val="bullet"/>
      <w:lvlText w:val=""/>
      <w:lvlJc w:val="left"/>
      <w:pPr>
        <w:ind w:left="5040" w:hanging="360"/>
      </w:pPr>
      <w:rPr>
        <w:rFonts w:ascii="Symbol" w:hAnsi="Symbol" w:hint="default"/>
      </w:rPr>
    </w:lvl>
    <w:lvl w:ilvl="7" w:tplc="95CC476E">
      <w:start w:val="1"/>
      <w:numFmt w:val="bullet"/>
      <w:lvlText w:val="o"/>
      <w:lvlJc w:val="left"/>
      <w:pPr>
        <w:ind w:left="5760" w:hanging="360"/>
      </w:pPr>
      <w:rPr>
        <w:rFonts w:ascii="Courier New" w:hAnsi="Courier New" w:hint="default"/>
      </w:rPr>
    </w:lvl>
    <w:lvl w:ilvl="8" w:tplc="9ACC1588">
      <w:start w:val="1"/>
      <w:numFmt w:val="bullet"/>
      <w:lvlText w:val=""/>
      <w:lvlJc w:val="left"/>
      <w:pPr>
        <w:ind w:left="6480" w:hanging="360"/>
      </w:pPr>
      <w:rPr>
        <w:rFonts w:ascii="Wingdings" w:hAnsi="Wingdings" w:hint="default"/>
      </w:rPr>
    </w:lvl>
  </w:abstractNum>
  <w:abstractNum w:abstractNumId="7" w15:restartNumberingAfterBreak="0">
    <w:nsid w:val="23B93849"/>
    <w:multiLevelType w:val="hybridMultilevel"/>
    <w:tmpl w:val="0D5E16CC"/>
    <w:lvl w:ilvl="0" w:tplc="0B0C096E">
      <w:start w:val="6"/>
      <w:numFmt w:val="decimal"/>
      <w:lvlText w:val="%1."/>
      <w:lvlJc w:val="left"/>
      <w:pPr>
        <w:ind w:left="720" w:hanging="360"/>
      </w:pPr>
    </w:lvl>
    <w:lvl w:ilvl="1" w:tplc="18BA048C">
      <w:start w:val="1"/>
      <w:numFmt w:val="lowerLetter"/>
      <w:lvlText w:val="%2."/>
      <w:lvlJc w:val="left"/>
      <w:pPr>
        <w:ind w:left="1440" w:hanging="360"/>
      </w:pPr>
    </w:lvl>
    <w:lvl w:ilvl="2" w:tplc="D0446018">
      <w:start w:val="1"/>
      <w:numFmt w:val="lowerRoman"/>
      <w:lvlText w:val="%3."/>
      <w:lvlJc w:val="right"/>
      <w:pPr>
        <w:ind w:left="2160" w:hanging="180"/>
      </w:pPr>
    </w:lvl>
    <w:lvl w:ilvl="3" w:tplc="12BAA6AE">
      <w:start w:val="1"/>
      <w:numFmt w:val="decimal"/>
      <w:lvlText w:val="%4."/>
      <w:lvlJc w:val="left"/>
      <w:pPr>
        <w:ind w:left="2880" w:hanging="360"/>
      </w:pPr>
    </w:lvl>
    <w:lvl w:ilvl="4" w:tplc="E8047D8C">
      <w:start w:val="1"/>
      <w:numFmt w:val="lowerLetter"/>
      <w:lvlText w:val="%5."/>
      <w:lvlJc w:val="left"/>
      <w:pPr>
        <w:ind w:left="3600" w:hanging="360"/>
      </w:pPr>
    </w:lvl>
    <w:lvl w:ilvl="5" w:tplc="F316282C">
      <w:start w:val="1"/>
      <w:numFmt w:val="lowerRoman"/>
      <w:lvlText w:val="%6."/>
      <w:lvlJc w:val="right"/>
      <w:pPr>
        <w:ind w:left="4320" w:hanging="180"/>
      </w:pPr>
    </w:lvl>
    <w:lvl w:ilvl="6" w:tplc="6E960C30">
      <w:start w:val="1"/>
      <w:numFmt w:val="decimal"/>
      <w:lvlText w:val="%7."/>
      <w:lvlJc w:val="left"/>
      <w:pPr>
        <w:ind w:left="5040" w:hanging="360"/>
      </w:pPr>
    </w:lvl>
    <w:lvl w:ilvl="7" w:tplc="CBAC3EE6">
      <w:start w:val="1"/>
      <w:numFmt w:val="lowerLetter"/>
      <w:lvlText w:val="%8."/>
      <w:lvlJc w:val="left"/>
      <w:pPr>
        <w:ind w:left="5760" w:hanging="360"/>
      </w:pPr>
    </w:lvl>
    <w:lvl w:ilvl="8" w:tplc="8BB4F980">
      <w:start w:val="1"/>
      <w:numFmt w:val="lowerRoman"/>
      <w:lvlText w:val="%9."/>
      <w:lvlJc w:val="right"/>
      <w:pPr>
        <w:ind w:left="6480" w:hanging="180"/>
      </w:pPr>
    </w:lvl>
  </w:abstractNum>
  <w:abstractNum w:abstractNumId="8" w15:restartNumberingAfterBreak="0">
    <w:nsid w:val="25F87D1F"/>
    <w:multiLevelType w:val="hybridMultilevel"/>
    <w:tmpl w:val="28B4E6B4"/>
    <w:lvl w:ilvl="0" w:tplc="36EEAA02">
      <w:start w:val="10"/>
      <w:numFmt w:val="decimal"/>
      <w:lvlText w:val="%1."/>
      <w:lvlJc w:val="left"/>
      <w:pPr>
        <w:ind w:left="720" w:hanging="360"/>
      </w:pPr>
    </w:lvl>
    <w:lvl w:ilvl="1" w:tplc="7F7C1710">
      <w:start w:val="1"/>
      <w:numFmt w:val="lowerLetter"/>
      <w:lvlText w:val="%2."/>
      <w:lvlJc w:val="left"/>
      <w:pPr>
        <w:ind w:left="1440" w:hanging="360"/>
      </w:pPr>
    </w:lvl>
    <w:lvl w:ilvl="2" w:tplc="470C1BEC">
      <w:start w:val="1"/>
      <w:numFmt w:val="lowerRoman"/>
      <w:lvlText w:val="%3."/>
      <w:lvlJc w:val="right"/>
      <w:pPr>
        <w:ind w:left="2160" w:hanging="180"/>
      </w:pPr>
    </w:lvl>
    <w:lvl w:ilvl="3" w:tplc="7152E280">
      <w:start w:val="1"/>
      <w:numFmt w:val="decimal"/>
      <w:lvlText w:val="%4."/>
      <w:lvlJc w:val="left"/>
      <w:pPr>
        <w:ind w:left="2880" w:hanging="360"/>
      </w:pPr>
    </w:lvl>
    <w:lvl w:ilvl="4" w:tplc="E39A3E68">
      <w:start w:val="1"/>
      <w:numFmt w:val="lowerLetter"/>
      <w:lvlText w:val="%5."/>
      <w:lvlJc w:val="left"/>
      <w:pPr>
        <w:ind w:left="3600" w:hanging="360"/>
      </w:pPr>
    </w:lvl>
    <w:lvl w:ilvl="5" w:tplc="7844460E">
      <w:start w:val="1"/>
      <w:numFmt w:val="lowerRoman"/>
      <w:lvlText w:val="%6."/>
      <w:lvlJc w:val="right"/>
      <w:pPr>
        <w:ind w:left="4320" w:hanging="180"/>
      </w:pPr>
    </w:lvl>
    <w:lvl w:ilvl="6" w:tplc="18DE3A48">
      <w:start w:val="1"/>
      <w:numFmt w:val="decimal"/>
      <w:lvlText w:val="%7."/>
      <w:lvlJc w:val="left"/>
      <w:pPr>
        <w:ind w:left="5040" w:hanging="360"/>
      </w:pPr>
    </w:lvl>
    <w:lvl w:ilvl="7" w:tplc="433A8CF0">
      <w:start w:val="1"/>
      <w:numFmt w:val="lowerLetter"/>
      <w:lvlText w:val="%8."/>
      <w:lvlJc w:val="left"/>
      <w:pPr>
        <w:ind w:left="5760" w:hanging="360"/>
      </w:pPr>
    </w:lvl>
    <w:lvl w:ilvl="8" w:tplc="46D6F878">
      <w:start w:val="1"/>
      <w:numFmt w:val="lowerRoman"/>
      <w:lvlText w:val="%9."/>
      <w:lvlJc w:val="right"/>
      <w:pPr>
        <w:ind w:left="6480" w:hanging="180"/>
      </w:pPr>
    </w:lvl>
  </w:abstractNum>
  <w:abstractNum w:abstractNumId="9" w15:restartNumberingAfterBreak="0">
    <w:nsid w:val="2D142607"/>
    <w:multiLevelType w:val="hybridMultilevel"/>
    <w:tmpl w:val="2804A2B8"/>
    <w:lvl w:ilvl="0" w:tplc="E7880A38">
      <w:start w:val="11"/>
      <w:numFmt w:val="decimal"/>
      <w:lvlText w:val="%1."/>
      <w:lvlJc w:val="left"/>
      <w:pPr>
        <w:ind w:left="720" w:hanging="360"/>
      </w:pPr>
    </w:lvl>
    <w:lvl w:ilvl="1" w:tplc="49A6B288">
      <w:start w:val="1"/>
      <w:numFmt w:val="lowerLetter"/>
      <w:lvlText w:val="%2."/>
      <w:lvlJc w:val="left"/>
      <w:pPr>
        <w:ind w:left="1440" w:hanging="360"/>
      </w:pPr>
    </w:lvl>
    <w:lvl w:ilvl="2" w:tplc="875A2E9A">
      <w:start w:val="1"/>
      <w:numFmt w:val="lowerRoman"/>
      <w:lvlText w:val="%3."/>
      <w:lvlJc w:val="right"/>
      <w:pPr>
        <w:ind w:left="2160" w:hanging="180"/>
      </w:pPr>
    </w:lvl>
    <w:lvl w:ilvl="3" w:tplc="5A586966">
      <w:start w:val="1"/>
      <w:numFmt w:val="decimal"/>
      <w:lvlText w:val="%4."/>
      <w:lvlJc w:val="left"/>
      <w:pPr>
        <w:ind w:left="2880" w:hanging="360"/>
      </w:pPr>
    </w:lvl>
    <w:lvl w:ilvl="4" w:tplc="EF4A7B00">
      <w:start w:val="1"/>
      <w:numFmt w:val="lowerLetter"/>
      <w:lvlText w:val="%5."/>
      <w:lvlJc w:val="left"/>
      <w:pPr>
        <w:ind w:left="3600" w:hanging="360"/>
      </w:pPr>
    </w:lvl>
    <w:lvl w:ilvl="5" w:tplc="1862B010">
      <w:start w:val="1"/>
      <w:numFmt w:val="lowerRoman"/>
      <w:lvlText w:val="%6."/>
      <w:lvlJc w:val="right"/>
      <w:pPr>
        <w:ind w:left="4320" w:hanging="180"/>
      </w:pPr>
    </w:lvl>
    <w:lvl w:ilvl="6" w:tplc="ED1271E4">
      <w:start w:val="1"/>
      <w:numFmt w:val="decimal"/>
      <w:lvlText w:val="%7."/>
      <w:lvlJc w:val="left"/>
      <w:pPr>
        <w:ind w:left="5040" w:hanging="360"/>
      </w:pPr>
    </w:lvl>
    <w:lvl w:ilvl="7" w:tplc="AFE685F0">
      <w:start w:val="1"/>
      <w:numFmt w:val="lowerLetter"/>
      <w:lvlText w:val="%8."/>
      <w:lvlJc w:val="left"/>
      <w:pPr>
        <w:ind w:left="5760" w:hanging="360"/>
      </w:pPr>
    </w:lvl>
    <w:lvl w:ilvl="8" w:tplc="B7D01B5E">
      <w:start w:val="1"/>
      <w:numFmt w:val="lowerRoman"/>
      <w:lvlText w:val="%9."/>
      <w:lvlJc w:val="right"/>
      <w:pPr>
        <w:ind w:left="6480" w:hanging="180"/>
      </w:pPr>
    </w:lvl>
  </w:abstractNum>
  <w:abstractNum w:abstractNumId="10" w15:restartNumberingAfterBreak="0">
    <w:nsid w:val="31B1A5AF"/>
    <w:multiLevelType w:val="hybridMultilevel"/>
    <w:tmpl w:val="FDFE8B92"/>
    <w:lvl w:ilvl="0" w:tplc="FE20C870">
      <w:start w:val="16"/>
      <w:numFmt w:val="decimal"/>
      <w:lvlText w:val="%1."/>
      <w:lvlJc w:val="left"/>
      <w:pPr>
        <w:ind w:left="720" w:hanging="360"/>
      </w:pPr>
    </w:lvl>
    <w:lvl w:ilvl="1" w:tplc="2AB83122">
      <w:start w:val="1"/>
      <w:numFmt w:val="lowerLetter"/>
      <w:lvlText w:val="%2."/>
      <w:lvlJc w:val="left"/>
      <w:pPr>
        <w:ind w:left="1440" w:hanging="360"/>
      </w:pPr>
    </w:lvl>
    <w:lvl w:ilvl="2" w:tplc="37E81692">
      <w:start w:val="1"/>
      <w:numFmt w:val="lowerRoman"/>
      <w:lvlText w:val="%3."/>
      <w:lvlJc w:val="right"/>
      <w:pPr>
        <w:ind w:left="2160" w:hanging="180"/>
      </w:pPr>
    </w:lvl>
    <w:lvl w:ilvl="3" w:tplc="65060020">
      <w:start w:val="1"/>
      <w:numFmt w:val="decimal"/>
      <w:lvlText w:val="%4."/>
      <w:lvlJc w:val="left"/>
      <w:pPr>
        <w:ind w:left="2880" w:hanging="360"/>
      </w:pPr>
    </w:lvl>
    <w:lvl w:ilvl="4" w:tplc="0E8A0770">
      <w:start w:val="1"/>
      <w:numFmt w:val="lowerLetter"/>
      <w:lvlText w:val="%5."/>
      <w:lvlJc w:val="left"/>
      <w:pPr>
        <w:ind w:left="3600" w:hanging="360"/>
      </w:pPr>
    </w:lvl>
    <w:lvl w:ilvl="5" w:tplc="AB0A3D26">
      <w:start w:val="1"/>
      <w:numFmt w:val="lowerRoman"/>
      <w:lvlText w:val="%6."/>
      <w:lvlJc w:val="right"/>
      <w:pPr>
        <w:ind w:left="4320" w:hanging="180"/>
      </w:pPr>
    </w:lvl>
    <w:lvl w:ilvl="6" w:tplc="55B2DF1E">
      <w:start w:val="1"/>
      <w:numFmt w:val="decimal"/>
      <w:lvlText w:val="%7."/>
      <w:lvlJc w:val="left"/>
      <w:pPr>
        <w:ind w:left="5040" w:hanging="360"/>
      </w:pPr>
    </w:lvl>
    <w:lvl w:ilvl="7" w:tplc="46989716">
      <w:start w:val="1"/>
      <w:numFmt w:val="lowerLetter"/>
      <w:lvlText w:val="%8."/>
      <w:lvlJc w:val="left"/>
      <w:pPr>
        <w:ind w:left="5760" w:hanging="360"/>
      </w:pPr>
    </w:lvl>
    <w:lvl w:ilvl="8" w:tplc="978E93E8">
      <w:start w:val="1"/>
      <w:numFmt w:val="lowerRoman"/>
      <w:lvlText w:val="%9."/>
      <w:lvlJc w:val="right"/>
      <w:pPr>
        <w:ind w:left="6480" w:hanging="180"/>
      </w:pPr>
    </w:lvl>
  </w:abstractNum>
  <w:abstractNum w:abstractNumId="11" w15:restartNumberingAfterBreak="0">
    <w:nsid w:val="37458826"/>
    <w:multiLevelType w:val="hybridMultilevel"/>
    <w:tmpl w:val="83A60E36"/>
    <w:lvl w:ilvl="0" w:tplc="5F0CC080">
      <w:start w:val="1"/>
      <w:numFmt w:val="decimal"/>
      <w:lvlText w:val="%1."/>
      <w:lvlJc w:val="left"/>
      <w:pPr>
        <w:ind w:left="720" w:hanging="360"/>
      </w:pPr>
    </w:lvl>
    <w:lvl w:ilvl="1" w:tplc="9B4083B2">
      <w:start w:val="1"/>
      <w:numFmt w:val="lowerLetter"/>
      <w:lvlText w:val="%2."/>
      <w:lvlJc w:val="left"/>
      <w:pPr>
        <w:ind w:left="1440" w:hanging="360"/>
      </w:pPr>
    </w:lvl>
    <w:lvl w:ilvl="2" w:tplc="C458E468">
      <w:start w:val="1"/>
      <w:numFmt w:val="lowerRoman"/>
      <w:lvlText w:val="%3."/>
      <w:lvlJc w:val="right"/>
      <w:pPr>
        <w:ind w:left="2160" w:hanging="180"/>
      </w:pPr>
    </w:lvl>
    <w:lvl w:ilvl="3" w:tplc="23643AAC">
      <w:start w:val="1"/>
      <w:numFmt w:val="decimal"/>
      <w:lvlText w:val="%4."/>
      <w:lvlJc w:val="left"/>
      <w:pPr>
        <w:ind w:left="2880" w:hanging="360"/>
      </w:pPr>
    </w:lvl>
    <w:lvl w:ilvl="4" w:tplc="59D84CE2">
      <w:start w:val="1"/>
      <w:numFmt w:val="lowerLetter"/>
      <w:lvlText w:val="%5."/>
      <w:lvlJc w:val="left"/>
      <w:pPr>
        <w:ind w:left="3600" w:hanging="360"/>
      </w:pPr>
    </w:lvl>
    <w:lvl w:ilvl="5" w:tplc="D5DAC1E6">
      <w:start w:val="1"/>
      <w:numFmt w:val="lowerRoman"/>
      <w:lvlText w:val="%6."/>
      <w:lvlJc w:val="right"/>
      <w:pPr>
        <w:ind w:left="4320" w:hanging="180"/>
      </w:pPr>
    </w:lvl>
    <w:lvl w:ilvl="6" w:tplc="4140A4F2">
      <w:start w:val="1"/>
      <w:numFmt w:val="decimal"/>
      <w:lvlText w:val="%7."/>
      <w:lvlJc w:val="left"/>
      <w:pPr>
        <w:ind w:left="5040" w:hanging="360"/>
      </w:pPr>
    </w:lvl>
    <w:lvl w:ilvl="7" w:tplc="42A07DCE">
      <w:start w:val="1"/>
      <w:numFmt w:val="lowerLetter"/>
      <w:lvlText w:val="%8."/>
      <w:lvlJc w:val="left"/>
      <w:pPr>
        <w:ind w:left="5760" w:hanging="360"/>
      </w:pPr>
    </w:lvl>
    <w:lvl w:ilvl="8" w:tplc="AE489280">
      <w:start w:val="1"/>
      <w:numFmt w:val="lowerRoman"/>
      <w:lvlText w:val="%9."/>
      <w:lvlJc w:val="right"/>
      <w:pPr>
        <w:ind w:left="6480" w:hanging="180"/>
      </w:pPr>
    </w:lvl>
  </w:abstractNum>
  <w:abstractNum w:abstractNumId="12" w15:restartNumberingAfterBreak="0">
    <w:nsid w:val="3E1ED8AE"/>
    <w:multiLevelType w:val="hybridMultilevel"/>
    <w:tmpl w:val="A2D8D96C"/>
    <w:lvl w:ilvl="0" w:tplc="C42ED126">
      <w:start w:val="3"/>
      <w:numFmt w:val="decimal"/>
      <w:lvlText w:val="%1."/>
      <w:lvlJc w:val="left"/>
      <w:pPr>
        <w:ind w:left="720" w:hanging="360"/>
      </w:pPr>
    </w:lvl>
    <w:lvl w:ilvl="1" w:tplc="1F4E48D6">
      <w:start w:val="1"/>
      <w:numFmt w:val="lowerLetter"/>
      <w:lvlText w:val="%2."/>
      <w:lvlJc w:val="left"/>
      <w:pPr>
        <w:ind w:left="1440" w:hanging="360"/>
      </w:pPr>
    </w:lvl>
    <w:lvl w:ilvl="2" w:tplc="C662180C">
      <w:start w:val="1"/>
      <w:numFmt w:val="lowerRoman"/>
      <w:lvlText w:val="%3."/>
      <w:lvlJc w:val="right"/>
      <w:pPr>
        <w:ind w:left="2160" w:hanging="180"/>
      </w:pPr>
    </w:lvl>
    <w:lvl w:ilvl="3" w:tplc="FBAE0934">
      <w:start w:val="1"/>
      <w:numFmt w:val="decimal"/>
      <w:lvlText w:val="%4."/>
      <w:lvlJc w:val="left"/>
      <w:pPr>
        <w:ind w:left="2880" w:hanging="360"/>
      </w:pPr>
    </w:lvl>
    <w:lvl w:ilvl="4" w:tplc="4F2A6234">
      <w:start w:val="1"/>
      <w:numFmt w:val="lowerLetter"/>
      <w:lvlText w:val="%5."/>
      <w:lvlJc w:val="left"/>
      <w:pPr>
        <w:ind w:left="3600" w:hanging="360"/>
      </w:pPr>
    </w:lvl>
    <w:lvl w:ilvl="5" w:tplc="FBE0899A">
      <w:start w:val="1"/>
      <w:numFmt w:val="lowerRoman"/>
      <w:lvlText w:val="%6."/>
      <w:lvlJc w:val="right"/>
      <w:pPr>
        <w:ind w:left="4320" w:hanging="180"/>
      </w:pPr>
    </w:lvl>
    <w:lvl w:ilvl="6" w:tplc="5AA04952">
      <w:start w:val="1"/>
      <w:numFmt w:val="decimal"/>
      <w:lvlText w:val="%7."/>
      <w:lvlJc w:val="left"/>
      <w:pPr>
        <w:ind w:left="5040" w:hanging="360"/>
      </w:pPr>
    </w:lvl>
    <w:lvl w:ilvl="7" w:tplc="2C66AA52">
      <w:start w:val="1"/>
      <w:numFmt w:val="lowerLetter"/>
      <w:lvlText w:val="%8."/>
      <w:lvlJc w:val="left"/>
      <w:pPr>
        <w:ind w:left="5760" w:hanging="360"/>
      </w:pPr>
    </w:lvl>
    <w:lvl w:ilvl="8" w:tplc="B0A07972">
      <w:start w:val="1"/>
      <w:numFmt w:val="lowerRoman"/>
      <w:lvlText w:val="%9."/>
      <w:lvlJc w:val="right"/>
      <w:pPr>
        <w:ind w:left="6480" w:hanging="180"/>
      </w:pPr>
    </w:lvl>
  </w:abstractNum>
  <w:abstractNum w:abstractNumId="13" w15:restartNumberingAfterBreak="0">
    <w:nsid w:val="46FCCF1E"/>
    <w:multiLevelType w:val="hybridMultilevel"/>
    <w:tmpl w:val="558A122A"/>
    <w:lvl w:ilvl="0" w:tplc="25FECB88">
      <w:start w:val="13"/>
      <w:numFmt w:val="decimal"/>
      <w:lvlText w:val="%1."/>
      <w:lvlJc w:val="left"/>
      <w:pPr>
        <w:ind w:left="720" w:hanging="360"/>
      </w:pPr>
    </w:lvl>
    <w:lvl w:ilvl="1" w:tplc="C8EA3008">
      <w:start w:val="1"/>
      <w:numFmt w:val="lowerLetter"/>
      <w:lvlText w:val="%2."/>
      <w:lvlJc w:val="left"/>
      <w:pPr>
        <w:ind w:left="1440" w:hanging="360"/>
      </w:pPr>
    </w:lvl>
    <w:lvl w:ilvl="2" w:tplc="0CF0D9BA">
      <w:start w:val="1"/>
      <w:numFmt w:val="lowerRoman"/>
      <w:lvlText w:val="%3."/>
      <w:lvlJc w:val="right"/>
      <w:pPr>
        <w:ind w:left="2160" w:hanging="180"/>
      </w:pPr>
    </w:lvl>
    <w:lvl w:ilvl="3" w:tplc="2CD675D6">
      <w:start w:val="1"/>
      <w:numFmt w:val="decimal"/>
      <w:lvlText w:val="%4."/>
      <w:lvlJc w:val="left"/>
      <w:pPr>
        <w:ind w:left="2880" w:hanging="360"/>
      </w:pPr>
    </w:lvl>
    <w:lvl w:ilvl="4" w:tplc="F1D28BB6">
      <w:start w:val="1"/>
      <w:numFmt w:val="lowerLetter"/>
      <w:lvlText w:val="%5."/>
      <w:lvlJc w:val="left"/>
      <w:pPr>
        <w:ind w:left="3600" w:hanging="360"/>
      </w:pPr>
    </w:lvl>
    <w:lvl w:ilvl="5" w:tplc="28244176">
      <w:start w:val="1"/>
      <w:numFmt w:val="lowerRoman"/>
      <w:lvlText w:val="%6."/>
      <w:lvlJc w:val="right"/>
      <w:pPr>
        <w:ind w:left="4320" w:hanging="180"/>
      </w:pPr>
    </w:lvl>
    <w:lvl w:ilvl="6" w:tplc="B852BC2C">
      <w:start w:val="1"/>
      <w:numFmt w:val="decimal"/>
      <w:lvlText w:val="%7."/>
      <w:lvlJc w:val="left"/>
      <w:pPr>
        <w:ind w:left="5040" w:hanging="360"/>
      </w:pPr>
    </w:lvl>
    <w:lvl w:ilvl="7" w:tplc="956819FA">
      <w:start w:val="1"/>
      <w:numFmt w:val="lowerLetter"/>
      <w:lvlText w:val="%8."/>
      <w:lvlJc w:val="left"/>
      <w:pPr>
        <w:ind w:left="5760" w:hanging="360"/>
      </w:pPr>
    </w:lvl>
    <w:lvl w:ilvl="8" w:tplc="E938BEB2">
      <w:start w:val="1"/>
      <w:numFmt w:val="lowerRoman"/>
      <w:lvlText w:val="%9."/>
      <w:lvlJc w:val="right"/>
      <w:pPr>
        <w:ind w:left="6480" w:hanging="180"/>
      </w:pPr>
    </w:lvl>
  </w:abstractNum>
  <w:abstractNum w:abstractNumId="14" w15:restartNumberingAfterBreak="0">
    <w:nsid w:val="48374EAA"/>
    <w:multiLevelType w:val="hybridMultilevel"/>
    <w:tmpl w:val="C6C061C2"/>
    <w:lvl w:ilvl="0" w:tplc="BAA6F2A6">
      <w:start w:val="2"/>
      <w:numFmt w:val="decimal"/>
      <w:lvlText w:val="%1."/>
      <w:lvlJc w:val="left"/>
      <w:pPr>
        <w:ind w:left="720" w:hanging="360"/>
      </w:pPr>
    </w:lvl>
    <w:lvl w:ilvl="1" w:tplc="73FAADCC">
      <w:start w:val="1"/>
      <w:numFmt w:val="lowerLetter"/>
      <w:lvlText w:val="%2."/>
      <w:lvlJc w:val="left"/>
      <w:pPr>
        <w:ind w:left="1440" w:hanging="360"/>
      </w:pPr>
    </w:lvl>
    <w:lvl w:ilvl="2" w:tplc="20BEA142">
      <w:start w:val="1"/>
      <w:numFmt w:val="lowerRoman"/>
      <w:lvlText w:val="%3."/>
      <w:lvlJc w:val="right"/>
      <w:pPr>
        <w:ind w:left="2160" w:hanging="180"/>
      </w:pPr>
    </w:lvl>
    <w:lvl w:ilvl="3" w:tplc="D00CEDF0">
      <w:start w:val="1"/>
      <w:numFmt w:val="decimal"/>
      <w:lvlText w:val="%4."/>
      <w:lvlJc w:val="left"/>
      <w:pPr>
        <w:ind w:left="2880" w:hanging="360"/>
      </w:pPr>
    </w:lvl>
    <w:lvl w:ilvl="4" w:tplc="B7388054">
      <w:start w:val="1"/>
      <w:numFmt w:val="lowerLetter"/>
      <w:lvlText w:val="%5."/>
      <w:lvlJc w:val="left"/>
      <w:pPr>
        <w:ind w:left="3600" w:hanging="360"/>
      </w:pPr>
    </w:lvl>
    <w:lvl w:ilvl="5" w:tplc="787A5296">
      <w:start w:val="1"/>
      <w:numFmt w:val="lowerRoman"/>
      <w:lvlText w:val="%6."/>
      <w:lvlJc w:val="right"/>
      <w:pPr>
        <w:ind w:left="4320" w:hanging="180"/>
      </w:pPr>
    </w:lvl>
    <w:lvl w:ilvl="6" w:tplc="AC34BEBA">
      <w:start w:val="1"/>
      <w:numFmt w:val="decimal"/>
      <w:lvlText w:val="%7."/>
      <w:lvlJc w:val="left"/>
      <w:pPr>
        <w:ind w:left="5040" w:hanging="360"/>
      </w:pPr>
    </w:lvl>
    <w:lvl w:ilvl="7" w:tplc="63B2FDAA">
      <w:start w:val="1"/>
      <w:numFmt w:val="lowerLetter"/>
      <w:lvlText w:val="%8."/>
      <w:lvlJc w:val="left"/>
      <w:pPr>
        <w:ind w:left="5760" w:hanging="360"/>
      </w:pPr>
    </w:lvl>
    <w:lvl w:ilvl="8" w:tplc="0A5A96DE">
      <w:start w:val="1"/>
      <w:numFmt w:val="lowerRoman"/>
      <w:lvlText w:val="%9."/>
      <w:lvlJc w:val="right"/>
      <w:pPr>
        <w:ind w:left="6480" w:hanging="180"/>
      </w:pPr>
    </w:lvl>
  </w:abstractNum>
  <w:abstractNum w:abstractNumId="15" w15:restartNumberingAfterBreak="0">
    <w:nsid w:val="4F790DC3"/>
    <w:multiLevelType w:val="hybridMultilevel"/>
    <w:tmpl w:val="6082E6E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5027F0C1"/>
    <w:multiLevelType w:val="hybridMultilevel"/>
    <w:tmpl w:val="7A28DC84"/>
    <w:lvl w:ilvl="0" w:tplc="7612F466">
      <w:start w:val="5"/>
      <w:numFmt w:val="decimal"/>
      <w:lvlText w:val="%1."/>
      <w:lvlJc w:val="left"/>
      <w:pPr>
        <w:ind w:left="720" w:hanging="360"/>
      </w:pPr>
    </w:lvl>
    <w:lvl w:ilvl="1" w:tplc="B6849A1E">
      <w:start w:val="1"/>
      <w:numFmt w:val="lowerLetter"/>
      <w:lvlText w:val="%2."/>
      <w:lvlJc w:val="left"/>
      <w:pPr>
        <w:ind w:left="1440" w:hanging="360"/>
      </w:pPr>
    </w:lvl>
    <w:lvl w:ilvl="2" w:tplc="0170A234">
      <w:start w:val="1"/>
      <w:numFmt w:val="lowerRoman"/>
      <w:lvlText w:val="%3."/>
      <w:lvlJc w:val="right"/>
      <w:pPr>
        <w:ind w:left="2160" w:hanging="180"/>
      </w:pPr>
    </w:lvl>
    <w:lvl w:ilvl="3" w:tplc="50867392">
      <w:start w:val="1"/>
      <w:numFmt w:val="decimal"/>
      <w:lvlText w:val="%4."/>
      <w:lvlJc w:val="left"/>
      <w:pPr>
        <w:ind w:left="2880" w:hanging="360"/>
      </w:pPr>
    </w:lvl>
    <w:lvl w:ilvl="4" w:tplc="0C487864">
      <w:start w:val="1"/>
      <w:numFmt w:val="lowerLetter"/>
      <w:lvlText w:val="%5."/>
      <w:lvlJc w:val="left"/>
      <w:pPr>
        <w:ind w:left="3600" w:hanging="360"/>
      </w:pPr>
    </w:lvl>
    <w:lvl w:ilvl="5" w:tplc="04184CE8">
      <w:start w:val="1"/>
      <w:numFmt w:val="lowerRoman"/>
      <w:lvlText w:val="%6."/>
      <w:lvlJc w:val="right"/>
      <w:pPr>
        <w:ind w:left="4320" w:hanging="180"/>
      </w:pPr>
    </w:lvl>
    <w:lvl w:ilvl="6" w:tplc="E80A6870">
      <w:start w:val="1"/>
      <w:numFmt w:val="decimal"/>
      <w:lvlText w:val="%7."/>
      <w:lvlJc w:val="left"/>
      <w:pPr>
        <w:ind w:left="5040" w:hanging="360"/>
      </w:pPr>
    </w:lvl>
    <w:lvl w:ilvl="7" w:tplc="22CC2DAA">
      <w:start w:val="1"/>
      <w:numFmt w:val="lowerLetter"/>
      <w:lvlText w:val="%8."/>
      <w:lvlJc w:val="left"/>
      <w:pPr>
        <w:ind w:left="5760" w:hanging="360"/>
      </w:pPr>
    </w:lvl>
    <w:lvl w:ilvl="8" w:tplc="5A0CF5D8">
      <w:start w:val="1"/>
      <w:numFmt w:val="lowerRoman"/>
      <w:lvlText w:val="%9."/>
      <w:lvlJc w:val="right"/>
      <w:pPr>
        <w:ind w:left="6480" w:hanging="180"/>
      </w:pPr>
    </w:lvl>
  </w:abstractNum>
  <w:abstractNum w:abstractNumId="17" w15:restartNumberingAfterBreak="0">
    <w:nsid w:val="58AB5F32"/>
    <w:multiLevelType w:val="hybridMultilevel"/>
    <w:tmpl w:val="8D1AA0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2887362"/>
    <w:multiLevelType w:val="hybridMultilevel"/>
    <w:tmpl w:val="A934B47E"/>
    <w:lvl w:ilvl="0" w:tplc="D272F498">
      <w:start w:val="12"/>
      <w:numFmt w:val="decimal"/>
      <w:lvlText w:val="%1."/>
      <w:lvlJc w:val="left"/>
      <w:pPr>
        <w:ind w:left="720" w:hanging="360"/>
      </w:pPr>
    </w:lvl>
    <w:lvl w:ilvl="1" w:tplc="FEE65510">
      <w:start w:val="1"/>
      <w:numFmt w:val="lowerLetter"/>
      <w:lvlText w:val="%2."/>
      <w:lvlJc w:val="left"/>
      <w:pPr>
        <w:ind w:left="1440" w:hanging="360"/>
      </w:pPr>
    </w:lvl>
    <w:lvl w:ilvl="2" w:tplc="B29CAFAA">
      <w:start w:val="1"/>
      <w:numFmt w:val="lowerRoman"/>
      <w:lvlText w:val="%3."/>
      <w:lvlJc w:val="right"/>
      <w:pPr>
        <w:ind w:left="2160" w:hanging="180"/>
      </w:pPr>
    </w:lvl>
    <w:lvl w:ilvl="3" w:tplc="BDCA6CFA">
      <w:start w:val="1"/>
      <w:numFmt w:val="decimal"/>
      <w:lvlText w:val="%4."/>
      <w:lvlJc w:val="left"/>
      <w:pPr>
        <w:ind w:left="2880" w:hanging="360"/>
      </w:pPr>
    </w:lvl>
    <w:lvl w:ilvl="4" w:tplc="0B1EFD7E">
      <w:start w:val="1"/>
      <w:numFmt w:val="lowerLetter"/>
      <w:lvlText w:val="%5."/>
      <w:lvlJc w:val="left"/>
      <w:pPr>
        <w:ind w:left="3600" w:hanging="360"/>
      </w:pPr>
    </w:lvl>
    <w:lvl w:ilvl="5" w:tplc="4FBE9DA2">
      <w:start w:val="1"/>
      <w:numFmt w:val="lowerRoman"/>
      <w:lvlText w:val="%6."/>
      <w:lvlJc w:val="right"/>
      <w:pPr>
        <w:ind w:left="4320" w:hanging="180"/>
      </w:pPr>
    </w:lvl>
    <w:lvl w:ilvl="6" w:tplc="C74AF6DA">
      <w:start w:val="1"/>
      <w:numFmt w:val="decimal"/>
      <w:lvlText w:val="%7."/>
      <w:lvlJc w:val="left"/>
      <w:pPr>
        <w:ind w:left="5040" w:hanging="360"/>
      </w:pPr>
    </w:lvl>
    <w:lvl w:ilvl="7" w:tplc="BA6AEA70">
      <w:start w:val="1"/>
      <w:numFmt w:val="lowerLetter"/>
      <w:lvlText w:val="%8."/>
      <w:lvlJc w:val="left"/>
      <w:pPr>
        <w:ind w:left="5760" w:hanging="360"/>
      </w:pPr>
    </w:lvl>
    <w:lvl w:ilvl="8" w:tplc="7AE64B28">
      <w:start w:val="1"/>
      <w:numFmt w:val="lowerRoman"/>
      <w:lvlText w:val="%9."/>
      <w:lvlJc w:val="right"/>
      <w:pPr>
        <w:ind w:left="6480" w:hanging="180"/>
      </w:pPr>
    </w:lvl>
  </w:abstractNum>
  <w:abstractNum w:abstractNumId="19" w15:restartNumberingAfterBreak="0">
    <w:nsid w:val="647A8BF2"/>
    <w:multiLevelType w:val="hybridMultilevel"/>
    <w:tmpl w:val="4DDA33A2"/>
    <w:lvl w:ilvl="0" w:tplc="35428138">
      <w:start w:val="7"/>
      <w:numFmt w:val="decimal"/>
      <w:lvlText w:val="%1."/>
      <w:lvlJc w:val="left"/>
      <w:pPr>
        <w:ind w:left="720" w:hanging="360"/>
      </w:pPr>
    </w:lvl>
    <w:lvl w:ilvl="1" w:tplc="E0CC9632">
      <w:start w:val="1"/>
      <w:numFmt w:val="lowerLetter"/>
      <w:lvlText w:val="%2."/>
      <w:lvlJc w:val="left"/>
      <w:pPr>
        <w:ind w:left="1440" w:hanging="360"/>
      </w:pPr>
    </w:lvl>
    <w:lvl w:ilvl="2" w:tplc="8F9CE5EC">
      <w:start w:val="1"/>
      <w:numFmt w:val="lowerRoman"/>
      <w:lvlText w:val="%3."/>
      <w:lvlJc w:val="right"/>
      <w:pPr>
        <w:ind w:left="2160" w:hanging="180"/>
      </w:pPr>
    </w:lvl>
    <w:lvl w:ilvl="3" w:tplc="190EAF40">
      <w:start w:val="1"/>
      <w:numFmt w:val="decimal"/>
      <w:lvlText w:val="%4."/>
      <w:lvlJc w:val="left"/>
      <w:pPr>
        <w:ind w:left="2880" w:hanging="360"/>
      </w:pPr>
    </w:lvl>
    <w:lvl w:ilvl="4" w:tplc="BC06C362">
      <w:start w:val="1"/>
      <w:numFmt w:val="lowerLetter"/>
      <w:lvlText w:val="%5."/>
      <w:lvlJc w:val="left"/>
      <w:pPr>
        <w:ind w:left="3600" w:hanging="360"/>
      </w:pPr>
    </w:lvl>
    <w:lvl w:ilvl="5" w:tplc="24FE6898">
      <w:start w:val="1"/>
      <w:numFmt w:val="lowerRoman"/>
      <w:lvlText w:val="%6."/>
      <w:lvlJc w:val="right"/>
      <w:pPr>
        <w:ind w:left="4320" w:hanging="180"/>
      </w:pPr>
    </w:lvl>
    <w:lvl w:ilvl="6" w:tplc="2D626206">
      <w:start w:val="1"/>
      <w:numFmt w:val="decimal"/>
      <w:lvlText w:val="%7."/>
      <w:lvlJc w:val="left"/>
      <w:pPr>
        <w:ind w:left="5040" w:hanging="360"/>
      </w:pPr>
    </w:lvl>
    <w:lvl w:ilvl="7" w:tplc="EAE03916">
      <w:start w:val="1"/>
      <w:numFmt w:val="lowerLetter"/>
      <w:lvlText w:val="%8."/>
      <w:lvlJc w:val="left"/>
      <w:pPr>
        <w:ind w:left="5760" w:hanging="360"/>
      </w:pPr>
    </w:lvl>
    <w:lvl w:ilvl="8" w:tplc="63541416">
      <w:start w:val="1"/>
      <w:numFmt w:val="lowerRoman"/>
      <w:lvlText w:val="%9."/>
      <w:lvlJc w:val="right"/>
      <w:pPr>
        <w:ind w:left="6480" w:hanging="180"/>
      </w:pPr>
    </w:lvl>
  </w:abstractNum>
  <w:abstractNum w:abstractNumId="20" w15:restartNumberingAfterBreak="0">
    <w:nsid w:val="66D74C9B"/>
    <w:multiLevelType w:val="hybridMultilevel"/>
    <w:tmpl w:val="D410FF6E"/>
    <w:lvl w:ilvl="0" w:tplc="D89A22B6">
      <w:start w:val="17"/>
      <w:numFmt w:val="decimal"/>
      <w:lvlText w:val="%1."/>
      <w:lvlJc w:val="left"/>
      <w:pPr>
        <w:ind w:left="720" w:hanging="360"/>
      </w:pPr>
    </w:lvl>
    <w:lvl w:ilvl="1" w:tplc="04AC7692">
      <w:start w:val="1"/>
      <w:numFmt w:val="lowerLetter"/>
      <w:lvlText w:val="%2."/>
      <w:lvlJc w:val="left"/>
      <w:pPr>
        <w:ind w:left="1440" w:hanging="360"/>
      </w:pPr>
    </w:lvl>
    <w:lvl w:ilvl="2" w:tplc="6524B432">
      <w:start w:val="1"/>
      <w:numFmt w:val="lowerRoman"/>
      <w:lvlText w:val="%3."/>
      <w:lvlJc w:val="right"/>
      <w:pPr>
        <w:ind w:left="2160" w:hanging="180"/>
      </w:pPr>
    </w:lvl>
    <w:lvl w:ilvl="3" w:tplc="64848B46">
      <w:start w:val="1"/>
      <w:numFmt w:val="decimal"/>
      <w:lvlText w:val="%4."/>
      <w:lvlJc w:val="left"/>
      <w:pPr>
        <w:ind w:left="2880" w:hanging="360"/>
      </w:pPr>
    </w:lvl>
    <w:lvl w:ilvl="4" w:tplc="7E32D7EE">
      <w:start w:val="1"/>
      <w:numFmt w:val="lowerLetter"/>
      <w:lvlText w:val="%5."/>
      <w:lvlJc w:val="left"/>
      <w:pPr>
        <w:ind w:left="3600" w:hanging="360"/>
      </w:pPr>
    </w:lvl>
    <w:lvl w:ilvl="5" w:tplc="645ECA3C">
      <w:start w:val="1"/>
      <w:numFmt w:val="lowerRoman"/>
      <w:lvlText w:val="%6."/>
      <w:lvlJc w:val="right"/>
      <w:pPr>
        <w:ind w:left="4320" w:hanging="180"/>
      </w:pPr>
    </w:lvl>
    <w:lvl w:ilvl="6" w:tplc="FADC8D64">
      <w:start w:val="1"/>
      <w:numFmt w:val="decimal"/>
      <w:lvlText w:val="%7."/>
      <w:lvlJc w:val="left"/>
      <w:pPr>
        <w:ind w:left="5040" w:hanging="360"/>
      </w:pPr>
    </w:lvl>
    <w:lvl w:ilvl="7" w:tplc="B9B04ECA">
      <w:start w:val="1"/>
      <w:numFmt w:val="lowerLetter"/>
      <w:lvlText w:val="%8."/>
      <w:lvlJc w:val="left"/>
      <w:pPr>
        <w:ind w:left="5760" w:hanging="360"/>
      </w:pPr>
    </w:lvl>
    <w:lvl w:ilvl="8" w:tplc="FFD0655E">
      <w:start w:val="1"/>
      <w:numFmt w:val="lowerRoman"/>
      <w:lvlText w:val="%9."/>
      <w:lvlJc w:val="right"/>
      <w:pPr>
        <w:ind w:left="6480" w:hanging="180"/>
      </w:pPr>
    </w:lvl>
  </w:abstractNum>
  <w:abstractNum w:abstractNumId="21" w15:restartNumberingAfterBreak="0">
    <w:nsid w:val="7795B03C"/>
    <w:multiLevelType w:val="hybridMultilevel"/>
    <w:tmpl w:val="6FA6BC3C"/>
    <w:lvl w:ilvl="0" w:tplc="F55A4134">
      <w:start w:val="4"/>
      <w:numFmt w:val="decimal"/>
      <w:lvlText w:val="%1."/>
      <w:lvlJc w:val="left"/>
      <w:pPr>
        <w:ind w:left="720" w:hanging="360"/>
      </w:pPr>
    </w:lvl>
    <w:lvl w:ilvl="1" w:tplc="DCC2992A">
      <w:start w:val="1"/>
      <w:numFmt w:val="lowerLetter"/>
      <w:lvlText w:val="%2."/>
      <w:lvlJc w:val="left"/>
      <w:pPr>
        <w:ind w:left="1440" w:hanging="360"/>
      </w:pPr>
    </w:lvl>
    <w:lvl w:ilvl="2" w:tplc="72B4BDA6">
      <w:start w:val="1"/>
      <w:numFmt w:val="lowerRoman"/>
      <w:lvlText w:val="%3."/>
      <w:lvlJc w:val="right"/>
      <w:pPr>
        <w:ind w:left="2160" w:hanging="180"/>
      </w:pPr>
    </w:lvl>
    <w:lvl w:ilvl="3" w:tplc="35265D4A">
      <w:start w:val="1"/>
      <w:numFmt w:val="decimal"/>
      <w:lvlText w:val="%4."/>
      <w:lvlJc w:val="left"/>
      <w:pPr>
        <w:ind w:left="2880" w:hanging="360"/>
      </w:pPr>
    </w:lvl>
    <w:lvl w:ilvl="4" w:tplc="4C607F0E">
      <w:start w:val="1"/>
      <w:numFmt w:val="lowerLetter"/>
      <w:lvlText w:val="%5."/>
      <w:lvlJc w:val="left"/>
      <w:pPr>
        <w:ind w:left="3600" w:hanging="360"/>
      </w:pPr>
    </w:lvl>
    <w:lvl w:ilvl="5" w:tplc="C40A3722">
      <w:start w:val="1"/>
      <w:numFmt w:val="lowerRoman"/>
      <w:lvlText w:val="%6."/>
      <w:lvlJc w:val="right"/>
      <w:pPr>
        <w:ind w:left="4320" w:hanging="180"/>
      </w:pPr>
    </w:lvl>
    <w:lvl w:ilvl="6" w:tplc="8C1A21F8">
      <w:start w:val="1"/>
      <w:numFmt w:val="decimal"/>
      <w:lvlText w:val="%7."/>
      <w:lvlJc w:val="left"/>
      <w:pPr>
        <w:ind w:left="5040" w:hanging="360"/>
      </w:pPr>
    </w:lvl>
    <w:lvl w:ilvl="7" w:tplc="6BF62C16">
      <w:start w:val="1"/>
      <w:numFmt w:val="lowerLetter"/>
      <w:lvlText w:val="%8."/>
      <w:lvlJc w:val="left"/>
      <w:pPr>
        <w:ind w:left="5760" w:hanging="360"/>
      </w:pPr>
    </w:lvl>
    <w:lvl w:ilvl="8" w:tplc="C5DC17DC">
      <w:start w:val="1"/>
      <w:numFmt w:val="lowerRoman"/>
      <w:lvlText w:val="%9."/>
      <w:lvlJc w:val="right"/>
      <w:pPr>
        <w:ind w:left="6480" w:hanging="180"/>
      </w:pPr>
    </w:lvl>
  </w:abstractNum>
  <w:abstractNum w:abstractNumId="22" w15:restartNumberingAfterBreak="0">
    <w:nsid w:val="78E43BDF"/>
    <w:multiLevelType w:val="hybridMultilevel"/>
    <w:tmpl w:val="01661BEC"/>
    <w:lvl w:ilvl="0" w:tplc="B5145194">
      <w:start w:val="18"/>
      <w:numFmt w:val="decimal"/>
      <w:lvlText w:val="%1."/>
      <w:lvlJc w:val="left"/>
      <w:pPr>
        <w:ind w:left="720" w:hanging="360"/>
      </w:pPr>
    </w:lvl>
    <w:lvl w:ilvl="1" w:tplc="04E648C2">
      <w:start w:val="1"/>
      <w:numFmt w:val="lowerLetter"/>
      <w:lvlText w:val="%2."/>
      <w:lvlJc w:val="left"/>
      <w:pPr>
        <w:ind w:left="1440" w:hanging="360"/>
      </w:pPr>
    </w:lvl>
    <w:lvl w:ilvl="2" w:tplc="955A2E3E">
      <w:start w:val="1"/>
      <w:numFmt w:val="lowerRoman"/>
      <w:lvlText w:val="%3."/>
      <w:lvlJc w:val="right"/>
      <w:pPr>
        <w:ind w:left="2160" w:hanging="180"/>
      </w:pPr>
    </w:lvl>
    <w:lvl w:ilvl="3" w:tplc="85E08098">
      <w:start w:val="1"/>
      <w:numFmt w:val="decimal"/>
      <w:lvlText w:val="%4."/>
      <w:lvlJc w:val="left"/>
      <w:pPr>
        <w:ind w:left="2880" w:hanging="360"/>
      </w:pPr>
    </w:lvl>
    <w:lvl w:ilvl="4" w:tplc="DF10FAEC">
      <w:start w:val="1"/>
      <w:numFmt w:val="lowerLetter"/>
      <w:lvlText w:val="%5."/>
      <w:lvlJc w:val="left"/>
      <w:pPr>
        <w:ind w:left="3600" w:hanging="360"/>
      </w:pPr>
    </w:lvl>
    <w:lvl w:ilvl="5" w:tplc="F4F4C872">
      <w:start w:val="1"/>
      <w:numFmt w:val="lowerRoman"/>
      <w:lvlText w:val="%6."/>
      <w:lvlJc w:val="right"/>
      <w:pPr>
        <w:ind w:left="4320" w:hanging="180"/>
      </w:pPr>
    </w:lvl>
    <w:lvl w:ilvl="6" w:tplc="4000B3D6">
      <w:start w:val="1"/>
      <w:numFmt w:val="decimal"/>
      <w:lvlText w:val="%7."/>
      <w:lvlJc w:val="left"/>
      <w:pPr>
        <w:ind w:left="5040" w:hanging="360"/>
      </w:pPr>
    </w:lvl>
    <w:lvl w:ilvl="7" w:tplc="86D64F14">
      <w:start w:val="1"/>
      <w:numFmt w:val="lowerLetter"/>
      <w:lvlText w:val="%8."/>
      <w:lvlJc w:val="left"/>
      <w:pPr>
        <w:ind w:left="5760" w:hanging="360"/>
      </w:pPr>
    </w:lvl>
    <w:lvl w:ilvl="8" w:tplc="405C7472">
      <w:start w:val="1"/>
      <w:numFmt w:val="lowerRoman"/>
      <w:lvlText w:val="%9."/>
      <w:lvlJc w:val="right"/>
      <w:pPr>
        <w:ind w:left="6480" w:hanging="180"/>
      </w:pPr>
    </w:lvl>
  </w:abstractNum>
  <w:num w:numId="1" w16cid:durableId="1483697969">
    <w:abstractNumId w:val="5"/>
  </w:num>
  <w:num w:numId="2" w16cid:durableId="1665743768">
    <w:abstractNumId w:val="6"/>
  </w:num>
  <w:num w:numId="3" w16cid:durableId="64499685">
    <w:abstractNumId w:val="22"/>
  </w:num>
  <w:num w:numId="4" w16cid:durableId="303118627">
    <w:abstractNumId w:val="20"/>
  </w:num>
  <w:num w:numId="5" w16cid:durableId="1670402131">
    <w:abstractNumId w:val="10"/>
  </w:num>
  <w:num w:numId="6" w16cid:durableId="1789855435">
    <w:abstractNumId w:val="4"/>
  </w:num>
  <w:num w:numId="7" w16cid:durableId="1030840129">
    <w:abstractNumId w:val="1"/>
  </w:num>
  <w:num w:numId="8" w16cid:durableId="1893344308">
    <w:abstractNumId w:val="13"/>
  </w:num>
  <w:num w:numId="9" w16cid:durableId="132338401">
    <w:abstractNumId w:val="18"/>
  </w:num>
  <w:num w:numId="10" w16cid:durableId="1161854094">
    <w:abstractNumId w:val="9"/>
  </w:num>
  <w:num w:numId="11" w16cid:durableId="570191281">
    <w:abstractNumId w:val="8"/>
  </w:num>
  <w:num w:numId="12" w16cid:durableId="1348632535">
    <w:abstractNumId w:val="0"/>
  </w:num>
  <w:num w:numId="13" w16cid:durableId="1516648255">
    <w:abstractNumId w:val="3"/>
  </w:num>
  <w:num w:numId="14" w16cid:durableId="680788354">
    <w:abstractNumId w:val="19"/>
  </w:num>
  <w:num w:numId="15" w16cid:durableId="1577788372">
    <w:abstractNumId w:val="7"/>
  </w:num>
  <w:num w:numId="16" w16cid:durableId="1148321966">
    <w:abstractNumId w:val="16"/>
  </w:num>
  <w:num w:numId="17" w16cid:durableId="1738742163">
    <w:abstractNumId w:val="21"/>
  </w:num>
  <w:num w:numId="18" w16cid:durableId="1163932351">
    <w:abstractNumId w:val="12"/>
  </w:num>
  <w:num w:numId="19" w16cid:durableId="1053579286">
    <w:abstractNumId w:val="14"/>
  </w:num>
  <w:num w:numId="20" w16cid:durableId="1346786162">
    <w:abstractNumId w:val="11"/>
  </w:num>
  <w:num w:numId="21" w16cid:durableId="722563484">
    <w:abstractNumId w:val="15"/>
  </w:num>
  <w:num w:numId="22" w16cid:durableId="1832480183">
    <w:abstractNumId w:val="17"/>
  </w:num>
  <w:num w:numId="23" w16cid:durableId="1925801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57"/>
  <w:hideSpellingErrors/>
  <w:hideGrammaticalErrors/>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6A4C35A"/>
    <w:rsid w:val="0000751E"/>
    <w:rsid w:val="000246FA"/>
    <w:rsid w:val="000273C6"/>
    <w:rsid w:val="000307A8"/>
    <w:rsid w:val="00053BD0"/>
    <w:rsid w:val="000677F9"/>
    <w:rsid w:val="00077B5D"/>
    <w:rsid w:val="00084CAD"/>
    <w:rsid w:val="00095D4A"/>
    <w:rsid w:val="00096333"/>
    <w:rsid w:val="00096ADF"/>
    <w:rsid w:val="000B08C8"/>
    <w:rsid w:val="000D4A38"/>
    <w:rsid w:val="000D5082"/>
    <w:rsid w:val="000D7E1C"/>
    <w:rsid w:val="001153C4"/>
    <w:rsid w:val="00120D10"/>
    <w:rsid w:val="00121E8C"/>
    <w:rsid w:val="001535B2"/>
    <w:rsid w:val="00154EBC"/>
    <w:rsid w:val="00171480"/>
    <w:rsid w:val="00176167"/>
    <w:rsid w:val="001C4A67"/>
    <w:rsid w:val="001F2D85"/>
    <w:rsid w:val="001F7D47"/>
    <w:rsid w:val="00201399"/>
    <w:rsid w:val="0020475E"/>
    <w:rsid w:val="002117B4"/>
    <w:rsid w:val="002358A7"/>
    <w:rsid w:val="00263C80"/>
    <w:rsid w:val="00280E3B"/>
    <w:rsid w:val="00286ABB"/>
    <w:rsid w:val="002D013B"/>
    <w:rsid w:val="00302302"/>
    <w:rsid w:val="0034139A"/>
    <w:rsid w:val="00343264"/>
    <w:rsid w:val="003730D2"/>
    <w:rsid w:val="00383483"/>
    <w:rsid w:val="00386BAA"/>
    <w:rsid w:val="00387F99"/>
    <w:rsid w:val="003954A1"/>
    <w:rsid w:val="003B52CE"/>
    <w:rsid w:val="003D7C24"/>
    <w:rsid w:val="003E3B06"/>
    <w:rsid w:val="00415E58"/>
    <w:rsid w:val="00431613"/>
    <w:rsid w:val="004330EC"/>
    <w:rsid w:val="004466BB"/>
    <w:rsid w:val="00450260"/>
    <w:rsid w:val="0045395D"/>
    <w:rsid w:val="00466082"/>
    <w:rsid w:val="00470E2D"/>
    <w:rsid w:val="004766D5"/>
    <w:rsid w:val="00482EB6"/>
    <w:rsid w:val="004B04A7"/>
    <w:rsid w:val="004D0581"/>
    <w:rsid w:val="004E15C3"/>
    <w:rsid w:val="004E6076"/>
    <w:rsid w:val="00502695"/>
    <w:rsid w:val="00507EE9"/>
    <w:rsid w:val="00515D16"/>
    <w:rsid w:val="005239D5"/>
    <w:rsid w:val="00523D87"/>
    <w:rsid w:val="005B10A1"/>
    <w:rsid w:val="005C4496"/>
    <w:rsid w:val="005E392D"/>
    <w:rsid w:val="00607BE1"/>
    <w:rsid w:val="00642C43"/>
    <w:rsid w:val="00660B60"/>
    <w:rsid w:val="00671C04"/>
    <w:rsid w:val="00676E13"/>
    <w:rsid w:val="00685C4F"/>
    <w:rsid w:val="006A4C42"/>
    <w:rsid w:val="006B2C05"/>
    <w:rsid w:val="006B2F39"/>
    <w:rsid w:val="006D0438"/>
    <w:rsid w:val="006D7055"/>
    <w:rsid w:val="006E5AA2"/>
    <w:rsid w:val="007051B7"/>
    <w:rsid w:val="00740AA9"/>
    <w:rsid w:val="007A35D0"/>
    <w:rsid w:val="007B31EA"/>
    <w:rsid w:val="007D0F4C"/>
    <w:rsid w:val="007D29DD"/>
    <w:rsid w:val="007E38CA"/>
    <w:rsid w:val="0083260D"/>
    <w:rsid w:val="008751D6"/>
    <w:rsid w:val="00875CC5"/>
    <w:rsid w:val="00880743"/>
    <w:rsid w:val="00880C35"/>
    <w:rsid w:val="00891EF8"/>
    <w:rsid w:val="008A399C"/>
    <w:rsid w:val="008B7DD1"/>
    <w:rsid w:val="008C7351"/>
    <w:rsid w:val="008F6FBD"/>
    <w:rsid w:val="0090128A"/>
    <w:rsid w:val="009505AE"/>
    <w:rsid w:val="00966F9B"/>
    <w:rsid w:val="0097089A"/>
    <w:rsid w:val="00972A48"/>
    <w:rsid w:val="0097450C"/>
    <w:rsid w:val="0097583D"/>
    <w:rsid w:val="0098075A"/>
    <w:rsid w:val="009A0ACC"/>
    <w:rsid w:val="009A5976"/>
    <w:rsid w:val="009E60DC"/>
    <w:rsid w:val="009E6C17"/>
    <w:rsid w:val="009F664E"/>
    <w:rsid w:val="009F7EC3"/>
    <w:rsid w:val="00A12BA3"/>
    <w:rsid w:val="00A1439B"/>
    <w:rsid w:val="00A30D4A"/>
    <w:rsid w:val="00A40E09"/>
    <w:rsid w:val="00A40E80"/>
    <w:rsid w:val="00A4565C"/>
    <w:rsid w:val="00A6123D"/>
    <w:rsid w:val="00A95D0C"/>
    <w:rsid w:val="00AB32CA"/>
    <w:rsid w:val="00AB6CBC"/>
    <w:rsid w:val="00AC4C3F"/>
    <w:rsid w:val="00AE5AA0"/>
    <w:rsid w:val="00AF3256"/>
    <w:rsid w:val="00AF5F2E"/>
    <w:rsid w:val="00B14CCE"/>
    <w:rsid w:val="00B37DA5"/>
    <w:rsid w:val="00B50AB0"/>
    <w:rsid w:val="00B60FD1"/>
    <w:rsid w:val="00B82178"/>
    <w:rsid w:val="00B970AA"/>
    <w:rsid w:val="00BB7D9E"/>
    <w:rsid w:val="00BC50DC"/>
    <w:rsid w:val="00BD535A"/>
    <w:rsid w:val="00BF0918"/>
    <w:rsid w:val="00BF7C4B"/>
    <w:rsid w:val="00C26C67"/>
    <w:rsid w:val="00C4124B"/>
    <w:rsid w:val="00C44F6A"/>
    <w:rsid w:val="00C61178"/>
    <w:rsid w:val="00C63245"/>
    <w:rsid w:val="00CA3ED4"/>
    <w:rsid w:val="00CD6830"/>
    <w:rsid w:val="00CF56C6"/>
    <w:rsid w:val="00D10B53"/>
    <w:rsid w:val="00D16072"/>
    <w:rsid w:val="00D44E17"/>
    <w:rsid w:val="00D5724F"/>
    <w:rsid w:val="00D60FB3"/>
    <w:rsid w:val="00D6259E"/>
    <w:rsid w:val="00D93955"/>
    <w:rsid w:val="00DA0CFB"/>
    <w:rsid w:val="00DA0D96"/>
    <w:rsid w:val="00DA3A78"/>
    <w:rsid w:val="00DC13F4"/>
    <w:rsid w:val="00DF7BB2"/>
    <w:rsid w:val="00E02837"/>
    <w:rsid w:val="00E038E4"/>
    <w:rsid w:val="00E066DC"/>
    <w:rsid w:val="00E21DC6"/>
    <w:rsid w:val="00E41F73"/>
    <w:rsid w:val="00E66D41"/>
    <w:rsid w:val="00E7042B"/>
    <w:rsid w:val="00E81531"/>
    <w:rsid w:val="00E860FD"/>
    <w:rsid w:val="00E96146"/>
    <w:rsid w:val="00EA0E80"/>
    <w:rsid w:val="00EC176B"/>
    <w:rsid w:val="00EF01C8"/>
    <w:rsid w:val="00EF6555"/>
    <w:rsid w:val="00F12501"/>
    <w:rsid w:val="00F1450E"/>
    <w:rsid w:val="00F2407A"/>
    <w:rsid w:val="00F31BC8"/>
    <w:rsid w:val="00F35202"/>
    <w:rsid w:val="00F5335E"/>
    <w:rsid w:val="00F634FB"/>
    <w:rsid w:val="00F71201"/>
    <w:rsid w:val="00F852B3"/>
    <w:rsid w:val="00FA2E62"/>
    <w:rsid w:val="00FC1A0E"/>
    <w:rsid w:val="00FC2FBB"/>
    <w:rsid w:val="00FD5561"/>
    <w:rsid w:val="0150763B"/>
    <w:rsid w:val="01C250CE"/>
    <w:rsid w:val="0591A11D"/>
    <w:rsid w:val="0695C1F1"/>
    <w:rsid w:val="0802051A"/>
    <w:rsid w:val="0890F8BE"/>
    <w:rsid w:val="09CAE095"/>
    <w:rsid w:val="09CD62B3"/>
    <w:rsid w:val="0A20537E"/>
    <w:rsid w:val="0CADA673"/>
    <w:rsid w:val="0D0CF0FB"/>
    <w:rsid w:val="0E3716F1"/>
    <w:rsid w:val="0E85295B"/>
    <w:rsid w:val="0F246626"/>
    <w:rsid w:val="0F308756"/>
    <w:rsid w:val="101E6A06"/>
    <w:rsid w:val="1071C210"/>
    <w:rsid w:val="10949148"/>
    <w:rsid w:val="11D16A86"/>
    <w:rsid w:val="132338F3"/>
    <w:rsid w:val="14BF0954"/>
    <w:rsid w:val="15090B48"/>
    <w:rsid w:val="16576E26"/>
    <w:rsid w:val="17B3E375"/>
    <w:rsid w:val="17B4C03A"/>
    <w:rsid w:val="17BA63FF"/>
    <w:rsid w:val="1938F6F1"/>
    <w:rsid w:val="193B790F"/>
    <w:rsid w:val="1AAF297B"/>
    <w:rsid w:val="1B57B72C"/>
    <w:rsid w:val="1CFF7CC4"/>
    <w:rsid w:val="1D2314C5"/>
    <w:rsid w:val="1DB9BE91"/>
    <w:rsid w:val="1DCE403E"/>
    <w:rsid w:val="1E1B569E"/>
    <w:rsid w:val="1E3846A8"/>
    <w:rsid w:val="207EBCC2"/>
    <w:rsid w:val="20C0D100"/>
    <w:rsid w:val="211E6AFF"/>
    <w:rsid w:val="21DC6ED8"/>
    <w:rsid w:val="23792DEC"/>
    <w:rsid w:val="253336B3"/>
    <w:rsid w:val="25847EB1"/>
    <w:rsid w:val="25A94EC6"/>
    <w:rsid w:val="2678EB05"/>
    <w:rsid w:val="27451F27"/>
    <w:rsid w:val="278DAC83"/>
    <w:rsid w:val="2A6BC873"/>
    <w:rsid w:val="2D3EA749"/>
    <w:rsid w:val="2FF4DCE6"/>
    <w:rsid w:val="3288292A"/>
    <w:rsid w:val="32AB1283"/>
    <w:rsid w:val="32E74448"/>
    <w:rsid w:val="34741D11"/>
    <w:rsid w:val="37ABBDD3"/>
    <w:rsid w:val="37CEBD61"/>
    <w:rsid w:val="38153741"/>
    <w:rsid w:val="38ECA7A4"/>
    <w:rsid w:val="38ECC8E7"/>
    <w:rsid w:val="3911A8E7"/>
    <w:rsid w:val="3AD41BFC"/>
    <w:rsid w:val="3AD6ABB2"/>
    <w:rsid w:val="3B065E23"/>
    <w:rsid w:val="3DC03A0A"/>
    <w:rsid w:val="3DD8EAE9"/>
    <w:rsid w:val="3E040209"/>
    <w:rsid w:val="3E0E4C74"/>
    <w:rsid w:val="3FA78D1F"/>
    <w:rsid w:val="410D8DD5"/>
    <w:rsid w:val="4145ED36"/>
    <w:rsid w:val="418050B1"/>
    <w:rsid w:val="4436864E"/>
    <w:rsid w:val="44AC7F56"/>
    <w:rsid w:val="44B87211"/>
    <w:rsid w:val="46195E59"/>
    <w:rsid w:val="46F8DD1B"/>
    <w:rsid w:val="4719D42F"/>
    <w:rsid w:val="47B52EBA"/>
    <w:rsid w:val="497A2051"/>
    <w:rsid w:val="4B1315BA"/>
    <w:rsid w:val="4B35FF13"/>
    <w:rsid w:val="4BD41CF5"/>
    <w:rsid w:val="4C6260F1"/>
    <w:rsid w:val="4C889FDD"/>
    <w:rsid w:val="4E5C1035"/>
    <w:rsid w:val="4ECC1DD0"/>
    <w:rsid w:val="508BA224"/>
    <w:rsid w:val="50E0D0CA"/>
    <w:rsid w:val="52803C7E"/>
    <w:rsid w:val="52B0C179"/>
    <w:rsid w:val="53DF2EDA"/>
    <w:rsid w:val="54C51F4A"/>
    <w:rsid w:val="5A3F2DC5"/>
    <w:rsid w:val="5CC03BCF"/>
    <w:rsid w:val="5D83CDE1"/>
    <w:rsid w:val="5F95BE70"/>
    <w:rsid w:val="5FB81CA0"/>
    <w:rsid w:val="6084FD91"/>
    <w:rsid w:val="60AC770B"/>
    <w:rsid w:val="60BB6EA3"/>
    <w:rsid w:val="622DDE18"/>
    <w:rsid w:val="62573F04"/>
    <w:rsid w:val="633B332E"/>
    <w:rsid w:val="64203FB8"/>
    <w:rsid w:val="657CF616"/>
    <w:rsid w:val="657FE82E"/>
    <w:rsid w:val="658EDFC6"/>
    <w:rsid w:val="65F168CB"/>
    <w:rsid w:val="66552FF0"/>
    <w:rsid w:val="66A4C35A"/>
    <w:rsid w:val="672AB027"/>
    <w:rsid w:val="6A5D3F15"/>
    <w:rsid w:val="6BCE9412"/>
    <w:rsid w:val="6D495D23"/>
    <w:rsid w:val="6D976F8D"/>
    <w:rsid w:val="6EE52D84"/>
    <w:rsid w:val="7485D27B"/>
    <w:rsid w:val="74E3CDC5"/>
    <w:rsid w:val="7553F78A"/>
    <w:rsid w:val="770869E1"/>
    <w:rsid w:val="773E51D3"/>
    <w:rsid w:val="780C76EF"/>
    <w:rsid w:val="792ECAFB"/>
    <w:rsid w:val="79FE1568"/>
    <w:rsid w:val="7C864461"/>
    <w:rsid w:val="7CEEDFAA"/>
    <w:rsid w:val="7EE1B1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4C35A"/>
  <w15:docId w15:val="{8066A542-8D4D-4769-BA73-2428C5954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0D4A"/>
    <w:pPr>
      <w:keepNext/>
      <w:keepLines/>
      <w:tabs>
        <w:tab w:val="left" w:pos="426"/>
      </w:tabs>
      <w:snapToGrid w:val="0"/>
      <w:spacing w:after="240" w:line="240" w:lineRule="auto"/>
      <w:jc w:val="both"/>
      <w:outlineLvl w:val="1"/>
    </w:pPr>
    <w:rPr>
      <w:rFonts w:ascii="Roboto" w:eastAsia="Roboto" w:hAnsi="Roboto" w:cs="Roboto"/>
      <w:b/>
      <w:bCs/>
      <w:color w:val="0D1C7F"/>
      <w:sz w:val="28"/>
      <w:szCs w:val="28"/>
      <w:lang w:val="en-GB"/>
    </w:rPr>
  </w:style>
  <w:style w:type="paragraph" w:styleId="Heading3">
    <w:name w:val="heading 3"/>
    <w:basedOn w:val="Heading2"/>
    <w:next w:val="Normal"/>
    <w:link w:val="Heading3Char"/>
    <w:uiPriority w:val="9"/>
    <w:unhideWhenUsed/>
    <w:qFormat/>
    <w:rsid w:val="00515D16"/>
    <w:pPr>
      <w:outlineLvl w:val="2"/>
    </w:pPr>
    <w:rPr>
      <w:i/>
      <w:iCs/>
      <w:sz w:val="24"/>
      <w:szCs w:val="24"/>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0D4A"/>
    <w:rPr>
      <w:rFonts w:ascii="Roboto" w:eastAsia="Roboto" w:hAnsi="Roboto" w:cs="Roboto"/>
      <w:b/>
      <w:bCs/>
      <w:color w:val="0D1C7F"/>
      <w:sz w:val="28"/>
      <w:szCs w:val="28"/>
      <w:lang w:val="en-GB"/>
    </w:rPr>
  </w:style>
  <w:style w:type="character" w:customStyle="1" w:styleId="Heading3Char">
    <w:name w:val="Heading 3 Char"/>
    <w:basedOn w:val="DefaultParagraphFont"/>
    <w:link w:val="Heading3"/>
    <w:uiPriority w:val="9"/>
    <w:rsid w:val="00515D16"/>
    <w:rPr>
      <w:rFonts w:ascii="Roboto" w:eastAsia="Roboto" w:hAnsi="Roboto" w:cs="Roboto"/>
      <w:b/>
      <w:bCs/>
      <w:i/>
      <w:iCs/>
      <w:color w:val="0D1C7F"/>
      <w:lang w:val="en-GB"/>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rsid w:val="003D7C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7C24"/>
    <w:rPr>
      <w:sz w:val="20"/>
      <w:szCs w:val="20"/>
    </w:rPr>
  </w:style>
  <w:style w:type="character" w:styleId="FootnoteReference">
    <w:name w:val="footnote reference"/>
    <w:aliases w:val="4_G,4_G Char Char Char Char,Footnotes refss Char Char Char Char,ftref Char Char Char Char,BVI fnr Char Char Char Char,BVI fnr Car Car Char Char Char Char,BVI fnr Car Char Char Char Char,Footnotes refss,Footnote number,Footnote,callout"/>
    <w:basedOn w:val="DefaultParagraphFont"/>
    <w:uiPriority w:val="99"/>
    <w:unhideWhenUsed/>
    <w:qFormat/>
    <w:rsid w:val="003D7C24"/>
    <w:rPr>
      <w:vertAlign w:val="superscript"/>
    </w:rPr>
  </w:style>
  <w:style w:type="character" w:styleId="Hyperlink">
    <w:name w:val="Hyperlink"/>
    <w:basedOn w:val="DefaultParagraphFont"/>
    <w:uiPriority w:val="99"/>
    <w:unhideWhenUsed/>
    <w:rsid w:val="005B10A1"/>
    <w:rPr>
      <w:color w:val="467886" w:themeColor="hyperlink"/>
      <w:u w:val="single"/>
    </w:rPr>
  </w:style>
  <w:style w:type="character" w:styleId="UnresolvedMention">
    <w:name w:val="Unresolved Mention"/>
    <w:basedOn w:val="DefaultParagraphFont"/>
    <w:uiPriority w:val="99"/>
    <w:semiHidden/>
    <w:unhideWhenUsed/>
    <w:rsid w:val="005B10A1"/>
    <w:rPr>
      <w:color w:val="605E5C"/>
      <w:shd w:val="clear" w:color="auto" w:fill="E1DFDD"/>
    </w:rPr>
  </w:style>
  <w:style w:type="paragraph" w:styleId="Footer">
    <w:name w:val="footer"/>
    <w:basedOn w:val="Normal"/>
    <w:link w:val="FooterChar"/>
    <w:uiPriority w:val="99"/>
    <w:unhideWhenUsed/>
    <w:rsid w:val="00DA3A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78"/>
  </w:style>
  <w:style w:type="character" w:styleId="PageNumber">
    <w:name w:val="page number"/>
    <w:basedOn w:val="DefaultParagraphFont"/>
    <w:uiPriority w:val="99"/>
    <w:semiHidden/>
    <w:unhideWhenUsed/>
    <w:rsid w:val="00DA3A78"/>
  </w:style>
  <w:style w:type="paragraph" w:styleId="NormalWeb">
    <w:name w:val="Normal (Web)"/>
    <w:basedOn w:val="Normal"/>
    <w:uiPriority w:val="99"/>
    <w:semiHidden/>
    <w:unhideWhenUsed/>
    <w:rsid w:val="00507EE9"/>
    <w:rPr>
      <w:rFonts w:ascii="Times New Roman" w:hAnsi="Times New Roman" w:cs="Times New Roman"/>
    </w:rPr>
  </w:style>
  <w:style w:type="paragraph" w:styleId="Revision">
    <w:name w:val="Revision"/>
    <w:hidden/>
    <w:uiPriority w:val="99"/>
    <w:semiHidden/>
    <w:rsid w:val="00EC176B"/>
    <w:pPr>
      <w:spacing w:after="0" w:line="240" w:lineRule="auto"/>
    </w:pPr>
  </w:style>
  <w:style w:type="paragraph" w:styleId="EndnoteText">
    <w:name w:val="endnote text"/>
    <w:basedOn w:val="Normal"/>
    <w:link w:val="EndnoteTextChar"/>
    <w:uiPriority w:val="99"/>
    <w:semiHidden/>
    <w:unhideWhenUsed/>
    <w:rsid w:val="007D29D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29DD"/>
    <w:rPr>
      <w:sz w:val="20"/>
      <w:szCs w:val="20"/>
    </w:rPr>
  </w:style>
  <w:style w:type="character" w:styleId="EndnoteReference">
    <w:name w:val="endnote reference"/>
    <w:basedOn w:val="DefaultParagraphFont"/>
    <w:uiPriority w:val="99"/>
    <w:semiHidden/>
    <w:unhideWhenUsed/>
    <w:rsid w:val="007D29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782711">
      <w:bodyDiv w:val="1"/>
      <w:marLeft w:val="0"/>
      <w:marRight w:val="0"/>
      <w:marTop w:val="0"/>
      <w:marBottom w:val="0"/>
      <w:divBdr>
        <w:top w:val="none" w:sz="0" w:space="0" w:color="auto"/>
        <w:left w:val="none" w:sz="0" w:space="0" w:color="auto"/>
        <w:bottom w:val="none" w:sz="0" w:space="0" w:color="auto"/>
        <w:right w:val="none" w:sz="0" w:space="0" w:color="auto"/>
      </w:divBdr>
      <w:divsChild>
        <w:div w:id="1407921656">
          <w:marLeft w:val="0"/>
          <w:marRight w:val="0"/>
          <w:marTop w:val="0"/>
          <w:marBottom w:val="0"/>
          <w:divBdr>
            <w:top w:val="none" w:sz="0" w:space="0" w:color="auto"/>
            <w:left w:val="none" w:sz="0" w:space="0" w:color="auto"/>
            <w:bottom w:val="none" w:sz="0" w:space="0" w:color="auto"/>
            <w:right w:val="none" w:sz="0" w:space="0" w:color="auto"/>
          </w:divBdr>
          <w:divsChild>
            <w:div w:id="511526305">
              <w:marLeft w:val="0"/>
              <w:marRight w:val="0"/>
              <w:marTop w:val="0"/>
              <w:marBottom w:val="0"/>
              <w:divBdr>
                <w:top w:val="none" w:sz="0" w:space="0" w:color="auto"/>
                <w:left w:val="none" w:sz="0" w:space="0" w:color="auto"/>
                <w:bottom w:val="none" w:sz="0" w:space="0" w:color="auto"/>
                <w:right w:val="none" w:sz="0" w:space="0" w:color="auto"/>
              </w:divBdr>
              <w:divsChild>
                <w:div w:id="17299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856469">
      <w:bodyDiv w:val="1"/>
      <w:marLeft w:val="0"/>
      <w:marRight w:val="0"/>
      <w:marTop w:val="0"/>
      <w:marBottom w:val="0"/>
      <w:divBdr>
        <w:top w:val="none" w:sz="0" w:space="0" w:color="auto"/>
        <w:left w:val="none" w:sz="0" w:space="0" w:color="auto"/>
        <w:bottom w:val="none" w:sz="0" w:space="0" w:color="auto"/>
        <w:right w:val="none" w:sz="0" w:space="0" w:color="auto"/>
      </w:divBdr>
    </w:div>
    <w:div w:id="2125802652">
      <w:bodyDiv w:val="1"/>
      <w:marLeft w:val="0"/>
      <w:marRight w:val="0"/>
      <w:marTop w:val="0"/>
      <w:marBottom w:val="0"/>
      <w:divBdr>
        <w:top w:val="none" w:sz="0" w:space="0" w:color="auto"/>
        <w:left w:val="none" w:sz="0" w:space="0" w:color="auto"/>
        <w:bottom w:val="none" w:sz="0" w:space="0" w:color="auto"/>
        <w:right w:val="none" w:sz="0" w:space="0" w:color="auto"/>
      </w:divBdr>
      <w:divsChild>
        <w:div w:id="1373534553">
          <w:marLeft w:val="0"/>
          <w:marRight w:val="0"/>
          <w:marTop w:val="0"/>
          <w:marBottom w:val="0"/>
          <w:divBdr>
            <w:top w:val="none" w:sz="0" w:space="0" w:color="auto"/>
            <w:left w:val="none" w:sz="0" w:space="0" w:color="auto"/>
            <w:bottom w:val="none" w:sz="0" w:space="0" w:color="auto"/>
            <w:right w:val="none" w:sz="0" w:space="0" w:color="auto"/>
          </w:divBdr>
          <w:divsChild>
            <w:div w:id="205142779">
              <w:marLeft w:val="0"/>
              <w:marRight w:val="0"/>
              <w:marTop w:val="0"/>
              <w:marBottom w:val="0"/>
              <w:divBdr>
                <w:top w:val="none" w:sz="0" w:space="0" w:color="auto"/>
                <w:left w:val="none" w:sz="0" w:space="0" w:color="auto"/>
                <w:bottom w:val="none" w:sz="0" w:space="0" w:color="auto"/>
                <w:right w:val="none" w:sz="0" w:space="0" w:color="auto"/>
              </w:divBdr>
              <w:divsChild>
                <w:div w:id="17743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df-feph.org/" TargetMode="External"/><Relationship Id="rId14" Type="http://schemas.openxmlformats.org/officeDocument/2006/relationships/customXml" Target="../customXml/item2.xml"/></Relationships>
</file>

<file path=word/_rels/endnotes.xml.rels><?xml version="1.0" encoding="UTF-8" standalone="yes"?>
<Relationships xmlns="http://schemas.openxmlformats.org/package/2006/relationships"><Relationship Id="rId3" Type="http://schemas.openxmlformats.org/officeDocument/2006/relationships/hyperlink" Target="https://www.edf-feph.org/content/uploads/2021/04/EDF-position-and-recommendation-on-hate-speech-and-hate-crime.pdf" TargetMode="External"/><Relationship Id="rId2" Type="http://schemas.openxmlformats.org/officeDocument/2006/relationships/hyperlink" Target="https://www.internationaldisabilityalliance.org/documents/article1to4crpd3-docx" TargetMode="External"/><Relationship Id="rId1" Type="http://schemas.openxmlformats.org/officeDocument/2006/relationships/hyperlink" Target="https://www.internationaldisabilityalliance.org/documents/article1to4crpd3-docx" TargetMode="External"/><Relationship Id="rId5" Type="http://schemas.openxmlformats.org/officeDocument/2006/relationships/hyperlink" Target="https://www.ohchr.org/sites/default/files/article-18-indicators-en.pdf" TargetMode="External"/><Relationship Id="rId4" Type="http://schemas.openxmlformats.org/officeDocument/2006/relationships/hyperlink" Target="https://www.washingtongroup-disability.com/fileadmin/uploads/wg/Documents/An_Introduction_to_the_WG_Questions_Sets__2_June_2020_.pdf%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1aae2dfcf38eb3d4f769327b9f8ce2e5">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83be24ca81d3dd6e9270b5b0a69b2c74"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Doctype xmlns="d42e65b2-cf21-49c1-b27d-d23f90380c0e">input</Doctype>
    <Contributor xmlns="d42e65b2-cf21-49c1-b27d-d23f90380c0e">International Disability Alliance </Contributor>
  </documentManagement>
</p:properties>
</file>

<file path=customXml/itemProps1.xml><?xml version="1.0" encoding="utf-8"?>
<ds:datastoreItem xmlns:ds="http://schemas.openxmlformats.org/officeDocument/2006/customXml" ds:itemID="{CF432ABA-89CA-42BC-A0D9-A8B2F0C5E965}">
  <ds:schemaRefs>
    <ds:schemaRef ds:uri="http://schemas.openxmlformats.org/officeDocument/2006/bibliography"/>
  </ds:schemaRefs>
</ds:datastoreItem>
</file>

<file path=customXml/itemProps2.xml><?xml version="1.0" encoding="utf-8"?>
<ds:datastoreItem xmlns:ds="http://schemas.openxmlformats.org/officeDocument/2006/customXml" ds:itemID="{2E4E9A36-06EB-40C7-8CBD-C12F4200F3C9}"/>
</file>

<file path=customXml/itemProps3.xml><?xml version="1.0" encoding="utf-8"?>
<ds:datastoreItem xmlns:ds="http://schemas.openxmlformats.org/officeDocument/2006/customXml" ds:itemID="{71568977-A822-4A63-BFD6-336CA54868F4}"/>
</file>

<file path=customXml/itemProps4.xml><?xml version="1.0" encoding="utf-8"?>
<ds:datastoreItem xmlns:ds="http://schemas.openxmlformats.org/officeDocument/2006/customXml" ds:itemID="{B55A08D4-7392-4567-A6E5-437BE18FC60F}"/>
</file>

<file path=docProps/app.xml><?xml version="1.0" encoding="utf-8"?>
<Properties xmlns="http://schemas.openxmlformats.org/officeDocument/2006/extended-properties" xmlns:vt="http://schemas.openxmlformats.org/officeDocument/2006/docPropsVTypes">
  <Template>Normal.dotm</Template>
  <TotalTime>69</TotalTime>
  <Pages>8</Pages>
  <Words>2866</Words>
  <Characters>16341</Characters>
  <Application>Microsoft Office Word</Application>
  <DocSecurity>2</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Mirriam Nthenge</dc:creator>
  <cp:keywords/>
  <dc:description/>
  <cp:lastModifiedBy>Juan Ignacio Perez Bello</cp:lastModifiedBy>
  <cp:revision>16</cp:revision>
  <cp:lastPrinted>2024-04-29T10:03:00Z</cp:lastPrinted>
  <dcterms:created xsi:type="dcterms:W3CDTF">2024-04-29T07:30:00Z</dcterms:created>
  <dcterms:modified xsi:type="dcterms:W3CDTF">2024-04-29T10:03:00Z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dca8dd4b31d91308bf0502fb924143090e02944a503a4de0470dcb66c7004c37</vt:lpwstr>
  </property>
  <property fmtid="{D5CDD505-2E9C-101B-9397-08002B2CF9AE}" pid="3" name="ContentTypeId">
    <vt:lpwstr>0x0101009D953D6983EF5F4EB0B6A5354F975E96</vt:lpwstr>
  </property>
</Properties>
</file>