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81741" w14:textId="77777777" w:rsidR="00855F06" w:rsidRPr="006951B6" w:rsidRDefault="00855F06" w:rsidP="00855F06">
      <w:pPr>
        <w:rPr>
          <w:rFonts w:ascii="Times New Roman" w:hAnsi="Times New Roman" w:cs="Times New Roman"/>
        </w:rPr>
      </w:pPr>
    </w:p>
    <w:p w14:paraId="070CD236" w14:textId="77777777" w:rsidR="00293788" w:rsidRDefault="00293788" w:rsidP="008F4260">
      <w:pPr>
        <w:jc w:val="center"/>
        <w:rPr>
          <w:rFonts w:ascii="Times New Roman" w:hAnsi="Times New Roman" w:cs="Times New Roman"/>
          <w:sz w:val="26"/>
          <w:szCs w:val="26"/>
        </w:rPr>
      </w:pPr>
    </w:p>
    <w:p w14:paraId="35E68AE0" w14:textId="77777777" w:rsidR="00293788" w:rsidRDefault="00293788" w:rsidP="008F4260">
      <w:pPr>
        <w:jc w:val="center"/>
        <w:rPr>
          <w:rFonts w:ascii="Times New Roman" w:hAnsi="Times New Roman" w:cs="Times New Roman"/>
          <w:sz w:val="26"/>
          <w:szCs w:val="26"/>
        </w:rPr>
      </w:pPr>
    </w:p>
    <w:p w14:paraId="582EA5E1" w14:textId="77777777" w:rsidR="00293788" w:rsidRDefault="00293788" w:rsidP="008F4260">
      <w:pPr>
        <w:jc w:val="center"/>
        <w:rPr>
          <w:rFonts w:ascii="Times New Roman" w:hAnsi="Times New Roman" w:cs="Times New Roman"/>
          <w:sz w:val="26"/>
          <w:szCs w:val="26"/>
        </w:rPr>
      </w:pPr>
    </w:p>
    <w:p w14:paraId="2D8B27DA" w14:textId="77777777" w:rsidR="00293788" w:rsidRDefault="00293788" w:rsidP="008F4260">
      <w:pPr>
        <w:jc w:val="center"/>
        <w:rPr>
          <w:rFonts w:ascii="Times New Roman" w:hAnsi="Times New Roman" w:cs="Times New Roman"/>
          <w:sz w:val="26"/>
          <w:szCs w:val="26"/>
        </w:rPr>
      </w:pPr>
    </w:p>
    <w:p w14:paraId="4FD00411" w14:textId="77777777" w:rsidR="00293788" w:rsidRDefault="00293788" w:rsidP="008F4260">
      <w:pPr>
        <w:jc w:val="center"/>
        <w:rPr>
          <w:rFonts w:ascii="Times New Roman" w:hAnsi="Times New Roman" w:cs="Times New Roman"/>
          <w:sz w:val="26"/>
          <w:szCs w:val="26"/>
        </w:rPr>
      </w:pPr>
    </w:p>
    <w:p w14:paraId="72EB134B" w14:textId="77777777" w:rsidR="00293788" w:rsidRDefault="00293788" w:rsidP="008F4260">
      <w:pPr>
        <w:jc w:val="center"/>
        <w:rPr>
          <w:rFonts w:ascii="Times New Roman" w:hAnsi="Times New Roman" w:cs="Times New Roman"/>
          <w:sz w:val="26"/>
          <w:szCs w:val="26"/>
        </w:rPr>
      </w:pPr>
    </w:p>
    <w:p w14:paraId="7F906D29" w14:textId="77777777" w:rsidR="00293788" w:rsidRDefault="00293788" w:rsidP="008F4260">
      <w:pPr>
        <w:jc w:val="center"/>
        <w:rPr>
          <w:rFonts w:ascii="Times New Roman" w:hAnsi="Times New Roman" w:cs="Times New Roman"/>
          <w:sz w:val="26"/>
          <w:szCs w:val="26"/>
        </w:rPr>
      </w:pPr>
    </w:p>
    <w:p w14:paraId="6373017C" w14:textId="77777777" w:rsidR="00293788" w:rsidRDefault="00293788" w:rsidP="008F4260">
      <w:pPr>
        <w:jc w:val="center"/>
        <w:rPr>
          <w:rFonts w:ascii="Times New Roman" w:hAnsi="Times New Roman" w:cs="Times New Roman"/>
          <w:sz w:val="26"/>
          <w:szCs w:val="26"/>
        </w:rPr>
      </w:pPr>
    </w:p>
    <w:p w14:paraId="61297942" w14:textId="77777777" w:rsidR="00293788" w:rsidRDefault="00293788" w:rsidP="008F4260">
      <w:pPr>
        <w:jc w:val="center"/>
        <w:rPr>
          <w:rFonts w:ascii="Times New Roman" w:hAnsi="Times New Roman" w:cs="Times New Roman"/>
          <w:sz w:val="26"/>
          <w:szCs w:val="26"/>
        </w:rPr>
      </w:pPr>
    </w:p>
    <w:p w14:paraId="02D49CEB" w14:textId="77777777" w:rsidR="00293788" w:rsidRDefault="00293788" w:rsidP="008F4260">
      <w:pPr>
        <w:jc w:val="center"/>
        <w:rPr>
          <w:rFonts w:ascii="Times New Roman" w:hAnsi="Times New Roman" w:cs="Times New Roman"/>
          <w:sz w:val="26"/>
          <w:szCs w:val="26"/>
        </w:rPr>
      </w:pPr>
    </w:p>
    <w:p w14:paraId="2D2C6BD8" w14:textId="77777777" w:rsidR="00293788" w:rsidRDefault="00293788" w:rsidP="008F4260">
      <w:pPr>
        <w:jc w:val="center"/>
        <w:rPr>
          <w:rFonts w:ascii="Times New Roman" w:hAnsi="Times New Roman" w:cs="Times New Roman"/>
          <w:sz w:val="26"/>
          <w:szCs w:val="26"/>
        </w:rPr>
      </w:pPr>
    </w:p>
    <w:p w14:paraId="45342BB9" w14:textId="77777777" w:rsidR="00293788" w:rsidRDefault="00293788" w:rsidP="008F4260">
      <w:pPr>
        <w:jc w:val="center"/>
        <w:rPr>
          <w:rFonts w:ascii="Times New Roman" w:hAnsi="Times New Roman" w:cs="Times New Roman"/>
          <w:sz w:val="26"/>
          <w:szCs w:val="26"/>
        </w:rPr>
      </w:pPr>
    </w:p>
    <w:p w14:paraId="6A78A8E1" w14:textId="77777777" w:rsidR="00293788" w:rsidRDefault="00293788" w:rsidP="008F4260">
      <w:pPr>
        <w:jc w:val="center"/>
        <w:rPr>
          <w:rFonts w:ascii="Times New Roman" w:hAnsi="Times New Roman" w:cs="Times New Roman"/>
          <w:sz w:val="26"/>
          <w:szCs w:val="26"/>
        </w:rPr>
      </w:pPr>
    </w:p>
    <w:p w14:paraId="6AEA0254" w14:textId="77777777" w:rsidR="00293788" w:rsidRDefault="00293788" w:rsidP="00570198">
      <w:pPr>
        <w:ind w:left="720" w:right="720"/>
        <w:jc w:val="center"/>
        <w:rPr>
          <w:rFonts w:ascii="Times New Roman" w:hAnsi="Times New Roman" w:cs="Times New Roman"/>
          <w:sz w:val="26"/>
          <w:szCs w:val="26"/>
        </w:rPr>
      </w:pPr>
    </w:p>
    <w:p w14:paraId="3AE0C772" w14:textId="31F3A412" w:rsidR="00855F06" w:rsidRPr="006951B6" w:rsidRDefault="00855F06" w:rsidP="00570198">
      <w:pPr>
        <w:ind w:left="720" w:right="720"/>
        <w:jc w:val="center"/>
        <w:rPr>
          <w:rFonts w:ascii="Times New Roman" w:hAnsi="Times New Roman" w:cs="Times New Roman"/>
          <w:sz w:val="26"/>
          <w:szCs w:val="26"/>
        </w:rPr>
      </w:pPr>
      <w:r w:rsidRPr="006951B6">
        <w:rPr>
          <w:rFonts w:ascii="Times New Roman" w:hAnsi="Times New Roman" w:cs="Times New Roman"/>
          <w:sz w:val="26"/>
          <w:szCs w:val="26"/>
        </w:rPr>
        <w:t>Submission</w:t>
      </w:r>
    </w:p>
    <w:p w14:paraId="434B8DA0" w14:textId="3357564B" w:rsidR="008F4260" w:rsidRPr="006951B6" w:rsidRDefault="008F4260" w:rsidP="00570198">
      <w:pPr>
        <w:ind w:left="720" w:right="720"/>
        <w:jc w:val="center"/>
        <w:rPr>
          <w:rFonts w:ascii="Times New Roman" w:hAnsi="Times New Roman" w:cs="Times New Roman"/>
          <w:sz w:val="26"/>
          <w:szCs w:val="26"/>
        </w:rPr>
      </w:pPr>
      <w:r w:rsidRPr="006951B6">
        <w:rPr>
          <w:rFonts w:ascii="Times New Roman" w:hAnsi="Times New Roman" w:cs="Times New Roman"/>
          <w:sz w:val="26"/>
          <w:szCs w:val="26"/>
        </w:rPr>
        <w:t>Committee on the Protection of the Rights of All Migrant Workers and Members of Their Families</w:t>
      </w:r>
    </w:p>
    <w:p w14:paraId="3C86D2BD" w14:textId="77777777" w:rsidR="004211CA" w:rsidRPr="006951B6" w:rsidRDefault="004211CA" w:rsidP="00570198">
      <w:pPr>
        <w:ind w:left="720" w:right="720"/>
        <w:rPr>
          <w:rFonts w:ascii="Times New Roman" w:hAnsi="Times New Roman" w:cs="Times New Roman"/>
          <w:sz w:val="26"/>
          <w:szCs w:val="26"/>
        </w:rPr>
      </w:pPr>
    </w:p>
    <w:p w14:paraId="497C74D7" w14:textId="5119F1B2" w:rsidR="004211CA" w:rsidRPr="006951B6" w:rsidRDefault="004211CA" w:rsidP="00570198">
      <w:pPr>
        <w:pStyle w:val="NormalWeb"/>
        <w:ind w:left="720" w:right="720"/>
        <w:jc w:val="center"/>
      </w:pPr>
      <w:proofErr w:type="spellStart"/>
      <w:r w:rsidRPr="006951B6">
        <w:rPr>
          <w:b/>
          <w:bCs/>
        </w:rPr>
        <w:t>Motse</w:t>
      </w:r>
      <w:proofErr w:type="spellEnd"/>
      <w:r w:rsidRPr="006951B6">
        <w:rPr>
          <w:b/>
          <w:bCs/>
        </w:rPr>
        <w:t xml:space="preserve"> NTLOEDIBE – KUSWANI, </w:t>
      </w:r>
      <w:r w:rsidRPr="006951B6">
        <w:rPr>
          <w:b/>
          <w:bCs/>
        </w:rPr>
        <w:t>MA</w:t>
      </w:r>
      <w:r w:rsidRPr="006951B6">
        <w:t xml:space="preserve"> in Diplomacy and International Law at The American University of Paris, critical race theorist. Contact: </w:t>
      </w:r>
      <w:r w:rsidRPr="006951B6">
        <w:rPr>
          <w:color w:val="0260BF"/>
        </w:rPr>
        <w:t>motse.kuswani@aup.edu</w:t>
      </w:r>
    </w:p>
    <w:p w14:paraId="68817543" w14:textId="77777777" w:rsidR="004211CA" w:rsidRPr="006951B6" w:rsidRDefault="004211CA" w:rsidP="00855F06">
      <w:pPr>
        <w:rPr>
          <w:rFonts w:ascii="Times New Roman" w:hAnsi="Times New Roman" w:cs="Times New Roman"/>
        </w:rPr>
      </w:pPr>
    </w:p>
    <w:p w14:paraId="61A7CE42" w14:textId="77777777" w:rsidR="00293788" w:rsidRDefault="00293788" w:rsidP="00DD7E31">
      <w:pPr>
        <w:spacing w:line="276" w:lineRule="auto"/>
        <w:rPr>
          <w:rFonts w:ascii="Times New Roman" w:hAnsi="Times New Roman" w:cs="Times New Roman"/>
        </w:rPr>
      </w:pPr>
    </w:p>
    <w:p w14:paraId="1716AAC9" w14:textId="4047A2FF" w:rsidR="00293788" w:rsidRPr="00616866" w:rsidRDefault="007F63E3" w:rsidP="00DD7E31">
      <w:pPr>
        <w:spacing w:line="276" w:lineRule="auto"/>
        <w:rPr>
          <w:rFonts w:ascii="Times New Roman" w:hAnsi="Times New Roman" w:cs="Times New Roman"/>
          <w:i/>
          <w:iCs/>
        </w:rPr>
      </w:pPr>
      <w:r w:rsidRPr="00616866">
        <w:rPr>
          <w:rFonts w:ascii="Times New Roman" w:hAnsi="Times New Roman" w:cs="Times New Roman"/>
          <w:i/>
          <w:iCs/>
        </w:rPr>
        <w:t>How xenophobia should be addressed through an intersectionality lens? How this policy should be reciprocally complemented with policies directed to prevent and eradicate racism? Which measures should be put in place for ensuring a gender approach within</w:t>
      </w:r>
      <w:r w:rsidR="00616866" w:rsidRPr="00616866">
        <w:rPr>
          <w:rFonts w:ascii="Times New Roman" w:hAnsi="Times New Roman" w:cs="Times New Roman"/>
          <w:i/>
          <w:iCs/>
        </w:rPr>
        <w:t xml:space="preserve"> </w:t>
      </w:r>
      <w:r w:rsidR="00616866" w:rsidRPr="00616866">
        <w:rPr>
          <w:rFonts w:ascii="Times New Roman" w:hAnsi="Times New Roman" w:cs="Times New Roman"/>
          <w:i/>
          <w:iCs/>
        </w:rPr>
        <w:t>a comprehensive policy against xenophobia and gender-based discrimination? Which measures should be implemented for intersecting xenophobia with other factors forbidden by the principle of non-discrimination, including age, gender, disability, sexual orientation, racial and ethnic origin, among others?</w:t>
      </w:r>
    </w:p>
    <w:p w14:paraId="0A637891" w14:textId="77777777" w:rsidR="00293788" w:rsidRDefault="00293788" w:rsidP="00DD7E31">
      <w:pPr>
        <w:spacing w:line="276" w:lineRule="auto"/>
        <w:rPr>
          <w:rFonts w:ascii="Times New Roman" w:hAnsi="Times New Roman" w:cs="Times New Roman"/>
        </w:rPr>
      </w:pPr>
    </w:p>
    <w:p w14:paraId="32E4947A" w14:textId="77777777" w:rsidR="00293788" w:rsidRDefault="00293788" w:rsidP="00DD7E31">
      <w:pPr>
        <w:spacing w:line="276" w:lineRule="auto"/>
        <w:rPr>
          <w:rFonts w:ascii="Times New Roman" w:hAnsi="Times New Roman" w:cs="Times New Roman"/>
        </w:rPr>
      </w:pPr>
    </w:p>
    <w:p w14:paraId="3849F7A2" w14:textId="77777777" w:rsidR="00293788" w:rsidRDefault="00293788" w:rsidP="00DD7E31">
      <w:pPr>
        <w:spacing w:line="276" w:lineRule="auto"/>
        <w:rPr>
          <w:rFonts w:ascii="Times New Roman" w:hAnsi="Times New Roman" w:cs="Times New Roman"/>
        </w:rPr>
      </w:pPr>
    </w:p>
    <w:p w14:paraId="123C16AE" w14:textId="77777777" w:rsidR="00293788" w:rsidRDefault="00293788" w:rsidP="00DD7E31">
      <w:pPr>
        <w:spacing w:line="276" w:lineRule="auto"/>
        <w:rPr>
          <w:rFonts w:ascii="Times New Roman" w:hAnsi="Times New Roman" w:cs="Times New Roman"/>
        </w:rPr>
      </w:pPr>
    </w:p>
    <w:p w14:paraId="53A7479B" w14:textId="77777777" w:rsidR="00293788" w:rsidRDefault="00293788" w:rsidP="00DD7E31">
      <w:pPr>
        <w:spacing w:line="276" w:lineRule="auto"/>
        <w:rPr>
          <w:rFonts w:ascii="Times New Roman" w:hAnsi="Times New Roman" w:cs="Times New Roman"/>
        </w:rPr>
      </w:pPr>
    </w:p>
    <w:p w14:paraId="79494214" w14:textId="77777777" w:rsidR="00293788" w:rsidRDefault="00293788" w:rsidP="00DD7E31">
      <w:pPr>
        <w:spacing w:line="276" w:lineRule="auto"/>
        <w:rPr>
          <w:rFonts w:ascii="Times New Roman" w:hAnsi="Times New Roman" w:cs="Times New Roman"/>
        </w:rPr>
      </w:pPr>
    </w:p>
    <w:p w14:paraId="5A35EE4F" w14:textId="77777777" w:rsidR="00293788" w:rsidRDefault="00293788" w:rsidP="00DD7E31">
      <w:pPr>
        <w:spacing w:line="276" w:lineRule="auto"/>
        <w:rPr>
          <w:rFonts w:ascii="Times New Roman" w:hAnsi="Times New Roman" w:cs="Times New Roman"/>
        </w:rPr>
      </w:pPr>
    </w:p>
    <w:p w14:paraId="5843BFE5" w14:textId="77777777" w:rsidR="00293788" w:rsidRDefault="00293788" w:rsidP="00DD7E31">
      <w:pPr>
        <w:spacing w:line="276" w:lineRule="auto"/>
        <w:rPr>
          <w:rFonts w:ascii="Times New Roman" w:hAnsi="Times New Roman" w:cs="Times New Roman"/>
        </w:rPr>
      </w:pPr>
    </w:p>
    <w:p w14:paraId="4CEF0447" w14:textId="77777777" w:rsidR="00293788" w:rsidRDefault="00293788" w:rsidP="00DD7E31">
      <w:pPr>
        <w:spacing w:line="276" w:lineRule="auto"/>
        <w:rPr>
          <w:rFonts w:ascii="Times New Roman" w:hAnsi="Times New Roman" w:cs="Times New Roman"/>
        </w:rPr>
      </w:pPr>
    </w:p>
    <w:p w14:paraId="491BC28C" w14:textId="77777777" w:rsidR="00293788" w:rsidRDefault="00293788" w:rsidP="00DD7E31">
      <w:pPr>
        <w:spacing w:line="276" w:lineRule="auto"/>
        <w:rPr>
          <w:rFonts w:ascii="Times New Roman" w:hAnsi="Times New Roman" w:cs="Times New Roman"/>
        </w:rPr>
      </w:pPr>
    </w:p>
    <w:p w14:paraId="21E8B86E" w14:textId="77777777" w:rsidR="00293788" w:rsidRDefault="00293788" w:rsidP="00DD7E31">
      <w:pPr>
        <w:spacing w:line="276" w:lineRule="auto"/>
        <w:rPr>
          <w:rFonts w:ascii="Times New Roman" w:hAnsi="Times New Roman" w:cs="Times New Roman"/>
        </w:rPr>
      </w:pPr>
    </w:p>
    <w:p w14:paraId="0441A2D5" w14:textId="77777777" w:rsidR="00293788" w:rsidRDefault="00293788" w:rsidP="00DD7E31">
      <w:pPr>
        <w:spacing w:line="276" w:lineRule="auto"/>
        <w:rPr>
          <w:rFonts w:ascii="Times New Roman" w:hAnsi="Times New Roman" w:cs="Times New Roman"/>
        </w:rPr>
      </w:pPr>
    </w:p>
    <w:p w14:paraId="45BF66CC" w14:textId="77777777" w:rsidR="00293788" w:rsidRDefault="00293788" w:rsidP="00DD7E31">
      <w:pPr>
        <w:spacing w:line="276" w:lineRule="auto"/>
        <w:rPr>
          <w:rFonts w:ascii="Times New Roman" w:hAnsi="Times New Roman" w:cs="Times New Roman"/>
        </w:rPr>
      </w:pPr>
    </w:p>
    <w:p w14:paraId="3253075B" w14:textId="77777777" w:rsidR="00293788" w:rsidRDefault="00293788" w:rsidP="00DD7E31">
      <w:pPr>
        <w:spacing w:line="276" w:lineRule="auto"/>
        <w:rPr>
          <w:rFonts w:ascii="Times New Roman" w:hAnsi="Times New Roman" w:cs="Times New Roman"/>
        </w:rPr>
      </w:pPr>
    </w:p>
    <w:p w14:paraId="185812E2" w14:textId="77777777" w:rsidR="002F401E" w:rsidRDefault="002F401E" w:rsidP="00DD7E31">
      <w:pPr>
        <w:spacing w:line="276" w:lineRule="auto"/>
        <w:rPr>
          <w:rFonts w:ascii="Times New Roman" w:hAnsi="Times New Roman" w:cs="Times New Roman"/>
        </w:rPr>
      </w:pPr>
    </w:p>
    <w:p w14:paraId="0A1D20B7" w14:textId="630D8299"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Members of the Human Rights Council Advisory Committee,</w:t>
      </w:r>
    </w:p>
    <w:p w14:paraId="1A7CC37B" w14:textId="77777777" w:rsidR="00855F06" w:rsidRPr="006951B6" w:rsidRDefault="00855F06" w:rsidP="00DD7E31">
      <w:pPr>
        <w:spacing w:line="276" w:lineRule="auto"/>
        <w:rPr>
          <w:rFonts w:ascii="Times New Roman" w:hAnsi="Times New Roman" w:cs="Times New Roman"/>
        </w:rPr>
      </w:pPr>
    </w:p>
    <w:p w14:paraId="3F640599" w14:textId="7B767E13"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 xml:space="preserve">The United Nations Committee on the Elimination of Racial Discrimination is commended for its crucial initiative in preparing a General Comment focused on addressing xenophobia and discrimination through the lens of intersectionality. This submission is carried out through an individual capacity as a critical race and legal scholar. The views expressed are those of the author and not any affiliated institution. Several bodies of literature and data-driven studies have informed the purview of this submission and </w:t>
      </w:r>
      <w:r w:rsidR="00743A02">
        <w:rPr>
          <w:rFonts w:ascii="Times New Roman" w:hAnsi="Times New Roman" w:cs="Times New Roman"/>
        </w:rPr>
        <w:t>its</w:t>
      </w:r>
      <w:r w:rsidRPr="006951B6">
        <w:rPr>
          <w:rFonts w:ascii="Times New Roman" w:hAnsi="Times New Roman" w:cs="Times New Roman"/>
        </w:rPr>
        <w:t xml:space="preserve"> belief in the General Comment’s incumbent responsibility to underscore the paramount importance of intersectionality in international law. The intricate web of social identities and the nuanced ways in which individuals experience discrimination demand a reconstitution of existing legal frameworks. Intersectionality</w:t>
      </w:r>
      <w:r w:rsidR="00D5469C">
        <w:rPr>
          <w:rFonts w:ascii="Times New Roman" w:hAnsi="Times New Roman" w:cs="Times New Roman"/>
        </w:rPr>
        <w:t xml:space="preserve"> is thus</w:t>
      </w:r>
      <w:r w:rsidRPr="006951B6">
        <w:rPr>
          <w:rFonts w:ascii="Times New Roman" w:hAnsi="Times New Roman" w:cs="Times New Roman"/>
        </w:rPr>
        <w:t xml:space="preserve"> a critical tool for dismantling systemic inequalities by reconstituting our view of world systems and how power interacts with human identity and rights.</w:t>
      </w:r>
    </w:p>
    <w:p w14:paraId="7B379618" w14:textId="77777777" w:rsidR="00855F06" w:rsidRPr="006951B6" w:rsidRDefault="00855F06" w:rsidP="00DD7E31">
      <w:pPr>
        <w:spacing w:line="276" w:lineRule="auto"/>
        <w:rPr>
          <w:rFonts w:ascii="Times New Roman" w:hAnsi="Times New Roman" w:cs="Times New Roman"/>
        </w:rPr>
      </w:pPr>
    </w:p>
    <w:p w14:paraId="1E861CEB"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 xml:space="preserve">Intersectionality, as envisioned by K. Crenshaw in her seminal 1989 text on </w:t>
      </w:r>
      <w:r w:rsidRPr="006951B6">
        <w:rPr>
          <w:rFonts w:ascii="Times New Roman" w:hAnsi="Times New Roman" w:cs="Times New Roman"/>
          <w:i/>
          <w:iCs/>
        </w:rPr>
        <w:t>Intersectionality, Identity Politics, and Violence against Women of Color</w:t>
      </w:r>
      <w:r w:rsidRPr="006951B6">
        <w:rPr>
          <w:rStyle w:val="FootnoteReference"/>
          <w:rFonts w:ascii="Times New Roman" w:hAnsi="Times New Roman" w:cs="Times New Roman"/>
          <w:i/>
          <w:iCs/>
        </w:rPr>
        <w:footnoteReference w:id="1"/>
      </w:r>
      <w:r w:rsidRPr="006951B6">
        <w:rPr>
          <w:rFonts w:ascii="Times New Roman" w:hAnsi="Times New Roman" w:cs="Times New Roman"/>
        </w:rPr>
        <w:t xml:space="preserve"> explores the intricacies of overlapping or intersecting social identities and the corresponding systems of oppression, dominance, or discrimination.</w:t>
      </w:r>
      <w:r w:rsidRPr="006951B6">
        <w:rPr>
          <w:rStyle w:val="FootnoteReference"/>
          <w:rFonts w:ascii="Times New Roman" w:hAnsi="Times New Roman" w:cs="Times New Roman"/>
        </w:rPr>
        <w:footnoteReference w:id="2"/>
      </w:r>
      <w:r w:rsidRPr="006951B6">
        <w:rPr>
          <w:rFonts w:ascii="Times New Roman" w:hAnsi="Times New Roman" w:cs="Times New Roman"/>
        </w:rPr>
        <w:t xml:space="preserve"> This conceptual framework delves into how our unique identities, in conjunction with the structures of power and institutions, situate individuals at the crossroads of specific vulnerabilities. It recognizes the interwoven nature of social strata, encompassing race, gender, class, and sexuality, and concludes on how these elements interact and converge to mold individual experiences of discrimination and oppression. In essence, intersectionality provides a lens through which the complex interplay of various human identities and characteristics can be understood vis-à-vis the world they exist in</w:t>
      </w:r>
      <w:r w:rsidRPr="006951B6">
        <w:rPr>
          <w:rStyle w:val="FootnoteReference"/>
          <w:rFonts w:ascii="Times New Roman" w:hAnsi="Times New Roman" w:cs="Times New Roman"/>
        </w:rPr>
        <w:footnoteReference w:id="3"/>
      </w:r>
      <w:r w:rsidRPr="006951B6">
        <w:rPr>
          <w:rFonts w:ascii="Times New Roman" w:hAnsi="Times New Roman" w:cs="Times New Roman"/>
        </w:rPr>
        <w:t>, offering a more nuanced perspective on the multifaceted nature of discrimination and the power dynamics at play within societal structures.</w:t>
      </w:r>
    </w:p>
    <w:p w14:paraId="1A102323" w14:textId="77777777" w:rsidR="00855F06" w:rsidRPr="006951B6" w:rsidRDefault="00855F06" w:rsidP="00DD7E31">
      <w:pPr>
        <w:spacing w:line="276" w:lineRule="auto"/>
        <w:rPr>
          <w:rFonts w:ascii="Times New Roman" w:hAnsi="Times New Roman" w:cs="Times New Roman"/>
        </w:rPr>
      </w:pPr>
    </w:p>
    <w:p w14:paraId="7820BF4B" w14:textId="40AE7194"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Xenophobia is a complex phenomenon that encompasses a range of attitudes, prejudices, and behaviors directed towards individuals perceived as outsiders or foreigners within a community, society, or national identity</w:t>
      </w:r>
      <w:r w:rsidRPr="006951B6">
        <w:rPr>
          <w:rStyle w:val="FootnoteReference"/>
          <w:rFonts w:ascii="Times New Roman" w:hAnsi="Times New Roman" w:cs="Times New Roman"/>
        </w:rPr>
        <w:footnoteReference w:id="4"/>
      </w:r>
      <w:r w:rsidRPr="006951B6">
        <w:rPr>
          <w:rFonts w:ascii="Times New Roman" w:hAnsi="Times New Roman" w:cs="Times New Roman"/>
        </w:rPr>
        <w:t xml:space="preserve">. This includes the rejection, exclusion, and vilification of such </w:t>
      </w:r>
      <w:r w:rsidRPr="006951B6">
        <w:rPr>
          <w:rFonts w:ascii="Times New Roman" w:hAnsi="Times New Roman" w:cs="Times New Roman"/>
        </w:rPr>
        <w:lastRenderedPageBreak/>
        <w:t>individuals based on their perceived status</w:t>
      </w:r>
      <w:r w:rsidRPr="006951B6">
        <w:rPr>
          <w:rStyle w:val="FootnoteReference"/>
          <w:rFonts w:ascii="Times New Roman" w:hAnsi="Times New Roman" w:cs="Times New Roman"/>
        </w:rPr>
        <w:footnoteReference w:id="5"/>
      </w:r>
      <w:r w:rsidRPr="006951B6">
        <w:rPr>
          <w:rFonts w:ascii="Times New Roman" w:hAnsi="Times New Roman" w:cs="Times New Roman"/>
        </w:rPr>
        <w:t xml:space="preserve"> as "others." These discriminatory actions are often rooted in </w:t>
      </w:r>
      <w:r w:rsidR="009A609C">
        <w:rPr>
          <w:rFonts w:ascii="Times New Roman" w:hAnsi="Times New Roman" w:cs="Times New Roman"/>
        </w:rPr>
        <w:t>racism</w:t>
      </w:r>
      <w:r w:rsidRPr="006951B6">
        <w:rPr>
          <w:rFonts w:ascii="Times New Roman" w:hAnsi="Times New Roman" w:cs="Times New Roman"/>
        </w:rPr>
        <w:t>, ignorance, and cultural differences, leading to the marginalization and mistreatment of those who are perceived as different.</w:t>
      </w:r>
    </w:p>
    <w:p w14:paraId="1B578853" w14:textId="77777777" w:rsidR="00855F06" w:rsidRPr="006951B6" w:rsidRDefault="00855F06" w:rsidP="00DD7E31">
      <w:pPr>
        <w:spacing w:line="276" w:lineRule="auto"/>
        <w:rPr>
          <w:rFonts w:ascii="Times New Roman" w:hAnsi="Times New Roman" w:cs="Times New Roman"/>
        </w:rPr>
      </w:pPr>
    </w:p>
    <w:p w14:paraId="0815972C"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In the global context, there has been a noticeable increase in xenophobic attitudes and actions, including heightened violence against foreigners and a resurgence of nativist ideologies</w:t>
      </w:r>
      <w:r w:rsidRPr="006951B6">
        <w:rPr>
          <w:rStyle w:val="FootnoteReference"/>
          <w:rFonts w:ascii="Times New Roman" w:hAnsi="Times New Roman" w:cs="Times New Roman"/>
        </w:rPr>
        <w:footnoteReference w:id="6"/>
      </w:r>
      <w:r w:rsidRPr="006951B6">
        <w:rPr>
          <w:rFonts w:ascii="Times New Roman" w:hAnsi="Times New Roman" w:cs="Times New Roman"/>
        </w:rPr>
        <w:t>. This resurgence is often perpetuated through hate speech narratives in media and political discourse, further exacerbating the marginalization and discrimination faced by individuals who are perceived as outsiders. The rise of xenophobia poses significant challenges to the protection and rights of displaced persons and migrants, as they become targets of systemic discrimination and hostility in various host countries.</w:t>
      </w:r>
      <w:r w:rsidRPr="006951B6">
        <w:rPr>
          <w:rStyle w:val="FootnoteReference"/>
          <w:rFonts w:ascii="Times New Roman" w:hAnsi="Times New Roman" w:cs="Times New Roman"/>
        </w:rPr>
        <w:footnoteReference w:id="7"/>
      </w:r>
    </w:p>
    <w:p w14:paraId="3F551D3F" w14:textId="77777777" w:rsidR="00855F06" w:rsidRPr="006951B6" w:rsidRDefault="00855F06" w:rsidP="00DD7E31">
      <w:pPr>
        <w:spacing w:line="276" w:lineRule="auto"/>
        <w:rPr>
          <w:rFonts w:ascii="Times New Roman" w:hAnsi="Times New Roman" w:cs="Times New Roman"/>
        </w:rPr>
      </w:pPr>
    </w:p>
    <w:p w14:paraId="3F4FBE72" w14:textId="7420FCA0"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This submission reckons with both, applying intersectional law to xenophobia and displaced people in the international legal realm.</w:t>
      </w:r>
    </w:p>
    <w:p w14:paraId="7149FCF8" w14:textId="77777777" w:rsidR="00855F06" w:rsidRPr="006951B6" w:rsidRDefault="00855F06" w:rsidP="00DD7E31">
      <w:pPr>
        <w:spacing w:line="276" w:lineRule="auto"/>
        <w:rPr>
          <w:rFonts w:ascii="Times New Roman" w:hAnsi="Times New Roman" w:cs="Times New Roman"/>
        </w:rPr>
      </w:pPr>
    </w:p>
    <w:p w14:paraId="3E7AA2F7" w14:textId="228ED362"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Both the UN Committee on the Elimination of Racial Discrimination (CERD) and the UN Committee on the Protection of the Rights of Migrant Workers and Their Families (CMW) must take heed of the following recommendations to promote intersectional law and principles of non-discrimination namely concerning article 7 of the UN CMW</w:t>
      </w:r>
      <w:r w:rsidR="00917B78" w:rsidRPr="006951B6">
        <w:rPr>
          <w:rStyle w:val="FootnoteReference"/>
          <w:rFonts w:ascii="Times New Roman" w:hAnsi="Times New Roman" w:cs="Times New Roman"/>
        </w:rPr>
        <w:footnoteReference w:id="8"/>
      </w:r>
      <w:r w:rsidRPr="006951B6">
        <w:rPr>
          <w:rFonts w:ascii="Times New Roman" w:hAnsi="Times New Roman" w:cs="Times New Roman"/>
        </w:rPr>
        <w:t>.</w:t>
      </w:r>
    </w:p>
    <w:p w14:paraId="01CAB4BA" w14:textId="77777777" w:rsidR="00855F06" w:rsidRPr="006951B6" w:rsidRDefault="00855F06" w:rsidP="00DD7E31">
      <w:pPr>
        <w:spacing w:line="276" w:lineRule="auto"/>
        <w:rPr>
          <w:rFonts w:ascii="Times New Roman" w:hAnsi="Times New Roman" w:cs="Times New Roman"/>
        </w:rPr>
      </w:pPr>
    </w:p>
    <w:p w14:paraId="5883F2A0" w14:textId="77777777" w:rsidR="00855F06" w:rsidRPr="006951B6" w:rsidRDefault="00855F06" w:rsidP="00DD7E31">
      <w:pPr>
        <w:spacing w:line="276" w:lineRule="auto"/>
        <w:rPr>
          <w:rFonts w:ascii="Times New Roman" w:hAnsi="Times New Roman" w:cs="Times New Roman"/>
          <w:b/>
          <w:bCs/>
        </w:rPr>
      </w:pPr>
      <w:r w:rsidRPr="006951B6">
        <w:rPr>
          <w:rFonts w:ascii="Times New Roman" w:hAnsi="Times New Roman" w:cs="Times New Roman"/>
          <w:b/>
          <w:bCs/>
        </w:rPr>
        <w:t>Incorporate Intersectionality in Legal Frameworks</w:t>
      </w:r>
    </w:p>
    <w:p w14:paraId="58FFC0AA" w14:textId="77777777" w:rsidR="00855F06" w:rsidRPr="006951B6" w:rsidRDefault="00855F06" w:rsidP="00DD7E31">
      <w:pPr>
        <w:spacing w:line="276" w:lineRule="auto"/>
        <w:rPr>
          <w:rFonts w:ascii="Times New Roman" w:hAnsi="Times New Roman" w:cs="Times New Roman"/>
          <w:b/>
          <w:bCs/>
        </w:rPr>
      </w:pPr>
    </w:p>
    <w:p w14:paraId="668F10BF"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Intersectional analysis creates strategic avenues for intervention and resistance of systems of power yet is often obscured by more simplistic, single-axis perspectives.</w:t>
      </w:r>
      <w:r w:rsidRPr="006951B6">
        <w:rPr>
          <w:rStyle w:val="FootnoteReference"/>
          <w:rFonts w:ascii="Times New Roman" w:hAnsi="Times New Roman" w:cs="Times New Roman"/>
        </w:rPr>
        <w:footnoteReference w:id="9"/>
      </w:r>
      <w:r w:rsidRPr="006951B6">
        <w:rPr>
          <w:rFonts w:ascii="Times New Roman" w:hAnsi="Times New Roman" w:cs="Times New Roman"/>
        </w:rPr>
        <w:t xml:space="preserve"> A notable illustration of this is found in intersectional resistance practices, which target the dismantling of legal and administrative structures contributing to racialized and gendered violence. This includes critical areas such as criminal punishment, immigration enforcement, environmental regulations, child welfare, and public benefits.</w:t>
      </w:r>
      <w:r w:rsidRPr="006951B6">
        <w:rPr>
          <w:rStyle w:val="FootnoteReference"/>
          <w:rFonts w:ascii="Times New Roman" w:hAnsi="Times New Roman" w:cs="Times New Roman"/>
        </w:rPr>
        <w:t xml:space="preserve"> </w:t>
      </w:r>
      <w:r w:rsidRPr="006951B6">
        <w:rPr>
          <w:rStyle w:val="FootnoteReference"/>
          <w:rFonts w:ascii="Times New Roman" w:hAnsi="Times New Roman" w:cs="Times New Roman"/>
        </w:rPr>
        <w:footnoteReference w:id="10"/>
      </w:r>
    </w:p>
    <w:p w14:paraId="19826B2C" w14:textId="77777777" w:rsidR="00855F06" w:rsidRPr="006951B6" w:rsidRDefault="00855F06" w:rsidP="00DD7E31">
      <w:pPr>
        <w:spacing w:line="276" w:lineRule="auto"/>
        <w:rPr>
          <w:rFonts w:ascii="Times New Roman" w:hAnsi="Times New Roman" w:cs="Times New Roman"/>
        </w:rPr>
      </w:pPr>
    </w:p>
    <w:p w14:paraId="3B562D28" w14:textId="1C154D0F"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lastRenderedPageBreak/>
        <w:t xml:space="preserve">The core objective of these intersectional resistance practices lies in identifying and addressing the root causes of despair and violence prevalent among </w:t>
      </w:r>
      <w:proofErr w:type="spellStart"/>
      <w:r w:rsidRPr="006951B6">
        <w:rPr>
          <w:rFonts w:ascii="Times New Roman" w:hAnsi="Times New Roman" w:cs="Times New Roman"/>
        </w:rPr>
        <w:t>intersectionally</w:t>
      </w:r>
      <w:proofErr w:type="spellEnd"/>
      <w:r w:rsidRPr="006951B6">
        <w:rPr>
          <w:rFonts w:ascii="Times New Roman" w:hAnsi="Times New Roman" w:cs="Times New Roman"/>
        </w:rPr>
        <w:t xml:space="preserve"> vulnerable populations</w:t>
      </w:r>
      <w:r w:rsidRPr="006951B6">
        <w:rPr>
          <w:rStyle w:val="FootnoteReference"/>
          <w:rFonts w:ascii="Times New Roman" w:hAnsi="Times New Roman" w:cs="Times New Roman"/>
        </w:rPr>
        <w:footnoteReference w:id="11"/>
      </w:r>
      <w:r w:rsidRPr="006951B6">
        <w:rPr>
          <w:rFonts w:ascii="Times New Roman" w:hAnsi="Times New Roman" w:cs="Times New Roman"/>
        </w:rPr>
        <w:t xml:space="preserve"> especially in the context of displacement. Such extends beyond surface-level critiques</w:t>
      </w:r>
      <w:r w:rsidR="00483E20">
        <w:rPr>
          <w:rFonts w:ascii="Times New Roman" w:hAnsi="Times New Roman" w:cs="Times New Roman"/>
        </w:rPr>
        <w:t xml:space="preserve"> of migrant communities</w:t>
      </w:r>
      <w:r w:rsidRPr="006951B6">
        <w:rPr>
          <w:rFonts w:ascii="Times New Roman" w:hAnsi="Times New Roman" w:cs="Times New Roman"/>
        </w:rPr>
        <w:t>, weaponizing political power, and calls for the abolition of foundational functions and institutions inherent in the nation-state paradigm</w:t>
      </w:r>
      <w:r w:rsidRPr="006951B6">
        <w:rPr>
          <w:rStyle w:val="FootnoteReference"/>
          <w:rFonts w:ascii="Times New Roman" w:hAnsi="Times New Roman" w:cs="Times New Roman"/>
        </w:rPr>
        <w:footnoteReference w:id="12"/>
      </w:r>
      <w:r w:rsidRPr="006951B6">
        <w:rPr>
          <w:rFonts w:ascii="Times New Roman" w:hAnsi="Times New Roman" w:cs="Times New Roman"/>
        </w:rPr>
        <w:t>. Notably, this approach emphasizes the importance of intersectional political structures, leadership development, mutual aid, democratic participation, and community-driven solutions. It rejects conventional, top-down methodologies typically imposed by elite figures in the realm of political transformation.</w:t>
      </w:r>
      <w:r w:rsidRPr="006951B6">
        <w:rPr>
          <w:rStyle w:val="FootnoteReference"/>
          <w:rFonts w:ascii="Times New Roman" w:hAnsi="Times New Roman" w:cs="Times New Roman"/>
        </w:rPr>
        <w:footnoteReference w:id="13"/>
      </w:r>
      <w:r w:rsidRPr="006951B6">
        <w:rPr>
          <w:rFonts w:ascii="Times New Roman" w:hAnsi="Times New Roman" w:cs="Times New Roman"/>
        </w:rPr>
        <w:t xml:space="preserve"> Instead, it underscores a commitment to fostering meaningful change at the grassroots level and acknowledging the agency and insights of affected communities.</w:t>
      </w:r>
    </w:p>
    <w:p w14:paraId="740F3DE1" w14:textId="77777777" w:rsidR="00855F06" w:rsidRPr="006951B6" w:rsidRDefault="00855F06" w:rsidP="00DD7E31">
      <w:pPr>
        <w:spacing w:line="276" w:lineRule="auto"/>
        <w:rPr>
          <w:rFonts w:ascii="Times New Roman" w:hAnsi="Times New Roman" w:cs="Times New Roman"/>
        </w:rPr>
      </w:pPr>
    </w:p>
    <w:p w14:paraId="07C5E597"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The significance of applying intersectional law across all human rights bodies is crucial in international scholarship. Failure to acknowledge the intersecting nature of social identities</w:t>
      </w:r>
      <w:r w:rsidRPr="006951B6">
        <w:rPr>
          <w:rStyle w:val="FootnoteReference"/>
          <w:rFonts w:ascii="Times New Roman" w:hAnsi="Times New Roman" w:cs="Times New Roman"/>
        </w:rPr>
        <w:footnoteReference w:id="14"/>
      </w:r>
      <w:r w:rsidRPr="006951B6">
        <w:rPr>
          <w:rFonts w:ascii="Times New Roman" w:hAnsi="Times New Roman" w:cs="Times New Roman"/>
        </w:rPr>
        <w:t xml:space="preserve"> and systems of oppression leaves international law ill-equipped to comprehend the intricate modalities of discrimination and disadvantage experienced by various groups</w:t>
      </w:r>
      <w:r w:rsidRPr="006951B6">
        <w:rPr>
          <w:rStyle w:val="FootnoteReference"/>
          <w:rFonts w:ascii="Times New Roman" w:hAnsi="Times New Roman" w:cs="Times New Roman"/>
        </w:rPr>
        <w:footnoteReference w:id="15"/>
      </w:r>
      <w:r w:rsidRPr="006951B6">
        <w:rPr>
          <w:rFonts w:ascii="Times New Roman" w:hAnsi="Times New Roman" w:cs="Times New Roman"/>
        </w:rPr>
        <w:t xml:space="preserve">. </w:t>
      </w:r>
      <w:proofErr w:type="gramStart"/>
      <w:r w:rsidRPr="006951B6">
        <w:rPr>
          <w:rFonts w:ascii="Times New Roman" w:hAnsi="Times New Roman" w:cs="Times New Roman"/>
        </w:rPr>
        <w:t>Without adopting an intersectional perspective, there</w:t>
      </w:r>
      <w:proofErr w:type="gramEnd"/>
      <w:r w:rsidRPr="006951B6">
        <w:rPr>
          <w:rFonts w:ascii="Times New Roman" w:hAnsi="Times New Roman" w:cs="Times New Roman"/>
        </w:rPr>
        <w:t xml:space="preserve"> is a risk that international law will inadvertently sustain prevailing power imbalances and perpetuate inequalities. It is imperative to acknowledge and incorporate intersectionality into the bedrock of international law, fostering a more encompassing and inclusive framework that genuinely confronts the diverse experiences of discrimination</w:t>
      </w:r>
      <w:r w:rsidRPr="006951B6">
        <w:rPr>
          <w:rStyle w:val="FootnoteReference"/>
          <w:rFonts w:ascii="Times New Roman" w:hAnsi="Times New Roman" w:cs="Times New Roman"/>
        </w:rPr>
        <w:footnoteReference w:id="16"/>
      </w:r>
      <w:r w:rsidRPr="006951B6">
        <w:rPr>
          <w:rFonts w:ascii="Times New Roman" w:hAnsi="Times New Roman" w:cs="Times New Roman"/>
        </w:rPr>
        <w:t xml:space="preserve"> and advocates for justice for every individual, irrespective of their intersecting identities.</w:t>
      </w:r>
    </w:p>
    <w:p w14:paraId="4E058747" w14:textId="77777777" w:rsidR="00855F06" w:rsidRPr="006951B6" w:rsidRDefault="00855F06" w:rsidP="00DD7E31">
      <w:pPr>
        <w:spacing w:line="276" w:lineRule="auto"/>
        <w:rPr>
          <w:rFonts w:ascii="Times New Roman" w:hAnsi="Times New Roman" w:cs="Times New Roman"/>
        </w:rPr>
      </w:pPr>
    </w:p>
    <w:p w14:paraId="45239C30"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Exploring the history of intersectional identities at the margins of power reveals critical insights into their place in international law. On July 18, 1982, in Plan de Sánchez, Guatemala, the Guatemalan Army and civilian collaborators massacred 268 indigenous Mayan people, the majority being women and children. Violations of the American Convention on Human Rights by the State included denial of justice, intimidation, and discrimination against survivors and victims' families. The case underscored impunity for the massacre, purportedly part of a genocidal policy targeting the Mayan population. However, the Inter-American Convention on Human Rights fails to address the intersection between indigeneity and womanhood in this context. The case rarely mentions violence against women or instrumentalizes it as a means of legal analysis, revealing the limitations of single-axis lenses in achieving justice.</w:t>
      </w:r>
    </w:p>
    <w:p w14:paraId="022BBEC6" w14:textId="77777777" w:rsidR="00855F06" w:rsidRPr="006951B6" w:rsidRDefault="00855F06" w:rsidP="00DD7E31">
      <w:pPr>
        <w:spacing w:line="276" w:lineRule="auto"/>
        <w:rPr>
          <w:rFonts w:ascii="Times New Roman" w:hAnsi="Times New Roman" w:cs="Times New Roman"/>
        </w:rPr>
      </w:pPr>
    </w:p>
    <w:p w14:paraId="63426388"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lastRenderedPageBreak/>
        <w:t>The violence inflicted upon Mayan women was not solely due to their indigeneity or gender; rather, it was used as a tool of warfare based on their identities as Mayan women. This illuminates the historical use of sexual warfare to instill fear, assert dominance, and destroy the social fabric of affected communities. Such reprehensible tactics not only cause physical and psychological harm to individual women but perpetuate cycles of trauma, gender inequality, and undermine efforts for peace and reconciliation.</w:t>
      </w:r>
    </w:p>
    <w:p w14:paraId="04F13BB1" w14:textId="77777777" w:rsidR="00855F06" w:rsidRPr="006951B6" w:rsidRDefault="00855F06" w:rsidP="00DD7E31">
      <w:pPr>
        <w:spacing w:line="276" w:lineRule="auto"/>
        <w:rPr>
          <w:rFonts w:ascii="Times New Roman" w:hAnsi="Times New Roman" w:cs="Times New Roman"/>
        </w:rPr>
      </w:pPr>
    </w:p>
    <w:p w14:paraId="358BB344"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 xml:space="preserve">In the delicate context of colonial and settler hegemonies, the intersectional identities of indigenous womanhood exacerbate the existing system of oppression, especially concerning race and reproduction. Despite the Inter-American Convention on Human Rights favoring the ethnic Achi Maya, the lack of confrontation of sexual exploitation and abuse as a war crime is harrowing. Understanding the gravity of sexual violence against indigenous women requires acknowledging the historical context of settler colonialism and the deliberate sexual torture of women in war. The imposition of settlers on indigenous lands involved not only physical displacement but also a systematic assault on indigenous cultures, identities, and autonomy. Sexual violence served as a tool of conquest, asserting settler </w:t>
      </w:r>
      <w:proofErr w:type="gramStart"/>
      <w:r w:rsidRPr="006951B6">
        <w:rPr>
          <w:rFonts w:ascii="Times New Roman" w:hAnsi="Times New Roman" w:cs="Times New Roman"/>
        </w:rPr>
        <w:t>dominance</w:t>
      </w:r>
      <w:proofErr w:type="gramEnd"/>
      <w:r w:rsidRPr="006951B6">
        <w:rPr>
          <w:rFonts w:ascii="Times New Roman" w:hAnsi="Times New Roman" w:cs="Times New Roman"/>
        </w:rPr>
        <w:t xml:space="preserve"> and eroding the social fabric of indigenous communities. Recognizing this historical foundation provides insights into the ongoing repercussions experienced by indigenous women today. Scholar Libby Tata </w:t>
      </w:r>
      <w:proofErr w:type="spellStart"/>
      <w:r w:rsidRPr="006951B6">
        <w:rPr>
          <w:rFonts w:ascii="Times New Roman" w:hAnsi="Times New Roman" w:cs="Times New Roman"/>
        </w:rPr>
        <w:t>Arcel</w:t>
      </w:r>
      <w:proofErr w:type="spellEnd"/>
      <w:r w:rsidRPr="006951B6">
        <w:rPr>
          <w:rFonts w:ascii="Times New Roman" w:hAnsi="Times New Roman" w:cs="Times New Roman"/>
        </w:rPr>
        <w:t xml:space="preserve"> argues that the sexual abuse of women reinforces the genocidal mission and nationalism underlying heinous acts of sexual violence</w:t>
      </w:r>
      <w:r w:rsidRPr="006951B6">
        <w:rPr>
          <w:rStyle w:val="FootnoteReference"/>
          <w:rFonts w:ascii="Times New Roman" w:hAnsi="Times New Roman" w:cs="Times New Roman"/>
        </w:rPr>
        <w:footnoteReference w:id="17"/>
      </w:r>
      <w:r w:rsidRPr="006951B6">
        <w:rPr>
          <w:rFonts w:ascii="Times New Roman" w:hAnsi="Times New Roman" w:cs="Times New Roman"/>
        </w:rPr>
        <w:t>.</w:t>
      </w:r>
    </w:p>
    <w:p w14:paraId="4B6919DC" w14:textId="77777777" w:rsidR="00855F06" w:rsidRPr="006951B6" w:rsidRDefault="00855F06" w:rsidP="00DD7E31">
      <w:pPr>
        <w:spacing w:line="276" w:lineRule="auto"/>
        <w:rPr>
          <w:rFonts w:ascii="Times New Roman" w:hAnsi="Times New Roman" w:cs="Times New Roman"/>
        </w:rPr>
      </w:pPr>
    </w:p>
    <w:p w14:paraId="1A11E4D1" w14:textId="77777777" w:rsidR="00855F06" w:rsidRPr="006951B6" w:rsidRDefault="00855F06" w:rsidP="00DD7E31">
      <w:pPr>
        <w:spacing w:line="276" w:lineRule="auto"/>
        <w:rPr>
          <w:rFonts w:ascii="Times New Roman" w:hAnsi="Times New Roman" w:cs="Times New Roman"/>
        </w:rPr>
      </w:pPr>
    </w:p>
    <w:p w14:paraId="3B83DBE0" w14:textId="77777777" w:rsidR="00855F06" w:rsidRPr="006951B6" w:rsidRDefault="00855F06" w:rsidP="00DD7E31">
      <w:pPr>
        <w:spacing w:line="276" w:lineRule="auto"/>
        <w:rPr>
          <w:rFonts w:ascii="Times New Roman" w:hAnsi="Times New Roman" w:cs="Times New Roman"/>
          <w:b/>
          <w:bCs/>
        </w:rPr>
      </w:pPr>
      <w:r w:rsidRPr="006951B6">
        <w:rPr>
          <w:rFonts w:ascii="Times New Roman" w:hAnsi="Times New Roman" w:cs="Times New Roman"/>
          <w:b/>
          <w:bCs/>
        </w:rPr>
        <w:t>Xenophobia and the Discrimination Principle</w:t>
      </w:r>
    </w:p>
    <w:p w14:paraId="4C96F1D2" w14:textId="77777777" w:rsidR="00855F06" w:rsidRPr="006951B6" w:rsidRDefault="00855F06" w:rsidP="00DD7E31">
      <w:pPr>
        <w:spacing w:line="276" w:lineRule="auto"/>
        <w:rPr>
          <w:rFonts w:ascii="Times New Roman" w:hAnsi="Times New Roman" w:cs="Times New Roman"/>
        </w:rPr>
      </w:pPr>
    </w:p>
    <w:p w14:paraId="55C7F023"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 xml:space="preserve">Within the realm of international law, the proclivity for </w:t>
      </w:r>
      <w:proofErr w:type="gramStart"/>
      <w:r w:rsidRPr="006951B6">
        <w:rPr>
          <w:rFonts w:ascii="Times New Roman" w:hAnsi="Times New Roman" w:cs="Times New Roman"/>
        </w:rPr>
        <w:t>single-axis</w:t>
      </w:r>
      <w:proofErr w:type="gramEnd"/>
      <w:r w:rsidRPr="006951B6">
        <w:rPr>
          <w:rFonts w:ascii="Times New Roman" w:hAnsi="Times New Roman" w:cs="Times New Roman"/>
        </w:rPr>
        <w:t xml:space="preserve"> approaches often shrouds the narratives of women of color in untold complexities. Legislation designed to remedy racial or gendered oppression inadvertently cast subjects as universally male</w:t>
      </w:r>
      <w:r w:rsidRPr="006951B6">
        <w:rPr>
          <w:rStyle w:val="FootnoteReference"/>
          <w:rFonts w:ascii="Times New Roman" w:hAnsi="Times New Roman" w:cs="Times New Roman"/>
        </w:rPr>
        <w:footnoteReference w:id="18"/>
      </w:r>
      <w:r w:rsidRPr="006951B6">
        <w:rPr>
          <w:rFonts w:ascii="Times New Roman" w:hAnsi="Times New Roman" w:cs="Times New Roman"/>
        </w:rPr>
        <w:t xml:space="preserve"> in antiracist analysis or universally white in feminist analysis. Yet, the crux lies in the transformative potential of intersectional analysis, which not only questions the very essence of the global state and international law agenda but also unearths population-level state violence concealed beneath the veneer of individual discrimination</w:t>
      </w:r>
      <w:r w:rsidRPr="006951B6">
        <w:rPr>
          <w:rStyle w:val="FootnoteReference"/>
          <w:rFonts w:ascii="Times New Roman" w:hAnsi="Times New Roman" w:cs="Times New Roman"/>
        </w:rPr>
        <w:footnoteReference w:id="19"/>
      </w:r>
      <w:r w:rsidRPr="006951B6">
        <w:rPr>
          <w:rFonts w:ascii="Times New Roman" w:hAnsi="Times New Roman" w:cs="Times New Roman"/>
        </w:rPr>
        <w:t>.</w:t>
      </w:r>
    </w:p>
    <w:p w14:paraId="7254494D" w14:textId="77777777" w:rsidR="00855F06" w:rsidRPr="006951B6" w:rsidRDefault="00855F06" w:rsidP="00DD7E31">
      <w:pPr>
        <w:spacing w:line="276" w:lineRule="auto"/>
        <w:rPr>
          <w:rFonts w:ascii="Times New Roman" w:hAnsi="Times New Roman" w:cs="Times New Roman"/>
        </w:rPr>
      </w:pPr>
    </w:p>
    <w:p w14:paraId="268CFFF7"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 xml:space="preserve">Intersectional law practices emerge as beacons of change, strategically targeting legal and administrative bastions like criminal punishment, immigration enforcement, environmental </w:t>
      </w:r>
      <w:r w:rsidRPr="006951B6">
        <w:rPr>
          <w:rFonts w:ascii="Times New Roman" w:hAnsi="Times New Roman" w:cs="Times New Roman"/>
        </w:rPr>
        <w:lastRenderedPageBreak/>
        <w:t>regulations, child welfare, and public benefits. Delving beyond surface-level discrimination, these practices unearth the root causes of despair, demanding the abolition of institutions deeply entrenched in the nation-state paradigm</w:t>
      </w:r>
      <w:r w:rsidRPr="006951B6">
        <w:rPr>
          <w:rStyle w:val="FootnoteReference"/>
          <w:rFonts w:ascii="Times New Roman" w:hAnsi="Times New Roman" w:cs="Times New Roman"/>
        </w:rPr>
        <w:footnoteReference w:id="20"/>
      </w:r>
      <w:r w:rsidRPr="006951B6">
        <w:rPr>
          <w:rFonts w:ascii="Times New Roman" w:hAnsi="Times New Roman" w:cs="Times New Roman"/>
        </w:rPr>
        <w:t>.</w:t>
      </w:r>
    </w:p>
    <w:p w14:paraId="0A447D47" w14:textId="77777777" w:rsidR="00855F06" w:rsidRPr="006951B6" w:rsidRDefault="00855F06" w:rsidP="00DD7E31">
      <w:pPr>
        <w:spacing w:line="276" w:lineRule="auto"/>
        <w:rPr>
          <w:rFonts w:ascii="Times New Roman" w:hAnsi="Times New Roman" w:cs="Times New Roman"/>
        </w:rPr>
      </w:pPr>
    </w:p>
    <w:p w14:paraId="0086B868" w14:textId="068B93A1"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 xml:space="preserve">The complex narratives of deservingness or </w:t>
      </w:r>
      <w:proofErr w:type="spellStart"/>
      <w:r w:rsidRPr="006951B6">
        <w:rPr>
          <w:rFonts w:ascii="Times New Roman" w:hAnsi="Times New Roman" w:cs="Times New Roman"/>
        </w:rPr>
        <w:t>undeservingness</w:t>
      </w:r>
      <w:proofErr w:type="spellEnd"/>
      <w:r w:rsidRPr="006951B6">
        <w:rPr>
          <w:rStyle w:val="FootnoteReference"/>
          <w:rFonts w:ascii="Times New Roman" w:hAnsi="Times New Roman" w:cs="Times New Roman"/>
        </w:rPr>
        <w:footnoteReference w:id="21"/>
      </w:r>
      <w:r w:rsidRPr="006951B6">
        <w:rPr>
          <w:rFonts w:ascii="Times New Roman" w:hAnsi="Times New Roman" w:cs="Times New Roman"/>
        </w:rPr>
        <w:t xml:space="preserve">, particularly in the context of migration, wield insidious power. By foisting this </w:t>
      </w:r>
      <w:r w:rsidR="00CA42B0">
        <w:rPr>
          <w:rFonts w:ascii="Times New Roman" w:hAnsi="Times New Roman" w:cs="Times New Roman"/>
        </w:rPr>
        <w:t>dichotomized status</w:t>
      </w:r>
      <w:r w:rsidRPr="006951B6">
        <w:rPr>
          <w:rFonts w:ascii="Times New Roman" w:hAnsi="Times New Roman" w:cs="Times New Roman"/>
        </w:rPr>
        <w:t xml:space="preserve"> on 'othered' individuals existing in state-oppressive systems, these narratives weaponize individuals against communities, inflicting political, economic, and social damage.</w:t>
      </w:r>
      <w:r w:rsidRPr="006951B6">
        <w:rPr>
          <w:rStyle w:val="FootnoteReference"/>
          <w:rFonts w:ascii="Times New Roman" w:hAnsi="Times New Roman" w:cs="Times New Roman"/>
        </w:rPr>
        <w:footnoteReference w:id="22"/>
      </w:r>
      <w:r w:rsidRPr="006951B6">
        <w:rPr>
          <w:rFonts w:ascii="Times New Roman" w:hAnsi="Times New Roman" w:cs="Times New Roman"/>
        </w:rPr>
        <w:t xml:space="preserve"> Hierarchies based on deservingness, entangled with factors like sexuality, gender, race, ethnicity, and disability, become instruments of perpetuating oppression. In essence, this system actively seeks out individuals who can unwittingly perpetuate the status quo, sidelining those who challenge or reform it. Legal reforms, if not scrutinized critically, risk amplifying violent systems by using rhetoric purportedly aimed at saving women but</w:t>
      </w:r>
      <w:proofErr w:type="gramStart"/>
      <w:r w:rsidRPr="006951B6">
        <w:rPr>
          <w:rFonts w:ascii="Times New Roman" w:hAnsi="Times New Roman" w:cs="Times New Roman"/>
        </w:rPr>
        <w:t>, in reality, reinforcing</w:t>
      </w:r>
      <w:proofErr w:type="gramEnd"/>
      <w:r w:rsidRPr="006951B6">
        <w:rPr>
          <w:rFonts w:ascii="Times New Roman" w:hAnsi="Times New Roman" w:cs="Times New Roman"/>
        </w:rPr>
        <w:t xml:space="preserve"> racial, ableist, antipoor, and colonial relations. This analysis unearths the intricate layers of oppression, emphasizing the urgent need for a nuanced, intersectional approach in legal frameworks to avoid unwittingly perpetuating systemic violence.</w:t>
      </w:r>
    </w:p>
    <w:p w14:paraId="4B5D1651" w14:textId="77777777" w:rsidR="00855F06" w:rsidRPr="006951B6" w:rsidRDefault="00855F06" w:rsidP="00DD7E31">
      <w:pPr>
        <w:spacing w:line="276" w:lineRule="auto"/>
        <w:rPr>
          <w:rFonts w:ascii="Times New Roman" w:hAnsi="Times New Roman" w:cs="Times New Roman"/>
        </w:rPr>
      </w:pPr>
    </w:p>
    <w:p w14:paraId="4D2E0588"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Abolish Systems Perpetuating Racialized-Gendered Violence</w:t>
      </w:r>
    </w:p>
    <w:p w14:paraId="79970B1E" w14:textId="77777777" w:rsidR="00855F06" w:rsidRPr="006951B6" w:rsidRDefault="00855F06" w:rsidP="00DD7E31">
      <w:pPr>
        <w:spacing w:line="276" w:lineRule="auto"/>
        <w:rPr>
          <w:rFonts w:ascii="Times New Roman" w:hAnsi="Times New Roman" w:cs="Times New Roman"/>
        </w:rPr>
      </w:pPr>
    </w:p>
    <w:p w14:paraId="32928080"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Neglecting to consider intersectionality in evaluating the harm experienced by women in the aftermath of atrocities may lead to inadequate reparative measures. Therefore, the formulation and execution of both non-pecuniary and pecuniary reparations must be attuned to the distinct challenges confronted by survivors especially in displaced populations</w:t>
      </w:r>
      <w:r w:rsidRPr="006951B6">
        <w:rPr>
          <w:rStyle w:val="FootnoteReference"/>
          <w:rFonts w:ascii="Times New Roman" w:hAnsi="Times New Roman" w:cs="Times New Roman"/>
        </w:rPr>
        <w:footnoteReference w:id="23"/>
      </w:r>
      <w:r w:rsidRPr="006951B6">
        <w:rPr>
          <w:rFonts w:ascii="Times New Roman" w:hAnsi="Times New Roman" w:cs="Times New Roman"/>
        </w:rPr>
        <w:t>. This approach ensures a comprehensive and equitable response that effectively addresses the specific manifestations of discrimination, adversity, and trauma faced by racialized and displaced women within the broader framework of systemic oppression and marginalization.</w:t>
      </w:r>
      <w:r w:rsidRPr="006951B6">
        <w:rPr>
          <w:rStyle w:val="FootnoteReference"/>
          <w:rFonts w:ascii="Times New Roman" w:hAnsi="Times New Roman" w:cs="Times New Roman"/>
        </w:rPr>
        <w:footnoteReference w:id="24"/>
      </w:r>
    </w:p>
    <w:p w14:paraId="3958790E" w14:textId="77777777" w:rsidR="00855F06" w:rsidRPr="006951B6" w:rsidRDefault="00855F06" w:rsidP="00DD7E31">
      <w:pPr>
        <w:spacing w:line="276" w:lineRule="auto"/>
        <w:rPr>
          <w:rFonts w:ascii="Times New Roman" w:hAnsi="Times New Roman" w:cs="Times New Roman"/>
        </w:rPr>
      </w:pPr>
    </w:p>
    <w:p w14:paraId="1228DDAA"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An insightful examination delves into the impact of classification systems on international justice structures. International law fundamentally relies on these systems to acknowledge and deal with the diverse spectrum of individuals and groups in society</w:t>
      </w:r>
      <w:r w:rsidRPr="006951B6">
        <w:rPr>
          <w:rStyle w:val="FootnoteReference"/>
          <w:rFonts w:ascii="Times New Roman" w:hAnsi="Times New Roman" w:cs="Times New Roman"/>
        </w:rPr>
        <w:footnoteReference w:id="25"/>
      </w:r>
      <w:r w:rsidRPr="006951B6">
        <w:rPr>
          <w:rFonts w:ascii="Times New Roman" w:hAnsi="Times New Roman" w:cs="Times New Roman"/>
        </w:rPr>
        <w:t xml:space="preserve">. These classifications provide a foundation for identifying and comprehending the unique needs, vulnerabilities, and rights of different segments of the population. Recognizing categories such as age, gender, disability, race, ethnicity, nationality, religion, and political opinion, international law establishes a framework </w:t>
      </w:r>
      <w:r w:rsidRPr="006951B6">
        <w:rPr>
          <w:rFonts w:ascii="Times New Roman" w:hAnsi="Times New Roman" w:cs="Times New Roman"/>
        </w:rPr>
        <w:lastRenderedPageBreak/>
        <w:t>for tailoring legal safeguards and addressing specific forms of discrimination or violations encountered by these groups. For instance, the United Nations Convention on the Rights of the Child focuses on safeguarding children's rights, the Convention on the Elimination of All Forms of Discrimination against Women aims to ensure gender equality, and The Rome Statute provides the legal basis for the International Criminal Court to prosecute individuals accused of committing international crimes. These international legal doctrines rely on taxonomies of human identity as pathways to pursuing justice for vulnerable groups within our society.</w:t>
      </w:r>
    </w:p>
    <w:p w14:paraId="44CC727D" w14:textId="77777777" w:rsidR="00855F06" w:rsidRPr="006951B6" w:rsidRDefault="00855F06" w:rsidP="00DD7E31">
      <w:pPr>
        <w:spacing w:line="276" w:lineRule="auto"/>
        <w:rPr>
          <w:rFonts w:ascii="Times New Roman" w:hAnsi="Times New Roman" w:cs="Times New Roman"/>
        </w:rPr>
      </w:pPr>
    </w:p>
    <w:p w14:paraId="7250F3EF" w14:textId="79D5C7F2"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 xml:space="preserve">However, when individuals are compelled to conform to socially or legally defined taxonomies based on characteristics, values, and actions, seeking justice becomes inherently challenging for those lying at or outside certain margins. This approach misunderstands the </w:t>
      </w:r>
      <w:proofErr w:type="spellStart"/>
      <w:r w:rsidRPr="006951B6">
        <w:rPr>
          <w:rFonts w:ascii="Times New Roman" w:hAnsi="Times New Roman" w:cs="Times New Roman"/>
        </w:rPr>
        <w:t>reconstitutive</w:t>
      </w:r>
      <w:proofErr w:type="spellEnd"/>
      <w:r w:rsidRPr="006951B6">
        <w:rPr>
          <w:rFonts w:ascii="Times New Roman" w:hAnsi="Times New Roman" w:cs="Times New Roman"/>
        </w:rPr>
        <w:t xml:space="preserve"> nature of intersectional lenses, replacing it with an additive one. In this additive perspective, individuals affected by crimes are viewed as either/or, a complexity identified by scholars such as Leslie McCall. More specifically, it highlights the partiality to </w:t>
      </w:r>
      <w:r w:rsidR="00CA42B0">
        <w:rPr>
          <w:rFonts w:ascii="Times New Roman" w:hAnsi="Times New Roman" w:cs="Times New Roman"/>
        </w:rPr>
        <w:t>‘</w:t>
      </w:r>
      <w:r w:rsidRPr="006951B6">
        <w:rPr>
          <w:rFonts w:ascii="Times New Roman" w:hAnsi="Times New Roman" w:cs="Times New Roman"/>
        </w:rPr>
        <w:t>intra</w:t>
      </w:r>
      <w:r w:rsidR="00CA42B0">
        <w:rPr>
          <w:rFonts w:ascii="Times New Roman" w:hAnsi="Times New Roman" w:cs="Times New Roman"/>
        </w:rPr>
        <w:t>-</w:t>
      </w:r>
      <w:r w:rsidRPr="006951B6">
        <w:rPr>
          <w:rFonts w:ascii="Times New Roman" w:hAnsi="Times New Roman" w:cs="Times New Roman"/>
        </w:rPr>
        <w:t>categorical</w:t>
      </w:r>
      <w:r w:rsidR="00CA42B0">
        <w:rPr>
          <w:rFonts w:ascii="Times New Roman" w:hAnsi="Times New Roman" w:cs="Times New Roman"/>
        </w:rPr>
        <w:t>’</w:t>
      </w:r>
      <w:r w:rsidRPr="006951B6">
        <w:rPr>
          <w:rFonts w:ascii="Times New Roman" w:hAnsi="Times New Roman" w:cs="Times New Roman"/>
        </w:rPr>
        <w:t xml:space="preserve"> complexity, revealing the diverse forms of intersectional identities that constitute humanity.</w:t>
      </w:r>
    </w:p>
    <w:p w14:paraId="26AAFF74" w14:textId="77777777" w:rsidR="00855F06" w:rsidRPr="006951B6" w:rsidRDefault="00855F06" w:rsidP="00DD7E31">
      <w:pPr>
        <w:spacing w:line="276" w:lineRule="auto"/>
        <w:rPr>
          <w:rFonts w:ascii="Times New Roman" w:hAnsi="Times New Roman" w:cs="Times New Roman"/>
        </w:rPr>
      </w:pPr>
    </w:p>
    <w:p w14:paraId="0916C0B6"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Overall, policy surrounding xenophobia must remedy the denialist approaches of welcoming nations</w:t>
      </w:r>
      <w:r w:rsidRPr="006951B6">
        <w:rPr>
          <w:rStyle w:val="FootnoteReference"/>
          <w:rFonts w:ascii="Times New Roman" w:hAnsi="Times New Roman" w:cs="Times New Roman"/>
        </w:rPr>
        <w:footnoteReference w:id="26"/>
      </w:r>
      <w:r w:rsidRPr="006951B6">
        <w:rPr>
          <w:rFonts w:ascii="Times New Roman" w:hAnsi="Times New Roman" w:cs="Times New Roman"/>
        </w:rPr>
        <w:t xml:space="preserve"> and their tendency to deny or downplay the existence and severity of xenophobia</w:t>
      </w:r>
      <w:r w:rsidRPr="006951B6">
        <w:rPr>
          <w:rStyle w:val="FootnoteReference"/>
          <w:rFonts w:ascii="Times New Roman" w:hAnsi="Times New Roman" w:cs="Times New Roman"/>
        </w:rPr>
        <w:footnoteReference w:id="27"/>
      </w:r>
      <w:r w:rsidRPr="006951B6">
        <w:rPr>
          <w:rFonts w:ascii="Times New Roman" w:hAnsi="Times New Roman" w:cs="Times New Roman"/>
        </w:rPr>
        <w:t xml:space="preserve"> and its intersections with gender, sexuality, class, and other immutable characteristics. When examining xenophobia in nations like South Africa, scholars like Dodson (2010) through examination of national polling uncover the ways in which xenophobic behavior cuts across </w:t>
      </w:r>
      <w:r w:rsidRPr="006951B6">
        <w:rPr>
          <w:rStyle w:val="rpv-coretext-layer-text"/>
          <w:rFonts w:ascii="Times New Roman" w:hAnsi="Times New Roman" w:cs="Times New Roman"/>
        </w:rPr>
        <w:t>race, class, and gender.</w:t>
      </w:r>
      <w:r w:rsidRPr="006951B6">
        <w:rPr>
          <w:rStyle w:val="FootnoteReference"/>
          <w:rFonts w:ascii="Times New Roman" w:hAnsi="Times New Roman" w:cs="Times New Roman"/>
        </w:rPr>
        <w:footnoteReference w:id="28"/>
      </w:r>
      <w:r w:rsidRPr="006951B6">
        <w:rPr>
          <w:rStyle w:val="rpv-coretext-layer-text"/>
          <w:rFonts w:ascii="Times New Roman" w:hAnsi="Times New Roman" w:cs="Times New Roman"/>
        </w:rPr>
        <w:t xml:space="preserve"> Furthermore, if we examine the power of xenophobia in European nations such as France, Italy, or Norway</w:t>
      </w:r>
      <w:r w:rsidRPr="006951B6">
        <w:rPr>
          <w:rStyle w:val="FootnoteReference"/>
          <w:rFonts w:ascii="Times New Roman" w:hAnsi="Times New Roman" w:cs="Times New Roman"/>
        </w:rPr>
        <w:footnoteReference w:id="29"/>
      </w:r>
      <w:r w:rsidRPr="006951B6">
        <w:rPr>
          <w:rStyle w:val="rpv-coretext-layer-text"/>
          <w:rFonts w:ascii="Times New Roman" w:hAnsi="Times New Roman" w:cs="Times New Roman"/>
        </w:rPr>
        <w:t xml:space="preserve">, we see a failure of policy to address xenophobia, racism, and sexism as systemic failures and rather domination sociopolitical approaches see the oppression of displaced persons as </w:t>
      </w:r>
      <w:r w:rsidRPr="006951B6">
        <w:rPr>
          <w:rFonts w:ascii="Times New Roman" w:hAnsi="Times New Roman" w:cs="Times New Roman"/>
        </w:rPr>
        <w:t>isolated incidents caused by individual actions. It individualizes and depoliticizes racist harm by concentrating on discrete actions and requiring evidence of intent. In effect, the legal system inadvertently perpetuates white supremacy by neglecting to confront the systemic and structural faces of racism. This viewpoint aligns with the overarching criticism present in intersectionality literature, advocating for a more sophisticated comprehension of discrimination that incorporates the intersections of diverse social identities and recognizes the ramifications of systemic power dynamics.</w:t>
      </w:r>
    </w:p>
    <w:p w14:paraId="48EBC91A" w14:textId="77777777" w:rsidR="00855F06" w:rsidRPr="006951B6" w:rsidRDefault="00855F06" w:rsidP="00DD7E31">
      <w:pPr>
        <w:spacing w:line="276" w:lineRule="auto"/>
        <w:rPr>
          <w:rFonts w:ascii="Times New Roman" w:hAnsi="Times New Roman" w:cs="Times New Roman"/>
        </w:rPr>
      </w:pPr>
    </w:p>
    <w:p w14:paraId="188ED31F"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lastRenderedPageBreak/>
        <w:t>Our solution is that State Parties must be legally bound to the objectives of intersectional international law. Several State Parties to the UN CERD and CMW have single-dimensional</w:t>
      </w:r>
      <w:r w:rsidRPr="006951B6">
        <w:rPr>
          <w:rStyle w:val="FootnoteReference"/>
          <w:rFonts w:ascii="Times New Roman" w:hAnsi="Times New Roman" w:cs="Times New Roman"/>
        </w:rPr>
        <w:footnoteReference w:id="30"/>
      </w:r>
      <w:r w:rsidRPr="006951B6">
        <w:rPr>
          <w:rFonts w:ascii="Times New Roman" w:hAnsi="Times New Roman" w:cs="Times New Roman"/>
        </w:rPr>
        <w:t xml:space="preserve"> equality and discrimination acts that deal either with gender, race and ethnicity or disability. Dismantling how traditional analyses of public policy and decision-making shift the focus from what is stake regarding discrimination and rather who is stake and in what sense</w:t>
      </w:r>
      <w:r w:rsidRPr="006951B6">
        <w:rPr>
          <w:rStyle w:val="FootnoteReference"/>
          <w:rFonts w:ascii="Times New Roman" w:hAnsi="Times New Roman" w:cs="Times New Roman"/>
        </w:rPr>
        <w:footnoteReference w:id="31"/>
      </w:r>
      <w:r w:rsidRPr="006951B6">
        <w:rPr>
          <w:rFonts w:ascii="Times New Roman" w:hAnsi="Times New Roman" w:cs="Times New Roman"/>
        </w:rPr>
        <w:t>. Intersectionality considers the interaction of such categories as organizing structures of society, recognizing that these key components influence political access, equality, and the</w:t>
      </w:r>
    </w:p>
    <w:p w14:paraId="3A461C96" w14:textId="77777777" w:rsidR="00855F06"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potential for any form of justice.</w:t>
      </w:r>
    </w:p>
    <w:p w14:paraId="2EC3758B" w14:textId="77777777" w:rsidR="00855F06" w:rsidRPr="006951B6" w:rsidRDefault="00855F06" w:rsidP="00DD7E31">
      <w:pPr>
        <w:spacing w:line="276" w:lineRule="auto"/>
        <w:rPr>
          <w:rFonts w:ascii="Times New Roman" w:hAnsi="Times New Roman" w:cs="Times New Roman"/>
        </w:rPr>
      </w:pPr>
    </w:p>
    <w:p w14:paraId="5B7CEA88" w14:textId="1659876E" w:rsidR="00051F39" w:rsidRPr="006951B6" w:rsidRDefault="00855F06" w:rsidP="00DD7E31">
      <w:pPr>
        <w:spacing w:line="276" w:lineRule="auto"/>
        <w:rPr>
          <w:rFonts w:ascii="Times New Roman" w:hAnsi="Times New Roman" w:cs="Times New Roman"/>
        </w:rPr>
      </w:pPr>
      <w:r w:rsidRPr="006951B6">
        <w:rPr>
          <w:rFonts w:ascii="Times New Roman" w:hAnsi="Times New Roman" w:cs="Times New Roman"/>
        </w:rPr>
        <w:t>Moreover, to have your identity recognized in its entirety is an immutable irrevocable and unquestionable human right. The assumption of single axes approaches to human identities is inherently violative of human rights. The HRC Advisory Committee is called upon to recognize the sanctity of intersectional law</w:t>
      </w:r>
      <w:r w:rsidR="00CA42B0">
        <w:rPr>
          <w:rFonts w:ascii="Times New Roman" w:hAnsi="Times New Roman" w:cs="Times New Roman"/>
        </w:rPr>
        <w:t xml:space="preserve"> </w:t>
      </w:r>
      <w:r w:rsidRPr="006951B6">
        <w:rPr>
          <w:rFonts w:ascii="Times New Roman" w:hAnsi="Times New Roman" w:cs="Times New Roman"/>
        </w:rPr>
        <w:t xml:space="preserve">and promote the Immutable Right to Comprehensive Identity Recognition: Acknowledge the inherent, irrevocable, and indisputable human entitlement for individuals to have their identities fully recognized. Advocate against the adoption of </w:t>
      </w:r>
      <w:proofErr w:type="gramStart"/>
      <w:r w:rsidRPr="006951B6">
        <w:rPr>
          <w:rFonts w:ascii="Times New Roman" w:hAnsi="Times New Roman" w:cs="Times New Roman"/>
        </w:rPr>
        <w:t>single-axis</w:t>
      </w:r>
      <w:proofErr w:type="gramEnd"/>
      <w:r w:rsidRPr="006951B6">
        <w:rPr>
          <w:rStyle w:val="FootnoteReference"/>
          <w:rFonts w:ascii="Times New Roman" w:hAnsi="Times New Roman" w:cs="Times New Roman"/>
        </w:rPr>
        <w:footnoteReference w:id="32"/>
      </w:r>
      <w:r w:rsidRPr="006951B6">
        <w:rPr>
          <w:rFonts w:ascii="Times New Roman" w:hAnsi="Times New Roman" w:cs="Times New Roman"/>
        </w:rPr>
        <w:t xml:space="preserve"> methodologies in understanding human identities, underscoring their inherent infringement upon human rights. Furthermore, state parties must rectify and prohibit laws that perpetuate single-axis methodologies and instead call for the advancement of policies and frameworks that uphold and respect the intersectional nature of individual identities, fostering inclusivity and safeguarding diverse human experiences within the international human rights paradigm.</w:t>
      </w:r>
    </w:p>
    <w:sectPr w:rsidR="00051F39" w:rsidRPr="006951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26EAF" w14:textId="77777777" w:rsidR="00E724AA" w:rsidRDefault="00E724AA" w:rsidP="00855F06">
      <w:r>
        <w:separator/>
      </w:r>
    </w:p>
  </w:endnote>
  <w:endnote w:type="continuationSeparator" w:id="0">
    <w:p w14:paraId="374F7BB6" w14:textId="77777777" w:rsidR="00E724AA" w:rsidRDefault="00E724AA" w:rsidP="00855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D533B" w14:textId="77777777" w:rsidR="00E724AA" w:rsidRDefault="00E724AA" w:rsidP="00855F06">
      <w:r>
        <w:separator/>
      </w:r>
    </w:p>
  </w:footnote>
  <w:footnote w:type="continuationSeparator" w:id="0">
    <w:p w14:paraId="3162AB1D" w14:textId="77777777" w:rsidR="00E724AA" w:rsidRDefault="00E724AA" w:rsidP="00855F06">
      <w:r>
        <w:continuationSeparator/>
      </w:r>
    </w:p>
  </w:footnote>
  <w:footnote w:id="1">
    <w:p w14:paraId="2A1CFD5D" w14:textId="77777777" w:rsidR="00855F06" w:rsidRDefault="00855F06">
      <w:pPr>
        <w:pStyle w:val="FootnoteText"/>
      </w:pPr>
      <w:r>
        <w:rPr>
          <w:rStyle w:val="FootnoteReference"/>
        </w:rPr>
        <w:footnoteRef/>
      </w:r>
      <w:r>
        <w:t xml:space="preserve"> </w:t>
      </w:r>
      <w:proofErr w:type="spellStart"/>
      <w:r w:rsidRPr="00855F06">
        <w:t>Kimberlé</w:t>
      </w:r>
      <w:proofErr w:type="spellEnd"/>
      <w:r w:rsidRPr="00855F06">
        <w:t xml:space="preserve"> Crenshaw, "Mapping the Margins: Intersectionality, Identity Politics, and Violence against Women of Color," Stanford Law Review 43, no. 6 (1991): 1241–99, https://doi.org/10.2307/1229039 </w:t>
      </w:r>
    </w:p>
  </w:footnote>
  <w:footnote w:id="2">
    <w:p w14:paraId="3530B193" w14:textId="77777777" w:rsidR="00855F06" w:rsidRDefault="00855F06">
      <w:pPr>
        <w:pStyle w:val="FootnoteText"/>
      </w:pPr>
      <w:r>
        <w:rPr>
          <w:rStyle w:val="FootnoteReference"/>
        </w:rPr>
        <w:footnoteRef/>
      </w:r>
      <w:r>
        <w:t xml:space="preserve"> Ibid.</w:t>
      </w:r>
    </w:p>
  </w:footnote>
  <w:footnote w:id="3">
    <w:p w14:paraId="2819379C" w14:textId="77777777" w:rsidR="00855F06" w:rsidRDefault="00855F06">
      <w:pPr>
        <w:pStyle w:val="FootnoteText"/>
      </w:pPr>
      <w:r>
        <w:rPr>
          <w:rStyle w:val="FootnoteReference"/>
        </w:rPr>
        <w:footnoteRef/>
      </w:r>
      <w:r>
        <w:t xml:space="preserve"> Ibid.</w:t>
      </w:r>
    </w:p>
  </w:footnote>
  <w:footnote w:id="4">
    <w:p w14:paraId="6A772207" w14:textId="77777777" w:rsidR="00855F06" w:rsidRDefault="00855F06">
      <w:pPr>
        <w:pStyle w:val="FootnoteText"/>
      </w:pPr>
      <w:r>
        <w:rPr>
          <w:rStyle w:val="FootnoteReference"/>
        </w:rPr>
        <w:footnoteRef/>
      </w:r>
      <w:r>
        <w:t xml:space="preserve"> </w:t>
      </w:r>
      <w:r w:rsidRPr="00855F06">
        <w:t xml:space="preserve">Cecilia M. </w:t>
      </w:r>
      <w:proofErr w:type="spellStart"/>
      <w:r w:rsidRPr="00855F06">
        <w:t>Bailliet</w:t>
      </w:r>
      <w:proofErr w:type="spellEnd"/>
      <w:r w:rsidRPr="00855F06">
        <w:t>, "Protection of Refugees, Returnees, Migrants, and Internally Displaced Persons Against Racism, Xenophobia, and Discriminatory Practices" (July 5, 2018), SSRN, https://ssrn.com/abstract=3481195</w:t>
      </w:r>
    </w:p>
  </w:footnote>
  <w:footnote w:id="5">
    <w:p w14:paraId="776155E2" w14:textId="77777777" w:rsidR="00855F06" w:rsidRDefault="00855F06">
      <w:pPr>
        <w:pStyle w:val="FootnoteText"/>
      </w:pPr>
      <w:r>
        <w:rPr>
          <w:rStyle w:val="FootnoteReference"/>
        </w:rPr>
        <w:footnoteRef/>
      </w:r>
      <w:r>
        <w:t xml:space="preserve"> </w:t>
      </w:r>
      <w:r w:rsidRPr="00855F06">
        <w:t>UN General Assembly, "International Convention on the Protection of the Rights of All Migrant Workers and Members of their Families," 18 December 1990, A/RES/45/158,</w:t>
      </w:r>
    </w:p>
  </w:footnote>
  <w:footnote w:id="6">
    <w:p w14:paraId="6C28BC28" w14:textId="77777777" w:rsidR="00855F06" w:rsidRDefault="00855F06">
      <w:pPr>
        <w:pStyle w:val="FootnoteText"/>
      </w:pPr>
      <w:r>
        <w:rPr>
          <w:rStyle w:val="FootnoteReference"/>
        </w:rPr>
        <w:footnoteRef/>
      </w:r>
      <w:r>
        <w:t xml:space="preserve"> </w:t>
      </w:r>
      <w:r w:rsidRPr="00855F06">
        <w:t xml:space="preserve">Cecilia M. </w:t>
      </w:r>
      <w:proofErr w:type="spellStart"/>
      <w:r w:rsidRPr="00855F06">
        <w:t>Bailliet</w:t>
      </w:r>
      <w:proofErr w:type="spellEnd"/>
      <w:r w:rsidRPr="00855F06">
        <w:t xml:space="preserve">, "Protection of Refugees, Returnees, Migrants, and Internally Displaced Persons Against Racism, Xenophobia, and Discriminatory Practices" (July 5, 2018), SSRN, </w:t>
      </w:r>
      <w:hyperlink r:id="rId1" w:tgtFrame="_new" w:history="1">
        <w:r w:rsidRPr="00855F06">
          <w:rPr>
            <w:rStyle w:val="Hyperlink"/>
          </w:rPr>
          <w:t>https://ssrn.com/abstract=3481195</w:t>
        </w:r>
      </w:hyperlink>
    </w:p>
  </w:footnote>
  <w:footnote w:id="7">
    <w:p w14:paraId="71C72A83" w14:textId="77777777" w:rsidR="00855F06" w:rsidRDefault="00855F06">
      <w:pPr>
        <w:pStyle w:val="FootnoteText"/>
      </w:pPr>
      <w:r>
        <w:rPr>
          <w:rStyle w:val="FootnoteReference"/>
        </w:rPr>
        <w:footnoteRef/>
      </w:r>
      <w:r>
        <w:t xml:space="preserve"> Ibid.</w:t>
      </w:r>
    </w:p>
  </w:footnote>
  <w:footnote w:id="8">
    <w:p w14:paraId="5C501A09" w14:textId="77777777" w:rsidR="00917B78" w:rsidRDefault="00917B78" w:rsidP="00917B78">
      <w:pPr>
        <w:pStyle w:val="FootnoteText"/>
      </w:pPr>
      <w:r>
        <w:rPr>
          <w:rStyle w:val="FootnoteReference"/>
        </w:rPr>
        <w:footnoteRef/>
      </w:r>
      <w:r>
        <w:t xml:space="preserve"> </w:t>
      </w:r>
      <w:r w:rsidRPr="00855F06">
        <w:t>UN General Assembly, "International Convention on the Protection of the Rights of All Migrant Workers and Members of their Families," 18 December 1990, A/RES/45/158,</w:t>
      </w:r>
    </w:p>
  </w:footnote>
  <w:footnote w:id="9">
    <w:p w14:paraId="017C0973" w14:textId="77777777" w:rsidR="00855F06" w:rsidRDefault="00855F06">
      <w:pPr>
        <w:pStyle w:val="FootnoteText"/>
      </w:pPr>
      <w:r>
        <w:rPr>
          <w:rStyle w:val="FootnoteReference"/>
        </w:rPr>
        <w:footnoteRef/>
      </w:r>
      <w:r>
        <w:t xml:space="preserve"> </w:t>
      </w:r>
      <w:proofErr w:type="spellStart"/>
      <w:r w:rsidRPr="00855F06">
        <w:t>Kimberlé</w:t>
      </w:r>
      <w:proofErr w:type="spellEnd"/>
      <w:r w:rsidRPr="00855F06">
        <w:t xml:space="preserve"> Crenshaw, "Mapping the Margins: Intersectionality, Identity Politics, and Violence against Women of Color," Stanford Law Review 43, no. 6 (1991): 1241–99, https://doi.org/10.2307/1229039</w:t>
      </w:r>
    </w:p>
  </w:footnote>
  <w:footnote w:id="10">
    <w:p w14:paraId="0E8323D9" w14:textId="77777777" w:rsidR="00855F06" w:rsidRDefault="00855F06" w:rsidP="00855F06">
      <w:pPr>
        <w:pStyle w:val="FootnoteText"/>
      </w:pPr>
      <w:r>
        <w:rPr>
          <w:rStyle w:val="FootnoteReference"/>
        </w:rPr>
        <w:footnoteRef/>
      </w:r>
      <w:r>
        <w:t xml:space="preserve"> </w:t>
      </w:r>
      <w:r w:rsidRPr="00855F06">
        <w:t>Spade, Dean. “Intersectional Resistance and Law Reform.” Signs: Journal of Women in Culture and Society 38 (2013): 103</w:t>
      </w:r>
      <w:r>
        <w:t>2</w:t>
      </w:r>
    </w:p>
  </w:footnote>
  <w:footnote w:id="11">
    <w:p w14:paraId="5802FB1B" w14:textId="77777777" w:rsidR="00855F06" w:rsidRDefault="00855F06">
      <w:pPr>
        <w:pStyle w:val="FootnoteText"/>
      </w:pPr>
      <w:r>
        <w:rPr>
          <w:rStyle w:val="FootnoteReference"/>
        </w:rPr>
        <w:footnoteRef/>
      </w:r>
      <w:r>
        <w:t xml:space="preserve"> Ibid.</w:t>
      </w:r>
    </w:p>
  </w:footnote>
  <w:footnote w:id="12">
    <w:p w14:paraId="05682001" w14:textId="77777777" w:rsidR="00855F06" w:rsidRDefault="00855F06">
      <w:pPr>
        <w:pStyle w:val="FootnoteText"/>
      </w:pPr>
      <w:r>
        <w:rPr>
          <w:rStyle w:val="FootnoteReference"/>
        </w:rPr>
        <w:footnoteRef/>
      </w:r>
      <w:r>
        <w:t xml:space="preserve"> Ibid.</w:t>
      </w:r>
    </w:p>
  </w:footnote>
  <w:footnote w:id="13">
    <w:p w14:paraId="06A0726D" w14:textId="77777777" w:rsidR="00855F06" w:rsidRDefault="00855F06">
      <w:pPr>
        <w:pStyle w:val="FootnoteText"/>
      </w:pPr>
      <w:r>
        <w:rPr>
          <w:rStyle w:val="FootnoteReference"/>
        </w:rPr>
        <w:footnoteRef/>
      </w:r>
      <w:r>
        <w:t xml:space="preserve"> Ibid.</w:t>
      </w:r>
    </w:p>
  </w:footnote>
  <w:footnote w:id="14">
    <w:p w14:paraId="54526B94" w14:textId="77777777" w:rsidR="00855F06" w:rsidRDefault="00855F06">
      <w:pPr>
        <w:pStyle w:val="FootnoteText"/>
      </w:pPr>
      <w:r>
        <w:rPr>
          <w:rStyle w:val="FootnoteReference"/>
        </w:rPr>
        <w:footnoteRef/>
      </w:r>
      <w:r>
        <w:t xml:space="preserve"> </w:t>
      </w:r>
      <w:proofErr w:type="spellStart"/>
      <w:r w:rsidRPr="00855F06">
        <w:t>Kimberlé</w:t>
      </w:r>
      <w:proofErr w:type="spellEnd"/>
      <w:r w:rsidRPr="00855F06">
        <w:t xml:space="preserve"> Crenshaw, "Mapping the Margins: Intersectionality, Identity Politics, and Violence against Women of Color," Stanford Law Review 43, no. 6 (1991): 1241–99, https://doi.org/10.2307/1229039</w:t>
      </w:r>
    </w:p>
  </w:footnote>
  <w:footnote w:id="15">
    <w:p w14:paraId="78F5FE81" w14:textId="77777777" w:rsidR="00855F06" w:rsidRDefault="00855F06">
      <w:pPr>
        <w:pStyle w:val="FootnoteText"/>
      </w:pPr>
      <w:r>
        <w:rPr>
          <w:rStyle w:val="FootnoteReference"/>
        </w:rPr>
        <w:footnoteRef/>
      </w:r>
      <w:r>
        <w:t xml:space="preserve"> </w:t>
      </w:r>
      <w:r w:rsidRPr="00855F06">
        <w:t>Hancock, Ange-Marie. “When Multiplication Doesn’t Equal Quick Addition: Examining Intersectionality as a Research Paradigm.” Perspectives on Politics 5, no. 1 (2007): 63–79. http://www.jstor.org/stable/20446350.</w:t>
      </w:r>
    </w:p>
  </w:footnote>
  <w:footnote w:id="16">
    <w:p w14:paraId="103190BB" w14:textId="77777777" w:rsidR="00855F06" w:rsidRDefault="00855F06">
      <w:pPr>
        <w:pStyle w:val="FootnoteText"/>
      </w:pPr>
      <w:r>
        <w:rPr>
          <w:rStyle w:val="FootnoteReference"/>
        </w:rPr>
        <w:footnoteRef/>
      </w:r>
      <w:r>
        <w:t xml:space="preserve"> Ibid.</w:t>
      </w:r>
    </w:p>
  </w:footnote>
  <w:footnote w:id="17">
    <w:p w14:paraId="5889FEC5" w14:textId="77777777" w:rsidR="00855F06" w:rsidRDefault="00855F06">
      <w:pPr>
        <w:pStyle w:val="FootnoteText"/>
      </w:pPr>
      <w:r>
        <w:rPr>
          <w:rStyle w:val="FootnoteReference"/>
        </w:rPr>
        <w:footnoteRef/>
      </w:r>
      <w:r>
        <w:t xml:space="preserve"> </w:t>
      </w:r>
      <w:r w:rsidRPr="00855F06">
        <w:t xml:space="preserve">L.T. </w:t>
      </w:r>
      <w:proofErr w:type="spellStart"/>
      <w:r w:rsidRPr="00855F06">
        <w:t>Arcel</w:t>
      </w:r>
      <w:proofErr w:type="spellEnd"/>
      <w:r w:rsidRPr="00855F06">
        <w:t>, "Deliberate Sexual Torture of Women in War," in International Handbook of Human Response to Trauma, ed. A.Y. Shalev, R. Yehuda, and A.C. McFarlane, Springer Series on Stress and Coping (Boston, MA: Springer, 2000), https://doi.org/10.1007/978-1-4615-4177-6_13.</w:t>
      </w:r>
    </w:p>
  </w:footnote>
  <w:footnote w:id="18">
    <w:p w14:paraId="40FFA52E" w14:textId="77777777" w:rsidR="00855F06" w:rsidRDefault="00855F06">
      <w:pPr>
        <w:pStyle w:val="FootnoteText"/>
      </w:pPr>
      <w:r>
        <w:rPr>
          <w:rStyle w:val="FootnoteReference"/>
        </w:rPr>
        <w:footnoteRef/>
      </w:r>
      <w:r>
        <w:t xml:space="preserve"> </w:t>
      </w:r>
      <w:proofErr w:type="spellStart"/>
      <w:r w:rsidRPr="00855F06">
        <w:t>Kimberlé</w:t>
      </w:r>
      <w:proofErr w:type="spellEnd"/>
      <w:r w:rsidRPr="00855F06">
        <w:t xml:space="preserve"> Crenshaw, "Mapping the Margins: Intersectionality, Identity Politics, and Violence against Women of Color," Stanford Law Review 43, no. 6 (1991): 1241–99, https://doi.org/10.2307/1229039</w:t>
      </w:r>
    </w:p>
  </w:footnote>
  <w:footnote w:id="19">
    <w:p w14:paraId="2A70B8D8" w14:textId="77777777" w:rsidR="00855F06" w:rsidRDefault="00855F06">
      <w:pPr>
        <w:pStyle w:val="FootnoteText"/>
      </w:pPr>
      <w:r>
        <w:rPr>
          <w:rStyle w:val="FootnoteReference"/>
        </w:rPr>
        <w:footnoteRef/>
      </w:r>
      <w:r>
        <w:t xml:space="preserve"> </w:t>
      </w:r>
      <w:r>
        <w:rPr>
          <w:rStyle w:val="FootnoteReference"/>
        </w:rPr>
        <w:footnoteRef/>
      </w:r>
      <w:r>
        <w:t xml:space="preserve"> </w:t>
      </w:r>
      <w:r w:rsidRPr="00855F06">
        <w:t>Spade, Dean. “Intersectional Resistance and Law Reform.” Signs: Journal of Women in Culture and Society 38 (2013): 1032</w:t>
      </w:r>
    </w:p>
  </w:footnote>
  <w:footnote w:id="20">
    <w:p w14:paraId="416FF5DC" w14:textId="77777777" w:rsidR="00855F06" w:rsidRDefault="00855F06">
      <w:pPr>
        <w:pStyle w:val="FootnoteText"/>
      </w:pPr>
      <w:r>
        <w:rPr>
          <w:rStyle w:val="FootnoteReference"/>
        </w:rPr>
        <w:footnoteRef/>
      </w:r>
      <w:r>
        <w:t xml:space="preserve"> Ibid.</w:t>
      </w:r>
    </w:p>
  </w:footnote>
  <w:footnote w:id="21">
    <w:p w14:paraId="7F37C605" w14:textId="77777777" w:rsidR="00855F06" w:rsidRDefault="00855F06">
      <w:pPr>
        <w:pStyle w:val="FootnoteText"/>
      </w:pPr>
      <w:r>
        <w:rPr>
          <w:rStyle w:val="FootnoteReference"/>
        </w:rPr>
        <w:footnoteRef/>
      </w:r>
      <w:r>
        <w:t xml:space="preserve"> Ibid.</w:t>
      </w:r>
    </w:p>
  </w:footnote>
  <w:footnote w:id="22">
    <w:p w14:paraId="19B4AA80" w14:textId="77777777" w:rsidR="00855F06" w:rsidRDefault="00855F06">
      <w:pPr>
        <w:pStyle w:val="FootnoteText"/>
      </w:pPr>
      <w:r>
        <w:rPr>
          <w:rStyle w:val="FootnoteReference"/>
        </w:rPr>
        <w:footnoteRef/>
      </w:r>
      <w:r>
        <w:t xml:space="preserve"> Ibid.</w:t>
      </w:r>
    </w:p>
  </w:footnote>
  <w:footnote w:id="23">
    <w:p w14:paraId="42FDAD91" w14:textId="77777777" w:rsidR="00855F06" w:rsidRDefault="00855F06">
      <w:pPr>
        <w:pStyle w:val="FootnoteText"/>
      </w:pPr>
      <w:r>
        <w:rPr>
          <w:rStyle w:val="FootnoteReference"/>
        </w:rPr>
        <w:footnoteRef/>
      </w:r>
      <w:r>
        <w:t xml:space="preserve"> </w:t>
      </w:r>
      <w:proofErr w:type="spellStart"/>
      <w:r w:rsidRPr="00855F06">
        <w:t>Bailliet</w:t>
      </w:r>
      <w:proofErr w:type="spellEnd"/>
      <w:r w:rsidRPr="00855F06">
        <w:t xml:space="preserve">, Cecilia M, Protection of Refugees, Returnees, Migrants, and Internally Displaced Persons Against Racism, Xenophobia, and Discriminatory Practices (July 5, 2018). </w:t>
      </w:r>
    </w:p>
  </w:footnote>
  <w:footnote w:id="24">
    <w:p w14:paraId="18F86EF1" w14:textId="77777777" w:rsidR="00855F06" w:rsidRDefault="00855F06">
      <w:pPr>
        <w:pStyle w:val="FootnoteText"/>
      </w:pPr>
      <w:r>
        <w:rPr>
          <w:rStyle w:val="FootnoteReference"/>
        </w:rPr>
        <w:footnoteRef/>
      </w:r>
      <w:r>
        <w:t xml:space="preserve"> Ibid.</w:t>
      </w:r>
    </w:p>
  </w:footnote>
  <w:footnote w:id="25">
    <w:p w14:paraId="0DC4D02C" w14:textId="77777777" w:rsidR="00855F06" w:rsidRDefault="00855F06">
      <w:pPr>
        <w:pStyle w:val="FootnoteText"/>
      </w:pPr>
      <w:r>
        <w:rPr>
          <w:rStyle w:val="FootnoteReference"/>
        </w:rPr>
        <w:footnoteRef/>
      </w:r>
      <w:r>
        <w:t xml:space="preserve"> </w:t>
      </w:r>
      <w:r w:rsidRPr="00855F06">
        <w:t>Spade, Dean. “Intersectional Resistance and Law Reform.” Signs: Journal of Women in Culture and Society 38 (2013): 1032</w:t>
      </w:r>
    </w:p>
  </w:footnote>
  <w:footnote w:id="26">
    <w:p w14:paraId="5272D970" w14:textId="77777777" w:rsidR="00855F06" w:rsidRDefault="00855F06">
      <w:pPr>
        <w:pStyle w:val="FootnoteText"/>
      </w:pPr>
      <w:r>
        <w:rPr>
          <w:rStyle w:val="FootnoteReference"/>
        </w:rPr>
        <w:footnoteRef/>
      </w:r>
      <w:r>
        <w:t xml:space="preserve"> </w:t>
      </w:r>
      <w:proofErr w:type="spellStart"/>
      <w:r w:rsidRPr="00855F06">
        <w:t>Oluwaseun</w:t>
      </w:r>
      <w:proofErr w:type="spellEnd"/>
      <w:r w:rsidRPr="00855F06">
        <w:t xml:space="preserve"> </w:t>
      </w:r>
      <w:proofErr w:type="spellStart"/>
      <w:r w:rsidRPr="00855F06">
        <w:t>Tella</w:t>
      </w:r>
      <w:proofErr w:type="spellEnd"/>
      <w:r w:rsidRPr="00855F06">
        <w:t>, "Understanding Xenophobia in South Africa: The Individual, the State and the International System," Insight on Africa 8 (2016): 142-158,</w:t>
      </w:r>
    </w:p>
  </w:footnote>
  <w:footnote w:id="27">
    <w:p w14:paraId="1B0C7309" w14:textId="77777777" w:rsidR="00855F06" w:rsidRDefault="00855F06">
      <w:pPr>
        <w:pStyle w:val="FootnoteText"/>
      </w:pPr>
      <w:r>
        <w:rPr>
          <w:rStyle w:val="FootnoteReference"/>
        </w:rPr>
        <w:footnoteRef/>
      </w:r>
      <w:r>
        <w:t xml:space="preserve"> </w:t>
      </w:r>
      <w:r w:rsidRPr="00855F06">
        <w:t xml:space="preserve">Johanna </w:t>
      </w:r>
      <w:proofErr w:type="spellStart"/>
      <w:r w:rsidRPr="00855F06">
        <w:t>Kantola</w:t>
      </w:r>
      <w:proofErr w:type="spellEnd"/>
      <w:r w:rsidRPr="00855F06">
        <w:t xml:space="preserve"> &amp; </w:t>
      </w:r>
      <w:proofErr w:type="spellStart"/>
      <w:r w:rsidRPr="00855F06">
        <w:t>Kevät</w:t>
      </w:r>
      <w:proofErr w:type="spellEnd"/>
      <w:r w:rsidRPr="00855F06">
        <w:t xml:space="preserve"> </w:t>
      </w:r>
      <w:proofErr w:type="spellStart"/>
      <w:r w:rsidRPr="00855F06">
        <w:t>Nousiainen</w:t>
      </w:r>
      <w:proofErr w:type="spellEnd"/>
      <w:r w:rsidRPr="00855F06">
        <w:t xml:space="preserve"> (2009) Institutionalizing Intersectionality in Europe, International Feminist Journal of Politics, 11:4, 459-477, DOI: 10.1080/14616740903237426</w:t>
      </w:r>
    </w:p>
  </w:footnote>
  <w:footnote w:id="28">
    <w:p w14:paraId="47A5CF79" w14:textId="77777777" w:rsidR="00855F06" w:rsidRDefault="00855F06">
      <w:pPr>
        <w:pStyle w:val="FootnoteText"/>
      </w:pPr>
      <w:r>
        <w:rPr>
          <w:rStyle w:val="FootnoteReference"/>
        </w:rPr>
        <w:footnoteRef/>
      </w:r>
      <w:r>
        <w:t xml:space="preserve"> </w:t>
      </w:r>
      <w:r w:rsidRPr="00855F06">
        <w:t>Dodson, Belinda. (2010). Locating Xenophobia: Debate, Discourse, and Everyday Experience in Cape Town, South Africa. Africa Today. 56. 2-22. 10.1353/at.0.0106.</w:t>
      </w:r>
    </w:p>
  </w:footnote>
  <w:footnote w:id="29">
    <w:p w14:paraId="3F153F6E" w14:textId="77777777" w:rsidR="00855F06" w:rsidRDefault="00855F06">
      <w:pPr>
        <w:pStyle w:val="FootnoteText"/>
      </w:pPr>
      <w:r>
        <w:rPr>
          <w:rStyle w:val="FootnoteReference"/>
        </w:rPr>
        <w:footnoteRef/>
      </w:r>
      <w:r>
        <w:t xml:space="preserve"> </w:t>
      </w:r>
      <w:proofErr w:type="spellStart"/>
      <w:r w:rsidRPr="00855F06">
        <w:t>Skjeie</w:t>
      </w:r>
      <w:proofErr w:type="spellEnd"/>
      <w:r w:rsidRPr="00855F06">
        <w:t xml:space="preserve">, Hege and </w:t>
      </w:r>
      <w:proofErr w:type="spellStart"/>
      <w:r w:rsidRPr="00855F06">
        <w:t>Trude</w:t>
      </w:r>
      <w:proofErr w:type="spellEnd"/>
      <w:r w:rsidRPr="00855F06">
        <w:t xml:space="preserve"> </w:t>
      </w:r>
      <w:proofErr w:type="spellStart"/>
      <w:r w:rsidRPr="00855F06">
        <w:t>Langvasbråten</w:t>
      </w:r>
      <w:proofErr w:type="spellEnd"/>
      <w:r w:rsidRPr="00855F06">
        <w:t>. “Intersectionality in Practice?” International Feminist Journal of Politics 11 (2009): 513 - 529.</w:t>
      </w:r>
    </w:p>
  </w:footnote>
  <w:footnote w:id="30">
    <w:p w14:paraId="2D2F3D13" w14:textId="77777777" w:rsidR="00855F06" w:rsidRDefault="00855F06">
      <w:pPr>
        <w:pStyle w:val="FootnoteText"/>
      </w:pPr>
      <w:r>
        <w:rPr>
          <w:rStyle w:val="FootnoteReference"/>
        </w:rPr>
        <w:footnoteRef/>
      </w:r>
      <w:r>
        <w:t xml:space="preserve"> Ibid.</w:t>
      </w:r>
    </w:p>
  </w:footnote>
  <w:footnote w:id="31">
    <w:p w14:paraId="0846BAC7" w14:textId="77777777" w:rsidR="00855F06" w:rsidRDefault="00855F06">
      <w:pPr>
        <w:pStyle w:val="FootnoteText"/>
      </w:pPr>
      <w:r>
        <w:rPr>
          <w:rStyle w:val="FootnoteReference"/>
        </w:rPr>
        <w:footnoteRef/>
      </w:r>
      <w:r>
        <w:t xml:space="preserve"> </w:t>
      </w:r>
      <w:r w:rsidRPr="00855F06">
        <w:t>Hancock, Ange-Marie. “When Multiplication Doesn’t Equal Quick Addition: Examining Intersectionality as a Research Paradigm.” Perspectives on Politics 5, no. 1 (2007): 63–79. http://www.jstor.org/stable/20446350.</w:t>
      </w:r>
    </w:p>
  </w:footnote>
  <w:footnote w:id="32">
    <w:p w14:paraId="1C78129A" w14:textId="77777777" w:rsidR="00855F06" w:rsidRDefault="00855F06">
      <w:pPr>
        <w:pStyle w:val="FootnoteText"/>
      </w:pPr>
      <w:r>
        <w:rPr>
          <w:rStyle w:val="FootnoteReference"/>
        </w:rPr>
        <w:footnoteRef/>
      </w:r>
      <w:r>
        <w:t xml:space="preserve"> 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E0B48"/>
    <w:multiLevelType w:val="multilevel"/>
    <w:tmpl w:val="FD844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3433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F06"/>
    <w:rsid w:val="00003EEF"/>
    <w:rsid w:val="00041788"/>
    <w:rsid w:val="00051F39"/>
    <w:rsid w:val="002566F3"/>
    <w:rsid w:val="00293788"/>
    <w:rsid w:val="002F401E"/>
    <w:rsid w:val="004211CA"/>
    <w:rsid w:val="00435776"/>
    <w:rsid w:val="00483E20"/>
    <w:rsid w:val="004D3002"/>
    <w:rsid w:val="00570198"/>
    <w:rsid w:val="00616866"/>
    <w:rsid w:val="006951B6"/>
    <w:rsid w:val="00743A02"/>
    <w:rsid w:val="00776AAB"/>
    <w:rsid w:val="007D66D8"/>
    <w:rsid w:val="007F63E3"/>
    <w:rsid w:val="00855F06"/>
    <w:rsid w:val="008F4260"/>
    <w:rsid w:val="00917B78"/>
    <w:rsid w:val="009A609C"/>
    <w:rsid w:val="00CA42B0"/>
    <w:rsid w:val="00D5469C"/>
    <w:rsid w:val="00DD7E31"/>
    <w:rsid w:val="00E72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56C2D5"/>
  <w15:chartTrackingRefBased/>
  <w15:docId w15:val="{530F95F6-752C-8546-9C0C-EEABA039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55F06"/>
    <w:rPr>
      <w:sz w:val="20"/>
      <w:szCs w:val="20"/>
    </w:rPr>
  </w:style>
  <w:style w:type="character" w:customStyle="1" w:styleId="FootnoteTextChar">
    <w:name w:val="Footnote Text Char"/>
    <w:basedOn w:val="DefaultParagraphFont"/>
    <w:link w:val="FootnoteText"/>
    <w:uiPriority w:val="99"/>
    <w:semiHidden/>
    <w:rsid w:val="00855F06"/>
    <w:rPr>
      <w:sz w:val="20"/>
      <w:szCs w:val="20"/>
    </w:rPr>
  </w:style>
  <w:style w:type="character" w:styleId="FootnoteReference">
    <w:name w:val="footnote reference"/>
    <w:basedOn w:val="DefaultParagraphFont"/>
    <w:uiPriority w:val="99"/>
    <w:semiHidden/>
    <w:unhideWhenUsed/>
    <w:rsid w:val="00855F06"/>
    <w:rPr>
      <w:vertAlign w:val="superscript"/>
    </w:rPr>
  </w:style>
  <w:style w:type="character" w:styleId="Hyperlink">
    <w:name w:val="Hyperlink"/>
    <w:basedOn w:val="DefaultParagraphFont"/>
    <w:uiPriority w:val="99"/>
    <w:unhideWhenUsed/>
    <w:rsid w:val="00855F06"/>
    <w:rPr>
      <w:color w:val="0563C1" w:themeColor="hyperlink"/>
      <w:u w:val="single"/>
    </w:rPr>
  </w:style>
  <w:style w:type="character" w:styleId="UnresolvedMention">
    <w:name w:val="Unresolved Mention"/>
    <w:basedOn w:val="DefaultParagraphFont"/>
    <w:uiPriority w:val="99"/>
    <w:semiHidden/>
    <w:unhideWhenUsed/>
    <w:rsid w:val="00855F06"/>
    <w:rPr>
      <w:color w:val="605E5C"/>
      <w:shd w:val="clear" w:color="auto" w:fill="E1DFDD"/>
    </w:rPr>
  </w:style>
  <w:style w:type="character" w:customStyle="1" w:styleId="rpv-coretext-layer-text">
    <w:name w:val="rpv-core__text-layer-text"/>
    <w:basedOn w:val="DefaultParagraphFont"/>
    <w:rsid w:val="00855F06"/>
  </w:style>
  <w:style w:type="paragraph" w:styleId="NormalWeb">
    <w:name w:val="Normal (Web)"/>
    <w:basedOn w:val="Normal"/>
    <w:uiPriority w:val="99"/>
    <w:semiHidden/>
    <w:unhideWhenUsed/>
    <w:rsid w:val="004211CA"/>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54894">
      <w:bodyDiv w:val="1"/>
      <w:marLeft w:val="0"/>
      <w:marRight w:val="0"/>
      <w:marTop w:val="0"/>
      <w:marBottom w:val="0"/>
      <w:divBdr>
        <w:top w:val="none" w:sz="0" w:space="0" w:color="auto"/>
        <w:left w:val="none" w:sz="0" w:space="0" w:color="auto"/>
        <w:bottom w:val="none" w:sz="0" w:space="0" w:color="auto"/>
        <w:right w:val="none" w:sz="0" w:space="0" w:color="auto"/>
      </w:divBdr>
    </w:div>
    <w:div w:id="289825176">
      <w:bodyDiv w:val="1"/>
      <w:marLeft w:val="0"/>
      <w:marRight w:val="0"/>
      <w:marTop w:val="0"/>
      <w:marBottom w:val="0"/>
      <w:divBdr>
        <w:top w:val="none" w:sz="0" w:space="0" w:color="auto"/>
        <w:left w:val="none" w:sz="0" w:space="0" w:color="auto"/>
        <w:bottom w:val="none" w:sz="0" w:space="0" w:color="auto"/>
        <w:right w:val="none" w:sz="0" w:space="0" w:color="auto"/>
      </w:divBdr>
      <w:divsChild>
        <w:div w:id="1964850351">
          <w:marLeft w:val="0"/>
          <w:marRight w:val="0"/>
          <w:marTop w:val="0"/>
          <w:marBottom w:val="0"/>
          <w:divBdr>
            <w:top w:val="none" w:sz="0" w:space="0" w:color="auto"/>
            <w:left w:val="none" w:sz="0" w:space="0" w:color="auto"/>
            <w:bottom w:val="none" w:sz="0" w:space="0" w:color="auto"/>
            <w:right w:val="none" w:sz="0" w:space="0" w:color="auto"/>
          </w:divBdr>
          <w:divsChild>
            <w:div w:id="2013138004">
              <w:marLeft w:val="0"/>
              <w:marRight w:val="0"/>
              <w:marTop w:val="0"/>
              <w:marBottom w:val="0"/>
              <w:divBdr>
                <w:top w:val="none" w:sz="0" w:space="0" w:color="auto"/>
                <w:left w:val="none" w:sz="0" w:space="0" w:color="auto"/>
                <w:bottom w:val="none" w:sz="0" w:space="0" w:color="auto"/>
                <w:right w:val="none" w:sz="0" w:space="0" w:color="auto"/>
              </w:divBdr>
              <w:divsChild>
                <w:div w:id="30940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292698">
      <w:bodyDiv w:val="1"/>
      <w:marLeft w:val="0"/>
      <w:marRight w:val="0"/>
      <w:marTop w:val="0"/>
      <w:marBottom w:val="0"/>
      <w:divBdr>
        <w:top w:val="none" w:sz="0" w:space="0" w:color="auto"/>
        <w:left w:val="none" w:sz="0" w:space="0" w:color="auto"/>
        <w:bottom w:val="none" w:sz="0" w:space="0" w:color="auto"/>
        <w:right w:val="none" w:sz="0" w:space="0" w:color="auto"/>
      </w:divBdr>
    </w:div>
    <w:div w:id="316494452">
      <w:bodyDiv w:val="1"/>
      <w:marLeft w:val="0"/>
      <w:marRight w:val="0"/>
      <w:marTop w:val="0"/>
      <w:marBottom w:val="0"/>
      <w:divBdr>
        <w:top w:val="none" w:sz="0" w:space="0" w:color="auto"/>
        <w:left w:val="none" w:sz="0" w:space="0" w:color="auto"/>
        <w:bottom w:val="none" w:sz="0" w:space="0" w:color="auto"/>
        <w:right w:val="none" w:sz="0" w:space="0" w:color="auto"/>
      </w:divBdr>
    </w:div>
    <w:div w:id="794179512">
      <w:bodyDiv w:val="1"/>
      <w:marLeft w:val="0"/>
      <w:marRight w:val="0"/>
      <w:marTop w:val="0"/>
      <w:marBottom w:val="0"/>
      <w:divBdr>
        <w:top w:val="none" w:sz="0" w:space="0" w:color="auto"/>
        <w:left w:val="none" w:sz="0" w:space="0" w:color="auto"/>
        <w:bottom w:val="none" w:sz="0" w:space="0" w:color="auto"/>
        <w:right w:val="none" w:sz="0" w:space="0" w:color="auto"/>
      </w:divBdr>
      <w:divsChild>
        <w:div w:id="1639800022">
          <w:marLeft w:val="0"/>
          <w:marRight w:val="0"/>
          <w:marTop w:val="0"/>
          <w:marBottom w:val="0"/>
          <w:divBdr>
            <w:top w:val="none" w:sz="0" w:space="0" w:color="auto"/>
            <w:left w:val="none" w:sz="0" w:space="0" w:color="auto"/>
            <w:bottom w:val="none" w:sz="0" w:space="0" w:color="auto"/>
            <w:right w:val="none" w:sz="0" w:space="0" w:color="auto"/>
          </w:divBdr>
          <w:divsChild>
            <w:div w:id="1237714853">
              <w:marLeft w:val="0"/>
              <w:marRight w:val="0"/>
              <w:marTop w:val="0"/>
              <w:marBottom w:val="0"/>
              <w:divBdr>
                <w:top w:val="none" w:sz="0" w:space="0" w:color="auto"/>
                <w:left w:val="none" w:sz="0" w:space="0" w:color="auto"/>
                <w:bottom w:val="none" w:sz="0" w:space="0" w:color="auto"/>
                <w:right w:val="none" w:sz="0" w:space="0" w:color="auto"/>
              </w:divBdr>
              <w:divsChild>
                <w:div w:id="9474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959440">
      <w:bodyDiv w:val="1"/>
      <w:marLeft w:val="0"/>
      <w:marRight w:val="0"/>
      <w:marTop w:val="0"/>
      <w:marBottom w:val="0"/>
      <w:divBdr>
        <w:top w:val="none" w:sz="0" w:space="0" w:color="auto"/>
        <w:left w:val="none" w:sz="0" w:space="0" w:color="auto"/>
        <w:bottom w:val="none" w:sz="0" w:space="0" w:color="auto"/>
        <w:right w:val="none" w:sz="0" w:space="0" w:color="auto"/>
      </w:divBdr>
    </w:div>
    <w:div w:id="1213272501">
      <w:bodyDiv w:val="1"/>
      <w:marLeft w:val="0"/>
      <w:marRight w:val="0"/>
      <w:marTop w:val="0"/>
      <w:marBottom w:val="0"/>
      <w:divBdr>
        <w:top w:val="none" w:sz="0" w:space="0" w:color="auto"/>
        <w:left w:val="none" w:sz="0" w:space="0" w:color="auto"/>
        <w:bottom w:val="none" w:sz="0" w:space="0" w:color="auto"/>
        <w:right w:val="none" w:sz="0" w:space="0" w:color="auto"/>
      </w:divBdr>
      <w:divsChild>
        <w:div w:id="435445018">
          <w:marLeft w:val="0"/>
          <w:marRight w:val="0"/>
          <w:marTop w:val="0"/>
          <w:marBottom w:val="0"/>
          <w:divBdr>
            <w:top w:val="none" w:sz="0" w:space="0" w:color="auto"/>
            <w:left w:val="none" w:sz="0" w:space="0" w:color="auto"/>
            <w:bottom w:val="none" w:sz="0" w:space="0" w:color="auto"/>
            <w:right w:val="none" w:sz="0" w:space="0" w:color="auto"/>
          </w:divBdr>
          <w:divsChild>
            <w:div w:id="2114664950">
              <w:marLeft w:val="0"/>
              <w:marRight w:val="0"/>
              <w:marTop w:val="0"/>
              <w:marBottom w:val="0"/>
              <w:divBdr>
                <w:top w:val="none" w:sz="0" w:space="0" w:color="auto"/>
                <w:left w:val="none" w:sz="0" w:space="0" w:color="auto"/>
                <w:bottom w:val="none" w:sz="0" w:space="0" w:color="auto"/>
                <w:right w:val="none" w:sz="0" w:space="0" w:color="auto"/>
              </w:divBdr>
              <w:divsChild>
                <w:div w:id="168913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30719">
      <w:bodyDiv w:val="1"/>
      <w:marLeft w:val="0"/>
      <w:marRight w:val="0"/>
      <w:marTop w:val="0"/>
      <w:marBottom w:val="0"/>
      <w:divBdr>
        <w:top w:val="none" w:sz="0" w:space="0" w:color="auto"/>
        <w:left w:val="none" w:sz="0" w:space="0" w:color="auto"/>
        <w:bottom w:val="none" w:sz="0" w:space="0" w:color="auto"/>
        <w:right w:val="none" w:sz="0" w:space="0" w:color="auto"/>
      </w:divBdr>
    </w:div>
    <w:div w:id="1603688469">
      <w:bodyDiv w:val="1"/>
      <w:marLeft w:val="0"/>
      <w:marRight w:val="0"/>
      <w:marTop w:val="0"/>
      <w:marBottom w:val="0"/>
      <w:divBdr>
        <w:top w:val="none" w:sz="0" w:space="0" w:color="auto"/>
        <w:left w:val="none" w:sz="0" w:space="0" w:color="auto"/>
        <w:bottom w:val="none" w:sz="0" w:space="0" w:color="auto"/>
        <w:right w:val="none" w:sz="0" w:space="0" w:color="auto"/>
      </w:divBdr>
      <w:divsChild>
        <w:div w:id="1230263885">
          <w:marLeft w:val="0"/>
          <w:marRight w:val="0"/>
          <w:marTop w:val="0"/>
          <w:marBottom w:val="0"/>
          <w:divBdr>
            <w:top w:val="none" w:sz="0" w:space="0" w:color="auto"/>
            <w:left w:val="none" w:sz="0" w:space="0" w:color="auto"/>
            <w:bottom w:val="none" w:sz="0" w:space="0" w:color="auto"/>
            <w:right w:val="none" w:sz="0" w:space="0" w:color="auto"/>
          </w:divBdr>
          <w:divsChild>
            <w:div w:id="1747649952">
              <w:marLeft w:val="0"/>
              <w:marRight w:val="0"/>
              <w:marTop w:val="0"/>
              <w:marBottom w:val="0"/>
              <w:divBdr>
                <w:top w:val="none" w:sz="0" w:space="0" w:color="auto"/>
                <w:left w:val="none" w:sz="0" w:space="0" w:color="auto"/>
                <w:bottom w:val="none" w:sz="0" w:space="0" w:color="auto"/>
                <w:right w:val="none" w:sz="0" w:space="0" w:color="auto"/>
              </w:divBdr>
              <w:divsChild>
                <w:div w:id="134945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78927">
      <w:bodyDiv w:val="1"/>
      <w:marLeft w:val="0"/>
      <w:marRight w:val="0"/>
      <w:marTop w:val="0"/>
      <w:marBottom w:val="0"/>
      <w:divBdr>
        <w:top w:val="none" w:sz="0" w:space="0" w:color="auto"/>
        <w:left w:val="none" w:sz="0" w:space="0" w:color="auto"/>
        <w:bottom w:val="none" w:sz="0" w:space="0" w:color="auto"/>
        <w:right w:val="none" w:sz="0" w:space="0" w:color="auto"/>
      </w:divBdr>
    </w:div>
    <w:div w:id="1908611156">
      <w:bodyDiv w:val="1"/>
      <w:marLeft w:val="0"/>
      <w:marRight w:val="0"/>
      <w:marTop w:val="0"/>
      <w:marBottom w:val="0"/>
      <w:divBdr>
        <w:top w:val="none" w:sz="0" w:space="0" w:color="auto"/>
        <w:left w:val="none" w:sz="0" w:space="0" w:color="auto"/>
        <w:bottom w:val="none" w:sz="0" w:space="0" w:color="auto"/>
        <w:right w:val="none" w:sz="0" w:space="0" w:color="auto"/>
      </w:divBdr>
      <w:divsChild>
        <w:div w:id="588395703">
          <w:marLeft w:val="0"/>
          <w:marRight w:val="0"/>
          <w:marTop w:val="0"/>
          <w:marBottom w:val="0"/>
          <w:divBdr>
            <w:top w:val="none" w:sz="0" w:space="0" w:color="auto"/>
            <w:left w:val="none" w:sz="0" w:space="0" w:color="auto"/>
            <w:bottom w:val="none" w:sz="0" w:space="0" w:color="auto"/>
            <w:right w:val="none" w:sz="0" w:space="0" w:color="auto"/>
          </w:divBdr>
          <w:divsChild>
            <w:div w:id="18903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98463">
      <w:bodyDiv w:val="1"/>
      <w:marLeft w:val="0"/>
      <w:marRight w:val="0"/>
      <w:marTop w:val="0"/>
      <w:marBottom w:val="0"/>
      <w:divBdr>
        <w:top w:val="none" w:sz="0" w:space="0" w:color="auto"/>
        <w:left w:val="none" w:sz="0" w:space="0" w:color="auto"/>
        <w:bottom w:val="none" w:sz="0" w:space="0" w:color="auto"/>
        <w:right w:val="none" w:sz="0" w:space="0" w:color="auto"/>
      </w:divBdr>
      <w:divsChild>
        <w:div w:id="423456248">
          <w:marLeft w:val="0"/>
          <w:marRight w:val="0"/>
          <w:marTop w:val="0"/>
          <w:marBottom w:val="0"/>
          <w:divBdr>
            <w:top w:val="none" w:sz="0" w:space="0" w:color="auto"/>
            <w:left w:val="none" w:sz="0" w:space="0" w:color="auto"/>
            <w:bottom w:val="none" w:sz="0" w:space="0" w:color="auto"/>
            <w:right w:val="none" w:sz="0" w:space="0" w:color="auto"/>
          </w:divBdr>
          <w:divsChild>
            <w:div w:id="83771230">
              <w:marLeft w:val="0"/>
              <w:marRight w:val="0"/>
              <w:marTop w:val="0"/>
              <w:marBottom w:val="0"/>
              <w:divBdr>
                <w:top w:val="none" w:sz="0" w:space="0" w:color="auto"/>
                <w:left w:val="none" w:sz="0" w:space="0" w:color="auto"/>
                <w:bottom w:val="none" w:sz="0" w:space="0" w:color="auto"/>
                <w:right w:val="none" w:sz="0" w:space="0" w:color="auto"/>
              </w:divBdr>
              <w:divsChild>
                <w:div w:id="38051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srn.com/abstract=34811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Individuals</Category>
    <Doctype xmlns="d42e65b2-cf21-49c1-b27d-d23f90380c0e">input</Doctype>
    <Contributor xmlns="d42e65b2-cf21-49c1-b27d-d23f90380c0e">Motse Ntloedibe – Kuswani</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7DC051D4-0325-A54A-B703-4DCFECA3D691}">
  <ds:schemaRefs>
    <ds:schemaRef ds:uri="http://schemas.openxmlformats.org/officeDocument/2006/bibliography"/>
  </ds:schemaRefs>
</ds:datastoreItem>
</file>

<file path=customXml/itemProps2.xml><?xml version="1.0" encoding="utf-8"?>
<ds:datastoreItem xmlns:ds="http://schemas.openxmlformats.org/officeDocument/2006/customXml" ds:itemID="{D172B889-60BD-4FC0-A33D-9B193DFCFD74}"/>
</file>

<file path=customXml/itemProps3.xml><?xml version="1.0" encoding="utf-8"?>
<ds:datastoreItem xmlns:ds="http://schemas.openxmlformats.org/officeDocument/2006/customXml" ds:itemID="{B196BAD9-2A90-4A7B-A1D7-91025A923A4C}"/>
</file>

<file path=customXml/itemProps4.xml><?xml version="1.0" encoding="utf-8"?>
<ds:datastoreItem xmlns:ds="http://schemas.openxmlformats.org/officeDocument/2006/customXml" ds:itemID="{5301D718-6765-4B68-8E52-4C1749BE62EA}"/>
</file>

<file path=docProps/app.xml><?xml version="1.0" encoding="utf-8"?>
<Properties xmlns="http://schemas.openxmlformats.org/officeDocument/2006/extended-properties" xmlns:vt="http://schemas.openxmlformats.org/officeDocument/2006/docPropsVTypes">
  <Template>Normal.dotm</Template>
  <TotalTime>0</TotalTime>
  <Pages>8</Pages>
  <Words>2574</Words>
  <Characters>14673</Characters>
  <Application>Microsoft Office Word</Application>
  <DocSecurity>0</DocSecurity>
  <Lines>122</Lines>
  <Paragraphs>34</Paragraphs>
  <ScaleCrop>false</ScaleCrop>
  <Company/>
  <LinksUpToDate>false</LinksUpToDate>
  <CharactersWithSpaces>17213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Motse Kuswani</dc:creator>
  <cp:keywords/>
  <dc:description/>
  <cp:lastModifiedBy>Motse Kuswani</cp:lastModifiedBy>
  <cp:revision>2</cp:revision>
  <dcterms:created xsi:type="dcterms:W3CDTF">2024-01-01T12:41:00Z</dcterms:created>
  <dcterms:modified xsi:type="dcterms:W3CDTF">2024-01-01T12:41:00Z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