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8213F" w14:textId="77777777" w:rsidR="00394664" w:rsidRDefault="00BF004D" w:rsidP="00C279C1">
      <w:pPr>
        <w:ind w:left="-851"/>
        <w:sectPr w:rsidR="00394664" w:rsidSect="00C279C1">
          <w:footerReference w:type="default" r:id="rId13"/>
          <w:pgSz w:w="12240" w:h="15840"/>
          <w:pgMar w:top="142" w:right="964" w:bottom="964" w:left="964" w:header="142" w:footer="311" w:gutter="0"/>
          <w:cols w:space="708"/>
          <w:docGrid w:linePitch="360"/>
        </w:sectPr>
      </w:pPr>
      <w:r>
        <w:rPr>
          <w:noProof/>
          <w:lang w:eastAsia="en-AU"/>
        </w:rPr>
        <w:drawing>
          <wp:inline distT="0" distB="0" distL="0" distR="0" wp14:anchorId="3CD15C34" wp14:editId="46CAFC0D">
            <wp:extent cx="7579290" cy="1470660"/>
            <wp:effectExtent l="0" t="0" r="3175" b="0"/>
            <wp:docPr id="5" name="Picture 5" descr="Australian Government | Attorney-General's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94909" cy="1473691"/>
                    </a:xfrm>
                    <a:prstGeom prst="rect">
                      <a:avLst/>
                    </a:prstGeom>
                  </pic:spPr>
                </pic:pic>
              </a:graphicData>
            </a:graphic>
          </wp:inline>
        </w:drawing>
      </w:r>
    </w:p>
    <w:p w14:paraId="1C10300D" w14:textId="77777777" w:rsidR="00151A0A" w:rsidRPr="00852B60" w:rsidRDefault="006F41FC" w:rsidP="00151A0A">
      <w:pPr>
        <w:spacing w:before="240"/>
        <w:jc w:val="right"/>
      </w:pPr>
      <w:r>
        <w:t>March 2024</w:t>
      </w:r>
    </w:p>
    <w:p w14:paraId="3410251C" w14:textId="77777777" w:rsidR="00151A0A" w:rsidRPr="00852B60" w:rsidRDefault="006F41FC" w:rsidP="00151A0A">
      <w:pPr>
        <w:pStyle w:val="Heading1"/>
        <w:spacing w:beforeLines="100" w:before="240"/>
        <w:jc w:val="left"/>
      </w:pPr>
      <w:r>
        <w:t>Public policies for addressing and eradicating xenophobia and its impact on the rights of migrants, their families, and other non-citizens affected by racial discrimination</w:t>
      </w:r>
    </w:p>
    <w:p w14:paraId="6A6C7A76" w14:textId="77777777" w:rsidR="00151A0A" w:rsidRPr="00852B60" w:rsidRDefault="006F41FC" w:rsidP="00151A0A">
      <w:pPr>
        <w:pStyle w:val="Heading2"/>
      </w:pPr>
      <w:r>
        <w:t>Submission to the Office of the United Nations (UN) High Commissioner for Human Rights (OHCHR)</w:t>
      </w:r>
    </w:p>
    <w:p w14:paraId="5EA2F228" w14:textId="77777777" w:rsidR="00151A0A" w:rsidRDefault="006F41FC" w:rsidP="00151A0A">
      <w:pPr>
        <w:pStyle w:val="Heading3"/>
        <w:spacing w:beforeLines="100" w:before="240"/>
      </w:pPr>
      <w:r>
        <w:t>Introduction</w:t>
      </w:r>
    </w:p>
    <w:p w14:paraId="2C30DAF3" w14:textId="77777777" w:rsidR="001C5428" w:rsidRDefault="001C5428" w:rsidP="006F41FC">
      <w:r>
        <w:t>Australia thanks the UN OHCHR for the opportunity to provide input into the preparation of a concept paper for the CERD-CMW Joint General Comment/Recommendation on obligations of state parties on public policies for addressing and eradicating xenophobia and its impact on the rights of migrants, their families, and other non-citizens affected by racial discrimination.</w:t>
      </w:r>
    </w:p>
    <w:p w14:paraId="694C5DC3" w14:textId="77777777" w:rsidR="001C5428" w:rsidRDefault="001C5428" w:rsidP="006F41FC">
      <w:r>
        <w:t>This submission focuses on Australia’s approach to combating racism, ranging from education and social cohesion campaigns, through to civil law anti-discrimination regimes, and finally through to criminal offences targeting racial hatred and other forms of xenophobia. We are comfortable with the information provided in this submission being made available on the OHCHR website.</w:t>
      </w:r>
    </w:p>
    <w:p w14:paraId="31B5F89A" w14:textId="77777777" w:rsidR="001C5428" w:rsidRDefault="001C5428" w:rsidP="001C5428">
      <w:pPr>
        <w:pStyle w:val="Heading3"/>
      </w:pPr>
      <w:r>
        <w:t>Australia’s approach to addressing and eliminating racism</w:t>
      </w:r>
    </w:p>
    <w:p w14:paraId="2D0F01F7" w14:textId="77777777" w:rsidR="006F41FC" w:rsidRDefault="006F41FC" w:rsidP="006F41FC">
      <w:r>
        <w:t>Australia is one of the most successful and harmonious multicultural societies in the world. Our diversity has enriched our nation. However, the reality is that too many individuals and communities in Australia experience prejudice, discrimination and racism on a regular basis.</w:t>
      </w:r>
    </w:p>
    <w:p w14:paraId="33CB284A" w14:textId="77777777" w:rsidR="006F41FC" w:rsidRDefault="006F41FC" w:rsidP="006F41FC">
      <w:r>
        <w:t>Racism can have serious consequences for the people who experience it</w:t>
      </w:r>
      <w:r w:rsidR="001C5428">
        <w:t>, both individually and more</w:t>
      </w:r>
      <w:r>
        <w:t xml:space="preserve"> broadly</w:t>
      </w:r>
      <w:r w:rsidR="001C5428">
        <w:t>.</w:t>
      </w:r>
      <w:r>
        <w:t xml:space="preserve"> </w:t>
      </w:r>
      <w:r w:rsidR="001C5428">
        <w:t xml:space="preserve">It can lock </w:t>
      </w:r>
      <w:r>
        <w:t xml:space="preserve">people out of social and economic opportunities, entrenching disadvantage. It adds unnecessary costs to our workplaces and our economy and it works against our goal of building a fair, inclusive community. </w:t>
      </w:r>
    </w:p>
    <w:p w14:paraId="13D56445" w14:textId="055A473F" w:rsidR="006F41FC" w:rsidRPr="006F41FC" w:rsidRDefault="006F41FC" w:rsidP="006F41FC">
      <w:r>
        <w:t>The Australian Government believes all Australians, and people living in Australia, have the right to live their lives free from racism and other manifestations of xenophobia</w:t>
      </w:r>
      <w:r w:rsidR="00B4181A">
        <w:t>.</w:t>
      </w:r>
      <w:r>
        <w:t xml:space="preserve"> </w:t>
      </w:r>
      <w:r w:rsidR="00B4181A">
        <w:t xml:space="preserve">Xenophobia </w:t>
      </w:r>
      <w:r>
        <w:t>can lead to a variety of conduct, ranging from discrimination</w:t>
      </w:r>
      <w:r w:rsidR="00B4181A">
        <w:t xml:space="preserve"> and</w:t>
      </w:r>
      <w:r>
        <w:t xml:space="preserve"> hate speech, </w:t>
      </w:r>
      <w:r w:rsidR="00B4181A">
        <w:t xml:space="preserve">through to </w:t>
      </w:r>
      <w:r w:rsidR="00B824C2">
        <w:t xml:space="preserve">providing a rationale to </w:t>
      </w:r>
      <w:r>
        <w:t>threate</w:t>
      </w:r>
      <w:r w:rsidR="00B824C2">
        <w:t>n</w:t>
      </w:r>
      <w:r>
        <w:t xml:space="preserve"> or </w:t>
      </w:r>
      <w:r w:rsidR="00B824C2">
        <w:t xml:space="preserve">promote </w:t>
      </w:r>
      <w:r>
        <w:lastRenderedPageBreak/>
        <w:t>violence. All people are entitled to respect, equality, dignity and the opportunity to participate in the social, cultural and economic life of our nation free of hatred or harassment.</w:t>
      </w:r>
    </w:p>
    <w:p w14:paraId="7C74662E" w14:textId="77777777" w:rsidR="00151A0A" w:rsidRPr="00852B60" w:rsidRDefault="006F41FC" w:rsidP="00151A0A">
      <w:pPr>
        <w:pStyle w:val="Heading4"/>
        <w:spacing w:beforeLines="100" w:before="240"/>
      </w:pPr>
      <w:r>
        <w:t>Government policy</w:t>
      </w:r>
    </w:p>
    <w:p w14:paraId="1880FEFB" w14:textId="6F8BF96F" w:rsidR="006F41FC" w:rsidRDefault="006F41FC" w:rsidP="006F41FC">
      <w:r>
        <w:t>The Australian Government is working to eliminate xenophobia in</w:t>
      </w:r>
      <w:r w:rsidR="00855581">
        <w:t xml:space="preserve"> a number of</w:t>
      </w:r>
      <w:r>
        <w:t xml:space="preserve"> ways</w:t>
      </w:r>
      <w:r w:rsidR="00855581">
        <w:t xml:space="preserve"> including</w:t>
      </w:r>
      <w:r>
        <w:t>:</w:t>
      </w:r>
    </w:p>
    <w:p w14:paraId="27C297DC" w14:textId="611F4980" w:rsidR="006F41FC" w:rsidRDefault="006F41FC" w:rsidP="006F41FC">
      <w:pPr>
        <w:pStyle w:val="Bullet1"/>
      </w:pPr>
      <w:r>
        <w:t xml:space="preserve">developing polices, programs and campaigns which aim to address the impact of </w:t>
      </w:r>
      <w:r w:rsidR="00B824C2">
        <w:t>racism</w:t>
      </w:r>
      <w:r>
        <w:t xml:space="preserve"> on Australian citizens and governments</w:t>
      </w:r>
    </w:p>
    <w:p w14:paraId="6F48A0FF" w14:textId="0C987435" w:rsidR="006F41FC" w:rsidRDefault="006F41FC" w:rsidP="006F41FC">
      <w:pPr>
        <w:pStyle w:val="Bullet1"/>
      </w:pPr>
      <w:r>
        <w:t>maintaining a national anti-discrimination framework, which allows for persons who have experienced discrimination to seek redress</w:t>
      </w:r>
      <w:r w:rsidR="005F2B9C">
        <w:t>; and</w:t>
      </w:r>
    </w:p>
    <w:p w14:paraId="50553AD1" w14:textId="4FAEDB3C" w:rsidR="006F41FC" w:rsidRDefault="006F41FC" w:rsidP="006F41FC">
      <w:pPr>
        <w:pStyle w:val="Bullet1"/>
      </w:pPr>
      <w:r>
        <w:t xml:space="preserve">criminalising certain antisocial behaviours, including those driven by hatred and vilification of others. </w:t>
      </w:r>
    </w:p>
    <w:p w14:paraId="70BE3838" w14:textId="021D7FAB" w:rsidR="00151A0A" w:rsidRDefault="006F41FC" w:rsidP="006F41FC">
      <w:r>
        <w:t xml:space="preserve">Further detail about these </w:t>
      </w:r>
      <w:r w:rsidR="005F2B9C">
        <w:t>initiatives are</w:t>
      </w:r>
      <w:r>
        <w:t xml:space="preserve"> set out below.</w:t>
      </w:r>
    </w:p>
    <w:p w14:paraId="4C7FA372" w14:textId="77777777" w:rsidR="006F41FC" w:rsidRDefault="006F41FC" w:rsidP="006F41FC">
      <w:pPr>
        <w:pStyle w:val="Heading4"/>
      </w:pPr>
      <w:r>
        <w:t>Press freedoms</w:t>
      </w:r>
    </w:p>
    <w:p w14:paraId="57AE23DB" w14:textId="77777777" w:rsidR="009A17DF" w:rsidRDefault="009A17DF" w:rsidP="009A17DF">
      <w:bookmarkStart w:id="0" w:name="_Hlk162341635"/>
      <w:r>
        <w:t>The Australian Government believes a strong and independent media is vital to democracy and has expedited work to improve protections for public interest journalism.</w:t>
      </w:r>
      <w:r w:rsidR="00E22010">
        <w:t xml:space="preserve"> The Government </w:t>
      </w:r>
      <w:r>
        <w:t>is implementing a range of reforms to improve press freedom protections</w:t>
      </w:r>
      <w:r w:rsidR="00E22010">
        <w:t>, including to</w:t>
      </w:r>
      <w:r>
        <w:t>:</w:t>
      </w:r>
    </w:p>
    <w:p w14:paraId="4EA2616C" w14:textId="3A61310A" w:rsidR="009A17DF" w:rsidRDefault="00CE76B5" w:rsidP="00E22010">
      <w:pPr>
        <w:pStyle w:val="Bullet1"/>
      </w:pPr>
      <w:r>
        <w:t>reduce</w:t>
      </w:r>
      <w:r w:rsidR="009A17DF">
        <w:t xml:space="preserve"> Commonwealth secrecy provisions and improve protections for public interest journalism</w:t>
      </w:r>
    </w:p>
    <w:p w14:paraId="46805668" w14:textId="77777777" w:rsidR="00E22010" w:rsidRDefault="009A17DF" w:rsidP="00E22010">
      <w:pPr>
        <w:pStyle w:val="Bullet1"/>
      </w:pPr>
      <w:r>
        <w:t>enhance whistleblower protections</w:t>
      </w:r>
    </w:p>
    <w:p w14:paraId="447FBC62" w14:textId="77777777" w:rsidR="00E22010" w:rsidRDefault="009A17DF" w:rsidP="00E22010">
      <w:pPr>
        <w:pStyle w:val="Bullet1"/>
      </w:pPr>
      <w:r>
        <w:t>strengthen protections for journalists in Commonwealth law enforcement powers, including extending the Public Interest Advocate and Journalist Information Warrant regimes.</w:t>
      </w:r>
      <w:r w:rsidR="00E22010" w:rsidRPr="00E22010">
        <w:t xml:space="preserve"> </w:t>
      </w:r>
    </w:p>
    <w:p w14:paraId="736AC4F4" w14:textId="5422ED80" w:rsidR="006F41FC" w:rsidRDefault="00E22010" w:rsidP="00E22010">
      <w:r>
        <w:t xml:space="preserve">The Australian media have previously expressed strong views about the importance of being able to report freely for Australian political discourse and democracy. Media advocacy organisations regularly contribute to parliamentary inquiries into new laws and reviews of existing laws, advocating </w:t>
      </w:r>
      <w:r w:rsidR="006561C6">
        <w:t xml:space="preserve">for the important role of </w:t>
      </w:r>
      <w:r>
        <w:t xml:space="preserve">the media </w:t>
      </w:r>
      <w:r w:rsidR="006561C6">
        <w:t>in reporting</w:t>
      </w:r>
      <w:r>
        <w:t xml:space="preserve"> on issues of concern. Laws preventing the use of hate speech and symbols, for example, contain exemptions for genuine public interest reporting.</w:t>
      </w:r>
    </w:p>
    <w:bookmarkEnd w:id="0"/>
    <w:p w14:paraId="6212BE2C" w14:textId="77777777" w:rsidR="006F41FC" w:rsidRDefault="006F41FC" w:rsidP="006F41FC">
      <w:pPr>
        <w:pStyle w:val="Heading3"/>
      </w:pPr>
      <w:r>
        <w:t>Anti-racism policies and campaigns</w:t>
      </w:r>
    </w:p>
    <w:p w14:paraId="04168FCE" w14:textId="77777777" w:rsidR="006F41FC" w:rsidRDefault="006F41FC" w:rsidP="006F41FC">
      <w:r w:rsidRPr="006F41FC">
        <w:t>The Australian Government is committed to addressing instances of racism and xenophobia where they arise. Funding is provided through Australia’s federal system of government to policies and initiatives which include actions directed to achieving these goals and usually include requirements for measuring the success of the policies and outcomes achieved by their enactment. Various organisations, both government and non-government, collect data about incidences of racism and xenophobia within Australian society and this data is used to assess policy needs and develop new policy.</w:t>
      </w:r>
    </w:p>
    <w:p w14:paraId="709781F0" w14:textId="77777777" w:rsidR="006F41FC" w:rsidRDefault="006F41FC" w:rsidP="006F41FC">
      <w:pPr>
        <w:pStyle w:val="Heading4"/>
      </w:pPr>
      <w:r>
        <w:t>Social cohesion programs</w:t>
      </w:r>
    </w:p>
    <w:p w14:paraId="6675AE1D" w14:textId="10995FA4" w:rsidR="00B824C2" w:rsidRDefault="00B824C2" w:rsidP="00B824C2">
      <w:r>
        <w:t>On 1 February 2024, the Government commenced the first tranche of funding under the $25 million package to support Australian Palestinian, Muslim and other communities, totalling $12.25 million, including:</w:t>
      </w:r>
    </w:p>
    <w:p w14:paraId="4BA57290" w14:textId="77777777" w:rsidR="00B824C2" w:rsidRDefault="00B824C2" w:rsidP="00B824C2">
      <w:pPr>
        <w:pStyle w:val="Bullet1"/>
      </w:pPr>
      <w:r>
        <w:t>$7 million for national projects addressing anti-racism, mis- and disinformation, and Islamophobia;</w:t>
      </w:r>
    </w:p>
    <w:p w14:paraId="2528EAF6" w14:textId="66F6BE5D" w:rsidR="00B824C2" w:rsidRDefault="00B824C2" w:rsidP="00B824C2">
      <w:pPr>
        <w:pStyle w:val="Bullet1"/>
      </w:pPr>
      <w:r>
        <w:t>$4 million for work to disburse a community-led grassroots program and build sector capacity;</w:t>
      </w:r>
      <w:r w:rsidRPr="004C06C3">
        <w:t xml:space="preserve"> </w:t>
      </w:r>
      <w:r>
        <w:t xml:space="preserve">and. </w:t>
      </w:r>
    </w:p>
    <w:p w14:paraId="2DCAA161" w14:textId="55E33E3E" w:rsidR="00B824C2" w:rsidRDefault="00B824C2" w:rsidP="00B824C2">
      <w:pPr>
        <w:pStyle w:val="Bullet1"/>
      </w:pPr>
      <w:r>
        <w:t>$1.25 million to expand funding for 13 existing local social cohesion projects.</w:t>
      </w:r>
    </w:p>
    <w:p w14:paraId="30CF8F42" w14:textId="09D7A891" w:rsidR="00B824C2" w:rsidRDefault="00B824C2" w:rsidP="00B824C2">
      <w:r>
        <w:t>These funds are directed to improve social cohesion within Australian society, including by addressing racism.</w:t>
      </w:r>
    </w:p>
    <w:p w14:paraId="30C76DAE" w14:textId="77777777" w:rsidR="006F41FC" w:rsidRDefault="006F41FC" w:rsidP="006F41FC">
      <w:pPr>
        <w:pStyle w:val="Heading4"/>
      </w:pPr>
      <w:r>
        <w:lastRenderedPageBreak/>
        <w:t>Australian Human Rights Commission anti-racism programs</w:t>
      </w:r>
    </w:p>
    <w:p w14:paraId="6DC781B4" w14:textId="5D4D6411" w:rsidR="006F41FC" w:rsidRDefault="006F41FC" w:rsidP="006F41FC">
      <w:r w:rsidRPr="006F41FC">
        <w:t xml:space="preserve">The Australian Government has also provided funding to the Australian Human Rights Commission </w:t>
      </w:r>
      <w:r w:rsidR="00FF1AE6">
        <w:t xml:space="preserve">(the Commission) </w:t>
      </w:r>
      <w:r w:rsidRPr="006F41FC">
        <w:t>to develop a National Anti</w:t>
      </w:r>
      <w:r w:rsidR="005F2B9C">
        <w:t>-</w:t>
      </w:r>
      <w:r w:rsidRPr="006F41FC">
        <w:t>Racism Strategy to tackle racism and promote racial equality in Australia. The Strategy involves developing a Framework to support the commitment of government, civil society, businesses and the community to tackle racism and promote equality in Australia, and an update of a public education campaign to raise public awareness, deliver public education and build community capacity to combat racism and discriminatory attitudes.</w:t>
      </w:r>
    </w:p>
    <w:p w14:paraId="19C7B9E6" w14:textId="3AA0998F" w:rsidR="006F41FC" w:rsidRDefault="006F41FC" w:rsidP="006F41FC">
      <w:pPr>
        <w:pStyle w:val="Heading5"/>
      </w:pPr>
      <w:r>
        <w:t xml:space="preserve">National </w:t>
      </w:r>
      <w:r w:rsidR="005F2B9C">
        <w:t>A</w:t>
      </w:r>
      <w:r>
        <w:t>nti-</w:t>
      </w:r>
      <w:r w:rsidR="005F2B9C">
        <w:t>R</w:t>
      </w:r>
      <w:r>
        <w:t xml:space="preserve">acism </w:t>
      </w:r>
      <w:r w:rsidR="005F2B9C">
        <w:t>F</w:t>
      </w:r>
      <w:r>
        <w:t>ramework</w:t>
      </w:r>
    </w:p>
    <w:p w14:paraId="1E33686D" w14:textId="77777777" w:rsidR="006F41FC" w:rsidRDefault="006F41FC" w:rsidP="006F41FC">
      <w:r>
        <w:t>Developing the Framework involves several streams of work, including:</w:t>
      </w:r>
    </w:p>
    <w:p w14:paraId="3539D618" w14:textId="77777777" w:rsidR="006F41FC" w:rsidRDefault="006F41FC" w:rsidP="006F41FC">
      <w:pPr>
        <w:pStyle w:val="Bullet1"/>
      </w:pPr>
      <w:r>
        <w:t>identifying the necessary anti-racism measures that can:</w:t>
      </w:r>
    </w:p>
    <w:p w14:paraId="06D72EEA" w14:textId="77777777" w:rsidR="006F41FC" w:rsidRDefault="006F41FC" w:rsidP="006F41FC">
      <w:pPr>
        <w:pStyle w:val="ListBullet"/>
      </w:pPr>
      <w:r>
        <w:t>inform a comprehensive, whole of government and cross-government approach</w:t>
      </w:r>
    </w:p>
    <w:p w14:paraId="082F7278" w14:textId="77777777" w:rsidR="006F41FC" w:rsidRDefault="006F41FC" w:rsidP="006F41FC">
      <w:pPr>
        <w:pStyle w:val="ListBullet"/>
      </w:pPr>
      <w:r>
        <w:t>act as a central reference point for sectors to develop their own actions or strategies that are specific to the nature of their work</w:t>
      </w:r>
    </w:p>
    <w:p w14:paraId="1F47268F" w14:textId="3E2FE8B4" w:rsidR="006F41FC" w:rsidRDefault="006F41FC" w:rsidP="006F41FC">
      <w:pPr>
        <w:pStyle w:val="Bullet1"/>
      </w:pPr>
      <w:r>
        <w:t>building capacity for partnerships across society to address racism, acknowledging that it will require action from across the community, business, and government sectors</w:t>
      </w:r>
    </w:p>
    <w:p w14:paraId="079F01F0" w14:textId="77777777" w:rsidR="006F41FC" w:rsidRDefault="006F41FC" w:rsidP="006F41FC">
      <w:pPr>
        <w:pStyle w:val="Bullet1"/>
      </w:pPr>
      <w:r>
        <w:t>ensuring accountability mechanisms to measure progress over time in reducing the incidence of racism; and</w:t>
      </w:r>
    </w:p>
    <w:p w14:paraId="7A19FA53" w14:textId="77777777" w:rsidR="006F41FC" w:rsidRDefault="006F41FC" w:rsidP="006F41FC">
      <w:pPr>
        <w:pStyle w:val="Bullet1"/>
      </w:pPr>
      <w:r>
        <w:t>promoting understanding of racism and acceptance of anti-racism initiatives.</w:t>
      </w:r>
    </w:p>
    <w:p w14:paraId="51A52D73" w14:textId="77777777" w:rsidR="006F41FC" w:rsidRDefault="006F41FC" w:rsidP="006F41FC">
      <w:r>
        <w:t xml:space="preserve">The Framework aims to take and advocate for an approach that centres community, and takes a nuanced, intersectional and solutions-based approach. The findings and preliminary recommendations from initial consultations for a Framework included an emphasis on the need to cultivate broad-based racial literacy, understanding of how race and racism operate in Australia, and knowledge of Australia’s settler colonial and migration history and the ongoing impacts of discriminatory policies. </w:t>
      </w:r>
    </w:p>
    <w:p w14:paraId="48CD72D0" w14:textId="77777777" w:rsidR="006F41FC" w:rsidRDefault="006F41FC" w:rsidP="006F41FC">
      <w:r>
        <w:t>In October 2024, the Commission will report back to the Australian Government on what principles, themes, priorities, strategies and solutions should inform a National Anti-Racism Framework, including an ongoing role for the Commission in monitoring anti-racism progress.</w:t>
      </w:r>
    </w:p>
    <w:p w14:paraId="0CBA6DD5" w14:textId="77777777" w:rsidR="006F41FC" w:rsidRDefault="006F41FC" w:rsidP="006F41FC">
      <w:pPr>
        <w:pStyle w:val="Heading5"/>
      </w:pPr>
      <w:r>
        <w:t>Public awareness and education</w:t>
      </w:r>
    </w:p>
    <w:p w14:paraId="671436CE" w14:textId="77777777" w:rsidR="006F41FC" w:rsidRDefault="006F41FC" w:rsidP="006F41FC">
      <w:r>
        <w:t xml:space="preserve">The Commission also aims to motivate, develop and promote personal and collective understanding of racism and action to address systemic racism. It aims to identify, recognise, support and facilitate the anti-racist action of people from negatively </w:t>
      </w:r>
      <w:proofErr w:type="spellStart"/>
      <w:r>
        <w:t>racialised</w:t>
      </w:r>
      <w:proofErr w:type="spellEnd"/>
      <w:r>
        <w:t xml:space="preserve"> communities. This stream of work is guided by an understanding of intersectionality, community priorities and voices, and has identified certain priorities providing practical information and solutions for people to take anti-racism action.   </w:t>
      </w:r>
    </w:p>
    <w:p w14:paraId="0D87600B" w14:textId="77777777" w:rsidR="006F41FC" w:rsidRDefault="006F41FC" w:rsidP="006F41FC">
      <w:r>
        <w:t>Current initiatives under this stream of work include projects developing resources for school-aged children (building racial literary among students and teachers); projects considering mis—and disinformation as it relates to racism and anti-racism, including how this intersects with mis and disinformation as it relates to climate change, civic participation, misogyny, the rights of LGBTQIA+ peoples, and other human rights issues; a project for the Commission’s Race Discrimination Team to develop, pilot and evaluate strategies to combat mis and disinformation in the immediate, intermediate and long term; and campaign materials focussing on the experiences of First Nations peoples and their leadership with regards to anti-racism on this continent since colonisation began.</w:t>
      </w:r>
    </w:p>
    <w:p w14:paraId="1D7C4C5B" w14:textId="4EFF0E7E" w:rsidR="006F41FC" w:rsidRDefault="006F41FC" w:rsidP="006F41FC">
      <w:r>
        <w:lastRenderedPageBreak/>
        <w:t>The Commission also regularly prepares and updates resources for supporters, workplaces, communities, and schools, which include information on common myths and misconceptions relating to racism and anti-racism, information on the International Day for the Elimination o</w:t>
      </w:r>
      <w:r w:rsidR="00FF1AE6">
        <w:t>f</w:t>
      </w:r>
      <w:r>
        <w:t xml:space="preserve"> Racial Discrimination, a tool for organisations to conduct self-assessment to support their approach to anti-racism, and initiative to support efforts addressing racism in sport.</w:t>
      </w:r>
    </w:p>
    <w:p w14:paraId="448A080A" w14:textId="77777777" w:rsidR="006F41FC" w:rsidRDefault="006F41FC" w:rsidP="006F41FC">
      <w:r>
        <w:t>These policies and programs are examples of the types of work the Australian Government does to address and attempt to eliminate the pervasive effects of racism and racist beliefs in Australian society. However, when such beliefs do result in discriminatory, racist and extremist behaviours, the Australian legal system includes both civil and criminal frameworks to address those behaviours.</w:t>
      </w:r>
    </w:p>
    <w:p w14:paraId="7E633E52" w14:textId="77777777" w:rsidR="006F41FC" w:rsidRPr="006F41FC" w:rsidRDefault="006F41FC" w:rsidP="006F41FC">
      <w:pPr>
        <w:pStyle w:val="Heading3"/>
      </w:pPr>
      <w:r>
        <w:t>Anti-discrimination frameworks</w:t>
      </w:r>
    </w:p>
    <w:p w14:paraId="0D21A100" w14:textId="77777777" w:rsidR="00FF1AE6" w:rsidRDefault="006F41FC" w:rsidP="00FF1AE6">
      <w:r>
        <w:t>Federal anti-discrimination laws make it unlawful to discriminate on the basis of a number of protected attributes including age, disability, race, sex, intersex status, gender identity and sexual orientation in certain areas of public life, including education and employment. In this context, discrimination means to treat an individual or a class of individuals differently because of the relevant protected attribute.</w:t>
      </w:r>
      <w:r w:rsidR="00FF1AE6">
        <w:t xml:space="preserve"> The Government is also committed to extending the federal anti-discrimination framework to ensure people are not discriminated against, and do not experience vilification, because of their religious beliefs or activities. </w:t>
      </w:r>
    </w:p>
    <w:p w14:paraId="77D2EA78" w14:textId="565A3467" w:rsidR="006F41FC" w:rsidRDefault="00893435" w:rsidP="006F41FC">
      <w:r>
        <w:t>W</w:t>
      </w:r>
      <w:r w:rsidR="006F41FC">
        <w:t xml:space="preserve">ith respect to racism and xenophobia, the </w:t>
      </w:r>
      <w:r w:rsidR="006F41FC" w:rsidRPr="001C5428">
        <w:rPr>
          <w:i/>
        </w:rPr>
        <w:t>Racial Discrimination Act 1975</w:t>
      </w:r>
      <w:r w:rsidR="006F41FC">
        <w:t xml:space="preserve"> protects an individual’s right to be free from discrimination on the grounds of race, colour, descent or national or ethnic origin in any field of public life. The Act prohibits unlawful discrimination or vilification on these grounds and fulfils Australia’s obligations under the United Nations International Convention on the Elimination of all forms of Racial Discrimination.</w:t>
      </w:r>
    </w:p>
    <w:p w14:paraId="5D992C6E" w14:textId="689F4249" w:rsidR="005463CD" w:rsidRDefault="005463CD" w:rsidP="006F41FC">
      <w:r>
        <w:t>Section 5 of t</w:t>
      </w:r>
      <w:r w:rsidRPr="005463CD">
        <w:t>he</w:t>
      </w:r>
      <w:r w:rsidR="00FF1AE6">
        <w:t xml:space="preserve"> Act</w:t>
      </w:r>
      <w:r>
        <w:t xml:space="preserve"> also</w:t>
      </w:r>
      <w:r w:rsidRPr="005463CD">
        <w:t xml:space="preserve"> </w:t>
      </w:r>
      <w:r>
        <w:t>protects</w:t>
      </w:r>
      <w:r w:rsidRPr="005463CD">
        <w:t xml:space="preserve"> a person from discrimination on the grounds of current or past immigrant status in relation to: access to places and facilities, the provision of good</w:t>
      </w:r>
      <w:r>
        <w:t>s</w:t>
      </w:r>
      <w:r w:rsidRPr="005463CD">
        <w:t xml:space="preserve"> and services, access to land, housing and other accommodation, employment, and the right to join trade unions. </w:t>
      </w:r>
    </w:p>
    <w:p w14:paraId="3AFF3074" w14:textId="77777777" w:rsidR="00FF1AE6" w:rsidRDefault="00FF1AE6" w:rsidP="00FF1AE6">
      <w:r>
        <w:t xml:space="preserve">The federal anti-discrimination framework operates to ensure that individuals can obtain remedies where they experience instances of discrimination in public life. This system allows for both individual redress and has a deterrent effect, in that individuals or corporations found to have engaged in discriminatory conduct may experience penalties as a result. </w:t>
      </w:r>
    </w:p>
    <w:p w14:paraId="6AF2A4C9" w14:textId="77777777" w:rsidR="00FF1AE6" w:rsidRDefault="00FF1AE6" w:rsidP="00FF1AE6">
      <w:r>
        <w:t>The federal anti-discrimination law system, therefore, regulates certain aspects of public life in Australia to eliminate bigotry and xenophobia, particularly related to race. In circumstances where the relevant racist or xenophobic conduct is more serious than the conduct outlined above, it may be more appropriate to address the conduct with the criminal law system.</w:t>
      </w:r>
    </w:p>
    <w:p w14:paraId="6BF11C22" w14:textId="25609C24" w:rsidR="006F41FC" w:rsidRDefault="006F41FC" w:rsidP="006F41FC">
      <w:r>
        <w:t xml:space="preserve">Australia’s federal system of government means that each jurisdiction </w:t>
      </w:r>
      <w:r w:rsidR="00FF1AE6">
        <w:t xml:space="preserve">also </w:t>
      </w:r>
      <w:r>
        <w:t>has anti</w:t>
      </w:r>
      <w:r w:rsidR="001C5428">
        <w:t>-</w:t>
      </w:r>
      <w:r>
        <w:t>discrimination legislation and a body dedicated to promoting human rights and equal opportunity. State and territory anti</w:t>
      </w:r>
      <w:r w:rsidR="00FF1AE6">
        <w:noBreakHyphen/>
      </w:r>
      <w:r>
        <w:t>discrimination legislation prevents discrimination on the basis of the</w:t>
      </w:r>
      <w:r w:rsidR="00FF1AE6">
        <w:t xml:space="preserve"> protected</w:t>
      </w:r>
      <w:r>
        <w:t xml:space="preserve"> attributes</w:t>
      </w:r>
      <w:r w:rsidR="00FF1AE6">
        <w:t xml:space="preserve"> at the federal level,</w:t>
      </w:r>
      <w:r>
        <w:t xml:space="preserve"> as well as others. Queensland, Victoria and the Australian Capital Territory have comprehensive human rights legislation that requires public entities, courts and tribunals to interpret legislation in a way that is compatible with human rights.</w:t>
      </w:r>
    </w:p>
    <w:p w14:paraId="135CBED9" w14:textId="77777777" w:rsidR="006F41FC" w:rsidRDefault="006F41FC" w:rsidP="006F41FC">
      <w:pPr>
        <w:pStyle w:val="Heading3"/>
      </w:pPr>
      <w:r>
        <w:lastRenderedPageBreak/>
        <w:t>Criminalising racism, hate offences, and terrorism</w:t>
      </w:r>
    </w:p>
    <w:p w14:paraId="6812462C" w14:textId="0652D531" w:rsidR="006F41FC" w:rsidRDefault="006F41FC" w:rsidP="006F41FC">
      <w:r>
        <w:t>The Australian Government is very concerned about the rising incidents of hate speech, particularly anti</w:t>
      </w:r>
      <w:r w:rsidR="00370882">
        <w:noBreakHyphen/>
      </w:r>
      <w:r>
        <w:t xml:space="preserve">Semitism and Islamophobia, in the Australian community. </w:t>
      </w:r>
    </w:p>
    <w:p w14:paraId="201B00CB" w14:textId="316A8690" w:rsidR="006F41FC" w:rsidRDefault="006F41FC" w:rsidP="006F41FC">
      <w:r>
        <w:t>The Australian Government strongly condemns anyone who incites violence or hatred within our community, and has put in place laws to address all forms of extremism and radicalisation to violence. These include anti</w:t>
      </w:r>
      <w:r w:rsidR="00370882">
        <w:noBreakHyphen/>
      </w:r>
      <w:r>
        <w:t xml:space="preserve">government and neo-Nazi ideologies, but also racist beliefs more broadly. </w:t>
      </w:r>
      <w:r w:rsidR="00B824C2">
        <w:t>Such ideologies may lead individuals to behave in violent and intimidating ways, or to incite violence and hatred against people or groups; and at their most serious, ideologies based on hatred and distrust may lead to violent extremism.</w:t>
      </w:r>
    </w:p>
    <w:p w14:paraId="46FA3A6C" w14:textId="77777777" w:rsidR="006F41FC" w:rsidRDefault="006F41FC" w:rsidP="006F41FC">
      <w:pPr>
        <w:pStyle w:val="Heading4"/>
      </w:pPr>
      <w:r>
        <w:t>Hate symbols, hate speech, and sharing violent extremist material</w:t>
      </w:r>
    </w:p>
    <w:p w14:paraId="08A01070" w14:textId="24918F64" w:rsidR="006F41FC" w:rsidRDefault="006F41FC" w:rsidP="006F41FC">
      <w:r>
        <w:t xml:space="preserve">Australia has existing criminal offences for urging force or violence against groups or members of groups, where the targeted group/member is distinguished by race, religion, nationality, national or ethnic origin or political opinion. </w:t>
      </w:r>
      <w:r w:rsidR="00370882">
        <w:t>On 6</w:t>
      </w:r>
      <w:r>
        <w:t xml:space="preserve"> December 2023, the Australian Parliament</w:t>
      </w:r>
      <w:r w:rsidR="00370882">
        <w:t xml:space="preserve"> passed</w:t>
      </w:r>
      <w:r>
        <w:t xml:space="preserve"> </w:t>
      </w:r>
      <w:r w:rsidR="00370882">
        <w:rPr>
          <w:spacing w:val="5"/>
          <w:lang w:eastAsia="en-AU"/>
        </w:rPr>
        <w:t xml:space="preserve">the </w:t>
      </w:r>
      <w:r w:rsidR="00370882">
        <w:rPr>
          <w:i/>
          <w:iCs/>
          <w:spacing w:val="5"/>
          <w:lang w:eastAsia="en-AU"/>
        </w:rPr>
        <w:t>Counter-Terrorism Legislation Amendment (Prohibited Hate Symbols and Other Measures) Act 2023</w:t>
      </w:r>
      <w:r w:rsidR="00370882">
        <w:t xml:space="preserve"> </w:t>
      </w:r>
      <w:r>
        <w:t>making it a criminal offence to publicly display Nazi or terrorist symbols, trade in items bearing these symbols, or publicly perform the Nazi salute.</w:t>
      </w:r>
    </w:p>
    <w:p w14:paraId="7FA34BEF" w14:textId="77777777" w:rsidR="006F41FC" w:rsidRDefault="006F41FC" w:rsidP="006F41FC">
      <w:r>
        <w:t>These offences were enacted in recognition of the significant harm caused to many Australians by these symbols and behaviours, and the fact that they are widely recognised as representing hatred, violence and racism, and are incompatible with Australia’s multicultural and democratic society. Similarly, symbols which a terrorist organisation, or members of a terrorist organisation, use to identify the organisation are used to propagate violent extremist views and hateful ideologies, which threatens social cohesion and the safety and security of the Australian community.</w:t>
      </w:r>
    </w:p>
    <w:p w14:paraId="36A51952" w14:textId="77777777" w:rsidR="006F41FC" w:rsidRDefault="006F41FC" w:rsidP="006F41FC">
      <w:r>
        <w:t>The offences were carefully considered and crafted, so that legitimate uses of symbols and gestures which are not intended to advocate hatred or incite discrimination, hostility and violence are not captured – for example, legitimate academic or educational purposes, or public interest journalism.</w:t>
      </w:r>
    </w:p>
    <w:p w14:paraId="76C91E40" w14:textId="77777777" w:rsidR="006F41FC" w:rsidRDefault="006F41FC" w:rsidP="006F41FC">
      <w:r>
        <w:t>The Commonwealth offences of publicly displaying a prohibited symbol or publicly performing the Nazi salute complement existing state offences, and go further by also applying in the online environment, to the trade of objects, and by covering the symbols of terrorist organisations.</w:t>
      </w:r>
    </w:p>
    <w:p w14:paraId="4EC16246" w14:textId="5EB90B84" w:rsidR="00B824C2" w:rsidRDefault="00B824C2" w:rsidP="00B824C2">
      <w:r>
        <w:t>The Act also establishes new offences for the use of the internet to view and share violent extremist material, which supports law enforcement to disrupt individuals’ radicalisation to violent extremism early. It also enhances the protection of the community from terrorism by ensuring that the terrorist organisation listing framework reflects the longevity of proscribed organisations and the seriousness of terrorist organisation offences, and ensures that people who praise or instruct others on doing terrorist acts are guilty of a serious criminal offence, and punished appropriately.</w:t>
      </w:r>
    </w:p>
    <w:p w14:paraId="6BE3F144" w14:textId="77777777" w:rsidR="00B824C2" w:rsidRDefault="00B824C2" w:rsidP="00B824C2">
      <w:r>
        <w:t>The Australian Government is developing proposals to strengthen laws against hate speech. Some states and territories are also reviewing their legislative frameworks to ensure that their laws are fit-for-purpose to address incidents of hatred and vilification targeting groups based on their race or religion. Most states and territories already have criminal offences protecting against hate speech.</w:t>
      </w:r>
    </w:p>
    <w:p w14:paraId="22ABB5BE" w14:textId="77777777" w:rsidR="00B824C2" w:rsidRDefault="00B824C2" w:rsidP="00B824C2">
      <w:pPr>
        <w:pStyle w:val="Heading4"/>
      </w:pPr>
      <w:r>
        <w:lastRenderedPageBreak/>
        <w:t>Terrorism offences</w:t>
      </w:r>
    </w:p>
    <w:p w14:paraId="3067ED33" w14:textId="79C0B36B" w:rsidR="00B824C2" w:rsidRDefault="00B824C2" w:rsidP="00B824C2">
      <w:r>
        <w:t>Australian law includes a regime to counter terrorism and violent extremism. I</w:t>
      </w:r>
      <w:r w:rsidRPr="00A953B9">
        <w:t>n Australian law, a terrorist act is an act, or a threat to act, that</w:t>
      </w:r>
      <w:r>
        <w:t>:</w:t>
      </w:r>
    </w:p>
    <w:p w14:paraId="1E0399B1" w14:textId="77777777" w:rsidR="00B824C2" w:rsidRDefault="00B824C2" w:rsidP="00B824C2">
      <w:pPr>
        <w:pStyle w:val="Bullet1"/>
      </w:pPr>
      <w:r w:rsidRPr="00D558F0">
        <w:t>intends to coerce or influence the public or any government by intimidation to advance a political, religious or ideological cause</w:t>
      </w:r>
      <w:r>
        <w:t>; and</w:t>
      </w:r>
    </w:p>
    <w:p w14:paraId="0B2BDED1" w14:textId="70B0177E" w:rsidR="00B824C2" w:rsidRDefault="00B824C2" w:rsidP="00B824C2">
      <w:pPr>
        <w:pStyle w:val="Bullet1"/>
      </w:pPr>
      <w:r w:rsidRPr="00D558F0">
        <w:t>causes one or more of the following:</w:t>
      </w:r>
    </w:p>
    <w:p w14:paraId="2D0F9E4A" w14:textId="77777777" w:rsidR="00B824C2" w:rsidRDefault="00B824C2" w:rsidP="00B824C2">
      <w:pPr>
        <w:pStyle w:val="ListBullet"/>
      </w:pPr>
      <w:r w:rsidRPr="00D558F0">
        <w:t>death, serious harm or danger to a person</w:t>
      </w:r>
    </w:p>
    <w:p w14:paraId="4B3856B9" w14:textId="77777777" w:rsidR="00B824C2" w:rsidRPr="00D558F0" w:rsidRDefault="00B824C2" w:rsidP="00B824C2">
      <w:pPr>
        <w:pStyle w:val="ListBullet"/>
      </w:pPr>
      <w:r w:rsidRPr="00D558F0">
        <w:t>serious damage to property</w:t>
      </w:r>
    </w:p>
    <w:p w14:paraId="4B63C8E1" w14:textId="77777777" w:rsidR="00B824C2" w:rsidRPr="00D558F0" w:rsidRDefault="00B824C2" w:rsidP="00B824C2">
      <w:pPr>
        <w:pStyle w:val="ListBullet"/>
      </w:pPr>
      <w:r w:rsidRPr="00D558F0">
        <w:t>a serious risk to the health or safety of the public</w:t>
      </w:r>
    </w:p>
    <w:p w14:paraId="4E1E3921" w14:textId="77777777" w:rsidR="00B824C2" w:rsidRPr="00D558F0" w:rsidRDefault="00B824C2" w:rsidP="00B824C2">
      <w:pPr>
        <w:pStyle w:val="ListBullet"/>
      </w:pPr>
      <w:r w:rsidRPr="00D558F0">
        <w:t>serious interference with, disruption to, or destruction of critical infrastructure such as a telecommunications or electricity network.</w:t>
      </w:r>
    </w:p>
    <w:p w14:paraId="78827536" w14:textId="73CD92D3" w:rsidR="00B824C2" w:rsidRPr="006F41FC" w:rsidRDefault="00B824C2" w:rsidP="00B824C2">
      <w:r w:rsidRPr="00A953B9">
        <w:t xml:space="preserve">Australia's counter-terrorism laws </w:t>
      </w:r>
      <w:r>
        <w:t>capture</w:t>
      </w:r>
      <w:r w:rsidRPr="00A953B9">
        <w:t xml:space="preserve"> </w:t>
      </w:r>
      <w:r>
        <w:t>terrorist acts, terrorist organisations and financing of terrorism, and create offences for urging violence against people or groups and advocating for terrorism. These laws provide a strong mechanism to deal with and address violent extremism, including extremism rooted in racism and racial hatred.</w:t>
      </w:r>
    </w:p>
    <w:p w14:paraId="3FFBE01C" w14:textId="34F8FAFC" w:rsidR="00BF004D" w:rsidRPr="006F41FC" w:rsidRDefault="00BF004D" w:rsidP="00B824C2"/>
    <w:sectPr w:rsidR="00BF004D" w:rsidRPr="006F41FC" w:rsidSect="00151A0A">
      <w:footerReference w:type="default" r:id="rId15"/>
      <w:type w:val="continuous"/>
      <w:pgSz w:w="12240" w:h="15840"/>
      <w:pgMar w:top="532" w:right="964" w:bottom="964" w:left="96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5ABA9" w14:textId="77777777" w:rsidR="00163CA6" w:rsidRDefault="00163CA6" w:rsidP="006150CB">
      <w:r>
        <w:separator/>
      </w:r>
    </w:p>
  </w:endnote>
  <w:endnote w:type="continuationSeparator" w:id="0">
    <w:p w14:paraId="5BD3B76D" w14:textId="77777777" w:rsidR="00163CA6" w:rsidRDefault="00163CA6" w:rsidP="0061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ACEB" w14:textId="77777777" w:rsidR="006150CB" w:rsidRPr="00453257" w:rsidRDefault="00394664" w:rsidP="00394664">
    <w:pPr>
      <w:pStyle w:val="Footer"/>
      <w:ind w:left="-284"/>
    </w:pPr>
    <w:r>
      <w:rPr>
        <w:noProof/>
        <w:lang w:eastAsia="en-AU"/>
      </w:rPr>
      <w:drawing>
        <wp:inline distT="0" distB="0" distL="0" distR="0" wp14:anchorId="44049DAE" wp14:editId="002205DD">
          <wp:extent cx="7086534" cy="75485"/>
          <wp:effectExtent l="0" t="0" r="0" b="1270"/>
          <wp:docPr id="1" name="Picture 1" descr="Horizontal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dc01fs01p\user_folder$\jonesj\Desktop\stripe.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86534" cy="7548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C9C7B" w14:textId="77777777" w:rsidR="006150CB" w:rsidRDefault="006150CB" w:rsidP="00615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60BA7" w14:textId="77777777" w:rsidR="00163CA6" w:rsidRDefault="00163CA6" w:rsidP="006150CB">
      <w:r>
        <w:separator/>
      </w:r>
    </w:p>
  </w:footnote>
  <w:footnote w:type="continuationSeparator" w:id="0">
    <w:p w14:paraId="34A23B44" w14:textId="77777777" w:rsidR="00163CA6" w:rsidRDefault="00163CA6" w:rsidP="00615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55E6BE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18EAD9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D2721E"/>
    <w:multiLevelType w:val="multilevel"/>
    <w:tmpl w:val="EFDC8A06"/>
    <w:numStyleLink w:val="Bullet2"/>
  </w:abstractNum>
  <w:abstractNum w:abstractNumId="3" w15:restartNumberingAfterBreak="0">
    <w:nsid w:val="17932166"/>
    <w:multiLevelType w:val="multilevel"/>
    <w:tmpl w:val="EFDC8A06"/>
    <w:styleLink w:val="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7F4436"/>
    <w:multiLevelType w:val="hybridMultilevel"/>
    <w:tmpl w:val="39FA9DF2"/>
    <w:lvl w:ilvl="0" w:tplc="C7DCE610">
      <w:numFmt w:val="bullet"/>
      <w:lvlText w:val=""/>
      <w:lvlJc w:val="left"/>
      <w:pPr>
        <w:ind w:left="720" w:hanging="360"/>
      </w:pPr>
      <w:rPr>
        <w:rFonts w:ascii="Symbol" w:eastAsiaTheme="minorHAnsi" w:hAnsi="Symbol" w:cstheme="min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DB71E8C"/>
    <w:multiLevelType w:val="hybridMultilevel"/>
    <w:tmpl w:val="3BA6B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A15FB9"/>
    <w:multiLevelType w:val="hybridMultilevel"/>
    <w:tmpl w:val="BF3AA932"/>
    <w:lvl w:ilvl="0" w:tplc="3484F224">
      <w:start w:val="1"/>
      <w:numFmt w:val="bullet"/>
      <w:pStyle w:val="Bullet1"/>
      <w:lvlText w:val=""/>
      <w:lvlJc w:val="left"/>
      <w:pPr>
        <w:ind w:left="720" w:hanging="360"/>
      </w:pPr>
      <w:rPr>
        <w:rFonts w:ascii="Symbol" w:hAnsi="Symbol" w:hint="default"/>
        <w:color w:val="5C5C5C"/>
      </w:rPr>
    </w:lvl>
    <w:lvl w:ilvl="1" w:tplc="7610D95C">
      <w:start w:val="1"/>
      <w:numFmt w:val="bullet"/>
      <w:pStyle w:val="ListBullet"/>
      <w:lvlText w:val=""/>
      <w:lvlJc w:val="left"/>
      <w:pPr>
        <w:ind w:left="1353" w:hanging="360"/>
      </w:pPr>
      <w:rPr>
        <w:rFonts w:ascii="Symbol" w:hAnsi="Symbol" w:hint="default"/>
        <w:color w:val="4D738A"/>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463665">
    <w:abstractNumId w:val="6"/>
  </w:num>
  <w:num w:numId="2" w16cid:durableId="1324158998">
    <w:abstractNumId w:val="3"/>
  </w:num>
  <w:num w:numId="3" w16cid:durableId="926962978">
    <w:abstractNumId w:val="2"/>
  </w:num>
  <w:num w:numId="4" w16cid:durableId="655888217">
    <w:abstractNumId w:val="0"/>
  </w:num>
  <w:num w:numId="5" w16cid:durableId="1354771352">
    <w:abstractNumId w:val="1"/>
  </w:num>
  <w:num w:numId="6" w16cid:durableId="1517382065">
    <w:abstractNumId w:val="4"/>
  </w:num>
  <w:num w:numId="7" w16cid:durableId="2093579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8B8"/>
    <w:rsid w:val="000779BE"/>
    <w:rsid w:val="00096B7A"/>
    <w:rsid w:val="000F3D72"/>
    <w:rsid w:val="0011430B"/>
    <w:rsid w:val="00151A0A"/>
    <w:rsid w:val="00163CA6"/>
    <w:rsid w:val="00192F33"/>
    <w:rsid w:val="001C5428"/>
    <w:rsid w:val="001F3C56"/>
    <w:rsid w:val="00230B26"/>
    <w:rsid w:val="00253442"/>
    <w:rsid w:val="002A0994"/>
    <w:rsid w:val="002C36D2"/>
    <w:rsid w:val="002C46CD"/>
    <w:rsid w:val="00370882"/>
    <w:rsid w:val="00372C25"/>
    <w:rsid w:val="00394664"/>
    <w:rsid w:val="00395615"/>
    <w:rsid w:val="003B28B8"/>
    <w:rsid w:val="003E611C"/>
    <w:rsid w:val="004203D1"/>
    <w:rsid w:val="004450A3"/>
    <w:rsid w:val="00453257"/>
    <w:rsid w:val="004A1887"/>
    <w:rsid w:val="005463CD"/>
    <w:rsid w:val="005C1BB3"/>
    <w:rsid w:val="005C2EE6"/>
    <w:rsid w:val="005D3FEF"/>
    <w:rsid w:val="005F2B9C"/>
    <w:rsid w:val="006150CB"/>
    <w:rsid w:val="006561C6"/>
    <w:rsid w:val="006F41FC"/>
    <w:rsid w:val="007B0031"/>
    <w:rsid w:val="007F1103"/>
    <w:rsid w:val="0081406A"/>
    <w:rsid w:val="00855581"/>
    <w:rsid w:val="00893435"/>
    <w:rsid w:val="008934DA"/>
    <w:rsid w:val="008D2EF7"/>
    <w:rsid w:val="00924456"/>
    <w:rsid w:val="00962DA1"/>
    <w:rsid w:val="0098671E"/>
    <w:rsid w:val="009A17DF"/>
    <w:rsid w:val="009C13BF"/>
    <w:rsid w:val="00B048CE"/>
    <w:rsid w:val="00B4181A"/>
    <w:rsid w:val="00B74535"/>
    <w:rsid w:val="00B824C2"/>
    <w:rsid w:val="00B97BAE"/>
    <w:rsid w:val="00BF004D"/>
    <w:rsid w:val="00C279C1"/>
    <w:rsid w:val="00C506E4"/>
    <w:rsid w:val="00CE1F8D"/>
    <w:rsid w:val="00CE76B5"/>
    <w:rsid w:val="00D22BD6"/>
    <w:rsid w:val="00D76426"/>
    <w:rsid w:val="00E22010"/>
    <w:rsid w:val="00E32C0F"/>
    <w:rsid w:val="00E34811"/>
    <w:rsid w:val="00E43B6F"/>
    <w:rsid w:val="00E701B5"/>
    <w:rsid w:val="00EF3CEB"/>
    <w:rsid w:val="00FF1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E6D456"/>
  <w15:docId w15:val="{4400D101-F5CD-4294-8AFC-996690F6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CB"/>
    <w:pPr>
      <w:spacing w:after="200" w:line="276" w:lineRule="auto"/>
    </w:pPr>
    <w:rPr>
      <w:rFonts w:cs="Calibri"/>
      <w:w w:val="105"/>
      <w:kern w:val="40"/>
      <w:sz w:val="22"/>
      <w:szCs w:val="22"/>
      <w:lang w:eastAsia="en-US"/>
    </w:rPr>
  </w:style>
  <w:style w:type="paragraph" w:styleId="Heading1">
    <w:name w:val="heading 1"/>
    <w:basedOn w:val="Normal"/>
    <w:next w:val="Normal"/>
    <w:link w:val="Heading1Char"/>
    <w:uiPriority w:val="9"/>
    <w:qFormat/>
    <w:rsid w:val="006150CB"/>
    <w:pPr>
      <w:keepNext/>
      <w:spacing w:after="0" w:line="240" w:lineRule="auto"/>
      <w:jc w:val="right"/>
      <w:outlineLvl w:val="0"/>
    </w:pPr>
    <w:rPr>
      <w:rFonts w:eastAsia="SimSun" w:cs="Angsana New"/>
      <w:b/>
      <w:bCs/>
      <w:color w:val="404040"/>
      <w:kern w:val="32"/>
      <w:sz w:val="52"/>
      <w:szCs w:val="52"/>
    </w:rPr>
  </w:style>
  <w:style w:type="paragraph" w:styleId="Heading2">
    <w:name w:val="heading 2"/>
    <w:basedOn w:val="Normal"/>
    <w:next w:val="Normal"/>
    <w:link w:val="Heading2Char"/>
    <w:uiPriority w:val="9"/>
    <w:unhideWhenUsed/>
    <w:qFormat/>
    <w:rsid w:val="00394664"/>
    <w:pPr>
      <w:keepNext/>
      <w:spacing w:before="240" w:after="60" w:line="240" w:lineRule="auto"/>
      <w:outlineLvl w:val="1"/>
    </w:pPr>
    <w:rPr>
      <w:rFonts w:eastAsia="SimSun" w:cs="Angsana New"/>
      <w:b/>
      <w:bCs/>
      <w:iCs/>
      <w:color w:val="4D738A"/>
      <w:sz w:val="40"/>
      <w:szCs w:val="48"/>
    </w:rPr>
  </w:style>
  <w:style w:type="paragraph" w:styleId="Heading3">
    <w:name w:val="heading 3"/>
    <w:basedOn w:val="Normal"/>
    <w:next w:val="Normal"/>
    <w:link w:val="Heading3Char"/>
    <w:uiPriority w:val="9"/>
    <w:unhideWhenUsed/>
    <w:qFormat/>
    <w:rsid w:val="006150CB"/>
    <w:pPr>
      <w:keepNext/>
      <w:spacing w:after="60" w:line="240" w:lineRule="auto"/>
      <w:outlineLvl w:val="2"/>
    </w:pPr>
    <w:rPr>
      <w:rFonts w:eastAsia="SimSun" w:cs="Angsana New"/>
      <w:b/>
      <w:bCs/>
      <w:color w:val="404040"/>
      <w:sz w:val="32"/>
      <w:szCs w:val="32"/>
    </w:rPr>
  </w:style>
  <w:style w:type="paragraph" w:styleId="Heading4">
    <w:name w:val="heading 4"/>
    <w:basedOn w:val="Heading3"/>
    <w:next w:val="Normal"/>
    <w:link w:val="Heading4Char"/>
    <w:uiPriority w:val="9"/>
    <w:unhideWhenUsed/>
    <w:qFormat/>
    <w:rsid w:val="0098671E"/>
    <w:pPr>
      <w:outlineLvl w:val="3"/>
    </w:pPr>
    <w:rPr>
      <w:color w:val="595959" w:themeColor="text1" w:themeTint="A6"/>
      <w:sz w:val="26"/>
      <w:szCs w:val="26"/>
    </w:rPr>
  </w:style>
  <w:style w:type="paragraph" w:styleId="Heading5">
    <w:name w:val="heading 5"/>
    <w:basedOn w:val="Normal"/>
    <w:next w:val="Normal"/>
    <w:link w:val="Heading5Char"/>
    <w:uiPriority w:val="9"/>
    <w:unhideWhenUsed/>
    <w:qFormat/>
    <w:rsid w:val="006F41FC"/>
    <w:pPr>
      <w:keepNext/>
      <w:keepLines/>
      <w:spacing w:before="40" w:after="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150CB"/>
    <w:rPr>
      <w:rFonts w:eastAsia="SimSun" w:cs="Angsana New"/>
      <w:b/>
      <w:bCs/>
      <w:color w:val="404040"/>
      <w:w w:val="105"/>
      <w:kern w:val="32"/>
      <w:sz w:val="52"/>
      <w:szCs w:val="52"/>
      <w:lang w:eastAsia="en-US"/>
    </w:rPr>
  </w:style>
  <w:style w:type="paragraph" w:styleId="Title">
    <w:name w:val="Title"/>
    <w:basedOn w:val="Normal"/>
    <w:next w:val="Normal"/>
    <w:link w:val="TitleChar"/>
    <w:uiPriority w:val="10"/>
    <w:qFormat/>
    <w:rsid w:val="006150CB"/>
    <w:pPr>
      <w:spacing w:before="240" w:after="60" w:line="240" w:lineRule="auto"/>
      <w:outlineLvl w:val="0"/>
    </w:pPr>
    <w:rPr>
      <w:rFonts w:eastAsia="SimSun" w:cs="Angsana New"/>
      <w:b/>
      <w:bCs/>
      <w:noProof/>
      <w:kern w:val="28"/>
      <w:sz w:val="56"/>
      <w:szCs w:val="32"/>
    </w:rPr>
  </w:style>
  <w:style w:type="character" w:customStyle="1" w:styleId="TitleChar">
    <w:name w:val="Title Char"/>
    <w:link w:val="Title"/>
    <w:uiPriority w:val="10"/>
    <w:rsid w:val="006150CB"/>
    <w:rPr>
      <w:rFonts w:eastAsia="SimSun" w:cs="Angsana New"/>
      <w:b/>
      <w:bCs/>
      <w:noProof/>
      <w:w w:val="105"/>
      <w:kern w:val="28"/>
      <w:sz w:val="56"/>
      <w:szCs w:val="32"/>
      <w:lang w:eastAsia="en-US"/>
    </w:rPr>
  </w:style>
  <w:style w:type="character" w:customStyle="1" w:styleId="Heading2Char">
    <w:name w:val="Heading 2 Char"/>
    <w:link w:val="Heading2"/>
    <w:uiPriority w:val="9"/>
    <w:rsid w:val="00394664"/>
    <w:rPr>
      <w:rFonts w:eastAsia="SimSun" w:cs="Angsana New"/>
      <w:b/>
      <w:bCs/>
      <w:iCs/>
      <w:color w:val="4D738A"/>
      <w:w w:val="105"/>
      <w:kern w:val="40"/>
      <w:sz w:val="40"/>
      <w:szCs w:val="48"/>
      <w:lang w:eastAsia="en-US"/>
    </w:rPr>
  </w:style>
  <w:style w:type="paragraph" w:styleId="Subtitle">
    <w:name w:val="Subtitle"/>
    <w:basedOn w:val="Title"/>
    <w:next w:val="Normal"/>
    <w:link w:val="SubtitleChar"/>
    <w:uiPriority w:val="11"/>
    <w:qFormat/>
    <w:rsid w:val="006150CB"/>
    <w:pPr>
      <w:jc w:val="right"/>
    </w:pPr>
    <w:rPr>
      <w:sz w:val="28"/>
      <w:szCs w:val="28"/>
    </w:rPr>
  </w:style>
  <w:style w:type="character" w:customStyle="1" w:styleId="SubtitleChar">
    <w:name w:val="Subtitle Char"/>
    <w:link w:val="Subtitle"/>
    <w:uiPriority w:val="11"/>
    <w:rsid w:val="006150CB"/>
    <w:rPr>
      <w:rFonts w:eastAsia="SimSun" w:cs="Angsana New"/>
      <w:b/>
      <w:bCs/>
      <w:noProof/>
      <w:w w:val="105"/>
      <w:kern w:val="28"/>
      <w:sz w:val="28"/>
      <w:szCs w:val="28"/>
      <w:lang w:eastAsia="en-US"/>
    </w:rPr>
  </w:style>
  <w:style w:type="character" w:customStyle="1" w:styleId="Heading3Char">
    <w:name w:val="Heading 3 Char"/>
    <w:link w:val="Heading3"/>
    <w:uiPriority w:val="9"/>
    <w:rsid w:val="006150CB"/>
    <w:rPr>
      <w:rFonts w:eastAsia="SimSun" w:cs="Angsana New"/>
      <w:b/>
      <w:bCs/>
      <w:color w:val="404040"/>
      <w:w w:val="105"/>
      <w:kern w:val="40"/>
      <w:sz w:val="32"/>
      <w:szCs w:val="32"/>
      <w:lang w:eastAsia="en-US"/>
    </w:rPr>
  </w:style>
  <w:style w:type="paragraph" w:styleId="Header">
    <w:name w:val="header"/>
    <w:basedOn w:val="Normal"/>
    <w:link w:val="HeaderChar"/>
    <w:uiPriority w:val="99"/>
    <w:unhideWhenUsed/>
    <w:rsid w:val="006150CB"/>
    <w:pPr>
      <w:tabs>
        <w:tab w:val="center" w:pos="4513"/>
        <w:tab w:val="right" w:pos="9026"/>
      </w:tabs>
    </w:pPr>
  </w:style>
  <w:style w:type="character" w:customStyle="1" w:styleId="HeaderChar">
    <w:name w:val="Header Char"/>
    <w:link w:val="Header"/>
    <w:uiPriority w:val="99"/>
    <w:rsid w:val="006150CB"/>
    <w:rPr>
      <w:sz w:val="22"/>
      <w:szCs w:val="22"/>
      <w:lang w:eastAsia="en-US"/>
    </w:rPr>
  </w:style>
  <w:style w:type="paragraph" w:styleId="Footer">
    <w:name w:val="footer"/>
    <w:basedOn w:val="Normal"/>
    <w:link w:val="FooterChar"/>
    <w:uiPriority w:val="99"/>
    <w:unhideWhenUsed/>
    <w:rsid w:val="006150CB"/>
    <w:pPr>
      <w:tabs>
        <w:tab w:val="center" w:pos="4513"/>
        <w:tab w:val="right" w:pos="9026"/>
      </w:tabs>
    </w:pPr>
  </w:style>
  <w:style w:type="character" w:customStyle="1" w:styleId="FooterChar">
    <w:name w:val="Footer Char"/>
    <w:link w:val="Footer"/>
    <w:uiPriority w:val="99"/>
    <w:rsid w:val="006150CB"/>
    <w:rPr>
      <w:sz w:val="22"/>
      <w:szCs w:val="22"/>
      <w:lang w:eastAsia="en-US"/>
    </w:rPr>
  </w:style>
  <w:style w:type="paragraph" w:styleId="BalloonText">
    <w:name w:val="Balloon Text"/>
    <w:basedOn w:val="Normal"/>
    <w:link w:val="BalloonTextChar"/>
    <w:uiPriority w:val="99"/>
    <w:semiHidden/>
    <w:unhideWhenUsed/>
    <w:rsid w:val="005C1BB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C1BB3"/>
    <w:rPr>
      <w:rFonts w:ascii="Tahoma" w:hAnsi="Tahoma" w:cs="Tahoma"/>
      <w:w w:val="105"/>
      <w:kern w:val="40"/>
      <w:sz w:val="16"/>
      <w:szCs w:val="16"/>
      <w:lang w:eastAsia="en-US"/>
    </w:rPr>
  </w:style>
  <w:style w:type="paragraph" w:customStyle="1" w:styleId="Bullet1">
    <w:name w:val="Bullet 1"/>
    <w:basedOn w:val="ListBullet2"/>
    <w:autoRedefine/>
    <w:qFormat/>
    <w:rsid w:val="00151A0A"/>
    <w:pPr>
      <w:numPr>
        <w:ilvl w:val="0"/>
      </w:numPr>
      <w:ind w:left="567" w:hanging="567"/>
    </w:pPr>
  </w:style>
  <w:style w:type="numbering" w:customStyle="1" w:styleId="Bullet2">
    <w:name w:val="Bullet 2"/>
    <w:basedOn w:val="NoList"/>
    <w:uiPriority w:val="99"/>
    <w:rsid w:val="0011430B"/>
    <w:pPr>
      <w:numPr>
        <w:numId w:val="2"/>
      </w:numPr>
    </w:pPr>
  </w:style>
  <w:style w:type="paragraph" w:styleId="ListBullet2">
    <w:name w:val="List Bullet 2"/>
    <w:basedOn w:val="ListBullet"/>
    <w:autoRedefine/>
    <w:uiPriority w:val="99"/>
    <w:unhideWhenUsed/>
    <w:qFormat/>
    <w:rsid w:val="00151A0A"/>
    <w:pPr>
      <w:ind w:left="1134" w:hanging="567"/>
    </w:pPr>
  </w:style>
  <w:style w:type="character" w:customStyle="1" w:styleId="Heading4Char">
    <w:name w:val="Heading 4 Char"/>
    <w:basedOn w:val="DefaultParagraphFont"/>
    <w:link w:val="Heading4"/>
    <w:uiPriority w:val="9"/>
    <w:rsid w:val="0098671E"/>
    <w:rPr>
      <w:rFonts w:eastAsia="SimSun" w:cs="Angsana New"/>
      <w:b/>
      <w:bCs/>
      <w:color w:val="595959" w:themeColor="text1" w:themeTint="A6"/>
      <w:w w:val="105"/>
      <w:kern w:val="40"/>
      <w:sz w:val="26"/>
      <w:szCs w:val="26"/>
      <w:lang w:eastAsia="en-US"/>
    </w:rPr>
  </w:style>
  <w:style w:type="paragraph" w:styleId="ListBullet">
    <w:name w:val="List Bullet"/>
    <w:aliases w:val="List Bullet 1"/>
    <w:basedOn w:val="Normal"/>
    <w:uiPriority w:val="99"/>
    <w:unhideWhenUsed/>
    <w:rsid w:val="0011430B"/>
    <w:pPr>
      <w:numPr>
        <w:ilvl w:val="1"/>
        <w:numId w:val="1"/>
      </w:numPr>
      <w:ind w:left="1440"/>
      <w:contextualSpacing/>
    </w:pPr>
  </w:style>
  <w:style w:type="character" w:styleId="Strong">
    <w:name w:val="Strong"/>
    <w:basedOn w:val="DefaultParagraphFont"/>
    <w:uiPriority w:val="22"/>
    <w:rsid w:val="0011430B"/>
    <w:rPr>
      <w:b/>
      <w:bCs/>
    </w:rPr>
  </w:style>
  <w:style w:type="character" w:styleId="SubtleEmphasis">
    <w:name w:val="Subtle Emphasis"/>
    <w:basedOn w:val="DefaultParagraphFont"/>
    <w:uiPriority w:val="19"/>
    <w:rsid w:val="0011430B"/>
    <w:rPr>
      <w:i/>
      <w:iCs/>
      <w:color w:val="808080" w:themeColor="text1" w:themeTint="7F"/>
    </w:rPr>
  </w:style>
  <w:style w:type="character" w:styleId="CommentReference">
    <w:name w:val="annotation reference"/>
    <w:basedOn w:val="DefaultParagraphFont"/>
    <w:uiPriority w:val="99"/>
    <w:semiHidden/>
    <w:unhideWhenUsed/>
    <w:rsid w:val="006F41FC"/>
    <w:rPr>
      <w:sz w:val="16"/>
      <w:szCs w:val="16"/>
    </w:rPr>
  </w:style>
  <w:style w:type="paragraph" w:styleId="CommentText">
    <w:name w:val="annotation text"/>
    <w:basedOn w:val="Normal"/>
    <w:link w:val="CommentTextChar"/>
    <w:uiPriority w:val="99"/>
    <w:semiHidden/>
    <w:unhideWhenUsed/>
    <w:rsid w:val="006F41FC"/>
    <w:pPr>
      <w:spacing w:line="240" w:lineRule="auto"/>
    </w:pPr>
    <w:rPr>
      <w:sz w:val="20"/>
      <w:szCs w:val="20"/>
    </w:rPr>
  </w:style>
  <w:style w:type="character" w:customStyle="1" w:styleId="CommentTextChar">
    <w:name w:val="Comment Text Char"/>
    <w:basedOn w:val="DefaultParagraphFont"/>
    <w:link w:val="CommentText"/>
    <w:uiPriority w:val="99"/>
    <w:semiHidden/>
    <w:rsid w:val="006F41FC"/>
    <w:rPr>
      <w:rFonts w:cs="Calibri"/>
      <w:w w:val="105"/>
      <w:kern w:val="40"/>
      <w:lang w:eastAsia="en-US"/>
    </w:rPr>
  </w:style>
  <w:style w:type="paragraph" w:styleId="CommentSubject">
    <w:name w:val="annotation subject"/>
    <w:basedOn w:val="CommentText"/>
    <w:next w:val="CommentText"/>
    <w:link w:val="CommentSubjectChar"/>
    <w:uiPriority w:val="99"/>
    <w:semiHidden/>
    <w:unhideWhenUsed/>
    <w:rsid w:val="006F41FC"/>
    <w:rPr>
      <w:b/>
      <w:bCs/>
    </w:rPr>
  </w:style>
  <w:style w:type="character" w:customStyle="1" w:styleId="CommentSubjectChar">
    <w:name w:val="Comment Subject Char"/>
    <w:basedOn w:val="CommentTextChar"/>
    <w:link w:val="CommentSubject"/>
    <w:uiPriority w:val="99"/>
    <w:semiHidden/>
    <w:rsid w:val="006F41FC"/>
    <w:rPr>
      <w:rFonts w:cs="Calibri"/>
      <w:b/>
      <w:bCs/>
      <w:w w:val="105"/>
      <w:kern w:val="40"/>
      <w:lang w:eastAsia="en-US"/>
    </w:rPr>
  </w:style>
  <w:style w:type="character" w:customStyle="1" w:styleId="Heading5Char">
    <w:name w:val="Heading 5 Char"/>
    <w:basedOn w:val="DefaultParagraphFont"/>
    <w:link w:val="Heading5"/>
    <w:uiPriority w:val="9"/>
    <w:rsid w:val="006F41FC"/>
    <w:rPr>
      <w:rFonts w:eastAsiaTheme="majorEastAsia" w:cstheme="majorBidi"/>
      <w:color w:val="365F91" w:themeColor="accent1" w:themeShade="BF"/>
      <w:w w:val="105"/>
      <w:kern w:val="40"/>
      <w:sz w:val="22"/>
      <w:szCs w:val="22"/>
      <w:lang w:eastAsia="en-US"/>
    </w:rPr>
  </w:style>
  <w:style w:type="character" w:customStyle="1" w:styleId="ListParagraphChar">
    <w:name w:val="List Paragraph Char"/>
    <w:aliases w:val="Bulleted Para Char,CV text Char,Dot pt Char,F5 List Paragraph Char,FooterText Char,L Char,List Paragraph1 Char,List Paragraph11 Char,List Paragraph111 Char,List Paragraph2 Char,Medium Grid 1 - Accent 21 Char,NFP GP Bulleted List Char"/>
    <w:basedOn w:val="DefaultParagraphFont"/>
    <w:link w:val="ListParagraph"/>
    <w:uiPriority w:val="34"/>
    <w:locked/>
    <w:rsid w:val="006F41FC"/>
    <w:rPr>
      <w:rFonts w:cs="Calibri"/>
    </w:rPr>
  </w:style>
  <w:style w:type="paragraph" w:styleId="ListParagraph">
    <w:name w:val="List Paragraph"/>
    <w:aliases w:val="Bulleted Para,CV text,Dot pt,F5 List Paragraph,FooterText,L,List Paragraph1,List Paragraph11,List Paragraph111,List Paragraph2,Medium Grid 1 - Accent 21,NFP GP Bulleted List,Numbered Paragraph,Recommendation,Table text,numbered,列,列出段,列出段落"/>
    <w:basedOn w:val="Normal"/>
    <w:link w:val="ListParagraphChar"/>
    <w:uiPriority w:val="34"/>
    <w:qFormat/>
    <w:rsid w:val="006F41FC"/>
    <w:pPr>
      <w:spacing w:after="240" w:line="360" w:lineRule="auto"/>
      <w:ind w:left="720"/>
    </w:pPr>
    <w:rPr>
      <w:w w:val="100"/>
      <w:kern w:val="0"/>
      <w:sz w:val="20"/>
      <w:szCs w:val="20"/>
      <w:lang w:eastAsia="en-AU"/>
    </w:rPr>
  </w:style>
  <w:style w:type="paragraph" w:styleId="NoSpacing">
    <w:name w:val="No Spacing"/>
    <w:basedOn w:val="Normal"/>
    <w:uiPriority w:val="1"/>
    <w:qFormat/>
    <w:rsid w:val="005463CD"/>
    <w:pPr>
      <w:spacing w:after="120" w:line="240" w:lineRule="auto"/>
    </w:pPr>
    <w:rPr>
      <w:rFonts w:eastAsiaTheme="minorHAnsi"/>
      <w:w w:val="1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webSettings" Target="webSettings.xml"/><Relationship Id="rId14" Type="http://schemas.openxmlformats.org/officeDocument/2006/relationships/image" Target="media/image2.jpeg"/><Relationship Id="rId9"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c2e4527-2efa-4ade-b3d6-b2418af14986">
      <UserInfo>
        <DisplayName>Grady, John</DisplayName>
        <AccountId>7148</AccountId>
        <AccountType/>
      </UserInfo>
      <UserInfo>
        <DisplayName>Knowler, Troy</DisplayName>
        <AccountId>7098</AccountId>
        <AccountType/>
      </UserInfo>
    </SharedWithUsers>
    <Category xmlns="d42e65b2-cf21-49c1-b27d-d23f90380c0e">States</Category>
    <Doctype xmlns="d42e65b2-cf21-49c1-b27d-d23f90380c0e">input</Doctype>
    <Contributor xmlns="d42e65b2-cf21-49c1-b27d-d23f90380c0e">Australia</Contributor>
    <Postingdate xmlns="d42e65b2-cf21-49c1-b27d-d23f90380c0e" xsi:nil="true"/>
    <Postedonline xmlns="d42e65b2-cf21-49c1-b27d-d23f90380c0e">false</Postedonline>
  </documentManagement>
</p:properties>
</file>

<file path=customXml/item4.xml><?xml version="1.0" encoding="utf-8"?>
<?mso-contentType ?>
<p:Policy xmlns:p="office.server.policy" id="" local="true">
  <p:Name>AGD standard document</p:Name>
  <p:Description>This is the template for use in the creation of all AGD document content types</p:Description>
  <p:Statement/>
  <p:PolicyItems>
    <p:PolicyItem featureId="Microsoft.Office.RecordsManagement.PolicyFeatures.PolicyAudit" staticId="0x010100AFB54AE2FFB7AF408B7756CD373CF197|8138272" UniqueId="e7e801f8-3906-4dbd-b968-f95fe503f189">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mso-contentType ?>
<SharedContentType xmlns="Microsoft.SharePoint.Taxonomy.ContentTypeSync" SourceId="e339f249-2a4e-491e-850f-2386a2ca010f" ContentTypeId="0x010100AFB54AE2FFB7AF408B7756CD373CF197" PreviousValue="false"/>
</file>

<file path=customXml/item6.xml><?xml version="1.0" encoding="utf-8"?>
<?mso-contentType ?>
<spe:Receivers xmlns:spe="http://schemas.microsoft.com/sharepoint/events">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21/12/2011 12:30:29 AM</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21/12/2011 12:30:29 AM</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21/12/2011 12:30:29 AM</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692709E-DF26-482F-9556-660A484A9B5D}">
  <ds:schemaRefs>
    <ds:schemaRef ds:uri="http://schemas.microsoft.com/sharepoint/v3/contenttype/forms"/>
  </ds:schemaRefs>
</ds:datastoreItem>
</file>

<file path=customXml/itemProps2.xml><?xml version="1.0" encoding="utf-8"?>
<ds:datastoreItem xmlns:ds="http://schemas.openxmlformats.org/officeDocument/2006/customXml" ds:itemID="{BF7950CF-3FCE-487C-88BE-E07BB01B4700}"/>
</file>

<file path=customXml/itemProps3.xml><?xml version="1.0" encoding="utf-8"?>
<ds:datastoreItem xmlns:ds="http://schemas.openxmlformats.org/officeDocument/2006/customXml" ds:itemID="{FD95AF6B-BA97-466B-A6C2-F9C906498C0E}">
  <ds:schemaRefs>
    <ds:schemaRef ds:uri="http://schemas.microsoft.com/office/2006/metadata/properties"/>
    <ds:schemaRef ds:uri="http://schemas.microsoft.com/office/infopath/2007/PartnerControls"/>
    <ds:schemaRef ds:uri="4f0e3ebe-c64f-4ffc-92d1-60196c9274b5"/>
    <ds:schemaRef ds:uri="6b42b109-1ac5-4733-bb0b-b82b76079e3f"/>
    <ds:schemaRef ds:uri="938d80d1-dd26-414d-85d8-b25d0f4d0023"/>
    <ds:schemaRef ds:uri="4db7c3dc-41d1-4412-a562-51202f6d3f7b"/>
  </ds:schemaRefs>
</ds:datastoreItem>
</file>

<file path=customXml/itemProps4.xml><?xml version="1.0" encoding="utf-8"?>
<ds:datastoreItem xmlns:ds="http://schemas.openxmlformats.org/officeDocument/2006/customXml" ds:itemID="{525F8711-8D71-4531-BDF2-B229F88F124B}">
  <ds:schemaRefs>
    <ds:schemaRef ds:uri="office.server.policy"/>
  </ds:schemaRefs>
</ds:datastoreItem>
</file>

<file path=customXml/itemProps5.xml><?xml version="1.0" encoding="utf-8"?>
<ds:datastoreItem xmlns:ds="http://schemas.openxmlformats.org/officeDocument/2006/customXml" ds:itemID="{AEA0B229-69E3-4773-A4DC-199789AA1329}">
  <ds:schemaRefs>
    <ds:schemaRef ds:uri="Microsoft.SharePoint.Taxonomy.ContentTypeSync"/>
  </ds:schemaRefs>
</ds:datastoreItem>
</file>

<file path=customXml/itemProps6.xml><?xml version="1.0" encoding="utf-8"?>
<ds:datastoreItem xmlns:ds="http://schemas.openxmlformats.org/officeDocument/2006/customXml" ds:itemID="{7BED4DEE-49B6-4A85-AFE1-902B6643DDD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2342</Words>
  <Characters>14152</Characters>
  <Application>Microsoft Office Word</Application>
  <DocSecurity>4</DocSecurity>
  <Lines>196</Lines>
  <Paragraphs>85</Paragraphs>
  <ScaleCrop>false</ScaleCrop>
  <HeadingPairs>
    <vt:vector size="2" baseType="variant">
      <vt:variant>
        <vt:lpstr>Title</vt:lpstr>
      </vt:variant>
      <vt:variant>
        <vt:i4>1</vt:i4>
      </vt:variant>
    </vt:vector>
  </HeadingPairs>
  <TitlesOfParts>
    <vt:vector size="1" baseType="lpstr">
      <vt:lpstr/>
    </vt:vector>
  </TitlesOfParts>
  <Company>Australian Attorney General's Department</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gaycke</dc:creator>
  <cp:keywords>[SEC=UNOFFICIAL]</cp:keywords>
  <cp:lastModifiedBy>Nina Pregellio</cp:lastModifiedBy>
  <cp:revision>2</cp:revision>
  <dcterms:created xsi:type="dcterms:W3CDTF">2024-03-29T21:48:00Z</dcterms:created>
  <dcterms:modified xsi:type="dcterms:W3CDTF">2024-03-29T21:48:00Z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cea4a888-d6f5-45c5-8730-4e4c01e71c40</vt:lpwstr>
  </property>
  <property fmtid="{D5CDD505-2E9C-101B-9397-08002B2CF9AE}" pid="3" name="Owner">
    <vt:lpwstr>59;#Attorney-General's Department|c281c3f2-80ff-44a1-b91f-c6c543d93cc6</vt:lpwstr>
  </property>
  <property fmtid="{D5CDD505-2E9C-101B-9397-08002B2CF9AE}" pid="4" name="ContentTypeId">
    <vt:lpwstr>0x0101009D953D6983EF5F4EB0B6A5354F975E96</vt:lpwstr>
  </property>
  <property fmtid="{D5CDD505-2E9C-101B-9397-08002B2CF9AE}" pid="5" name="lf240a0170264e5ca0a4ac4df6a4adf7">
    <vt:lpwstr>Attorney-General's Department|c281c3f2-80ff-44a1-b91f-c6c543d93cc6</vt:lpwstr>
  </property>
  <property fmtid="{D5CDD505-2E9C-101B-9397-08002B2CF9AE}" pid="6" name="PM_Namespace">
    <vt:lpwstr>gov.au</vt:lpwstr>
  </property>
  <property fmtid="{D5CDD505-2E9C-101B-9397-08002B2CF9AE}" pid="7" name="PM_Caveats_Count">
    <vt:lpwstr>0</vt:lpwstr>
  </property>
  <property fmtid="{D5CDD505-2E9C-101B-9397-08002B2CF9AE}" pid="8" name="PM_Version">
    <vt:lpwstr>2018.4</vt:lpwstr>
  </property>
  <property fmtid="{D5CDD505-2E9C-101B-9397-08002B2CF9AE}" pid="9" name="PM_Note">
    <vt:lpwstr/>
  </property>
  <property fmtid="{D5CDD505-2E9C-101B-9397-08002B2CF9AE}" pid="10" name="PMHMAC">
    <vt:lpwstr>v=2022.1;a=SHA256;h=88BA4CE6A7265BD1FDBD1B71BDB164FB94C22C10EF486F762CD636576C360EDE</vt:lpwstr>
  </property>
  <property fmtid="{D5CDD505-2E9C-101B-9397-08002B2CF9AE}" pid="11" name="PM_Qualifier">
    <vt:lpwstr/>
  </property>
  <property fmtid="{D5CDD505-2E9C-101B-9397-08002B2CF9AE}" pid="12" name="PM_SecurityClassification">
    <vt:lpwstr>UNOFFICIAL</vt:lpwstr>
  </property>
  <property fmtid="{D5CDD505-2E9C-101B-9397-08002B2CF9AE}" pid="13" name="PM_ProtectiveMarkingValue_Header">
    <vt:lpwstr>UNOFFICIAL</vt:lpwstr>
  </property>
  <property fmtid="{D5CDD505-2E9C-101B-9397-08002B2CF9AE}" pid="14" name="PM_OriginationTimeStamp">
    <vt:lpwstr>2024-03-29T21:48:40Z</vt:lpwstr>
  </property>
  <property fmtid="{D5CDD505-2E9C-101B-9397-08002B2CF9AE}" pid="15" name="PM_Markers">
    <vt:lpwstr/>
  </property>
  <property fmtid="{D5CDD505-2E9C-101B-9397-08002B2CF9AE}" pid="16" name="PM_InsertionValue">
    <vt:lpwstr>UNOFFICIAL</vt:lpwstr>
  </property>
  <property fmtid="{D5CDD505-2E9C-101B-9397-08002B2CF9AE}" pid="17" name="PM_Originator_Hash_SHA1">
    <vt:lpwstr>978377196E8B3D806FA0455364B78192FF711D0A</vt:lpwstr>
  </property>
  <property fmtid="{D5CDD505-2E9C-101B-9397-08002B2CF9AE}" pid="18" name="PM_DisplayValueSecClassificationWithQualifier">
    <vt:lpwstr>UNOFFICIAL</vt:lpwstr>
  </property>
  <property fmtid="{D5CDD505-2E9C-101B-9397-08002B2CF9AE}" pid="19" name="PM_Originating_FileId">
    <vt:lpwstr>BF2B2FF734E8403EB1A696751814755C</vt:lpwstr>
  </property>
  <property fmtid="{D5CDD505-2E9C-101B-9397-08002B2CF9AE}" pid="20" name="PM_ProtectiveMarkingValue_Footer">
    <vt:lpwstr>UNOFFICIAL</vt:lpwstr>
  </property>
  <property fmtid="{D5CDD505-2E9C-101B-9397-08002B2CF9AE}" pid="21" name="PM_ProtectiveMarkingImage_Header">
    <vt:lpwstr>C:\Program Files (x86)\Common Files\janusNET Shared\janusSEAL\Images\DocumentSlashBlue.png</vt:lpwstr>
  </property>
  <property fmtid="{D5CDD505-2E9C-101B-9397-08002B2CF9AE}" pid="22" name="PM_ProtectiveMarkingImage_Footer">
    <vt:lpwstr>C:\Program Files (x86)\Common Files\janusNET Shared\janusSEAL\Images\DocumentSlashBlue.png</vt:lpwstr>
  </property>
  <property fmtid="{D5CDD505-2E9C-101B-9397-08002B2CF9AE}" pid="23" name="PM_Display">
    <vt:lpwstr>UNOFFICIAL</vt:lpwstr>
  </property>
  <property fmtid="{D5CDD505-2E9C-101B-9397-08002B2CF9AE}" pid="24" name="PM_OriginatorUserAccountName_SHA256">
    <vt:lpwstr>84CF3121367B82D22218CC36CB9E17AD762051DBC4527A743F860C13EDC87464</vt:lpwstr>
  </property>
  <property fmtid="{D5CDD505-2E9C-101B-9397-08002B2CF9AE}" pid="25" name="PM_OriginatorDomainName_SHA256">
    <vt:lpwstr>6F3591835F3B2A8A025B00B5BA6418010DA3A17C9C26EA9C049FFD28039489A2</vt:lpwstr>
  </property>
  <property fmtid="{D5CDD505-2E9C-101B-9397-08002B2CF9AE}" pid="26" name="PMUuid">
    <vt:lpwstr>v=2022.2;d=gov.au;g=65417EFE-F3B9-5E66-BD91-1E689FEC2EA6</vt:lpwstr>
  </property>
  <property fmtid="{D5CDD505-2E9C-101B-9397-08002B2CF9AE}" pid="27" name="PM_Hash_Version">
    <vt:lpwstr>2022.1</vt:lpwstr>
  </property>
  <property fmtid="{D5CDD505-2E9C-101B-9397-08002B2CF9AE}" pid="28" name="PM_Hash_Salt_Prev">
    <vt:lpwstr>806213E5CC4E05628E0A4FFC8D3B42B9</vt:lpwstr>
  </property>
  <property fmtid="{D5CDD505-2E9C-101B-9397-08002B2CF9AE}" pid="29" name="PM_Hash_Salt">
    <vt:lpwstr>806213E5CC4E05628E0A4FFC8D3B42B9</vt:lpwstr>
  </property>
  <property fmtid="{D5CDD505-2E9C-101B-9397-08002B2CF9AE}" pid="30" name="PM_Hash_SHA1">
    <vt:lpwstr>9A786FC7536A46E798AB000780D0DE71FF01F217</vt:lpwstr>
  </property>
</Properties>
</file>